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乌鲁木齐市米东区第103中学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560" w:lineRule="atLeast"/>
        <w:ind w:firstLine="640"/>
        <w:jc w:val="left"/>
        <w:rPr>
          <w:rFonts w:hint="default" w:ascii="仿宋_GB2312" w:hAnsi="仿宋_GB2312" w:eastAsia="仿宋_GB2312"/>
          <w:kern w:val="0"/>
          <w:sz w:val="32"/>
          <w:szCs w:val="24"/>
        </w:rPr>
      </w:pPr>
      <w:r>
        <w:rPr>
          <w:rFonts w:hint="eastAsia" w:ascii="仿宋_GB2312" w:hAnsi="仿宋_GB2312" w:eastAsia="仿宋_GB2312"/>
          <w:kern w:val="0"/>
          <w:sz w:val="32"/>
          <w:szCs w:val="24"/>
        </w:rPr>
        <w:t>1、全面贯彻党和国家的路线、方针、政策、法规，全面实施素质教育，认真执行上级党委和教育行政部门的指示，依法治校，努力提高学校的办学水平和办学效益。</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2、全面规划，统一安排学校的各项工作，组织制定和实施学校发展规划、工作计划。</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3、负责健全学校行政指挥系统，健全各项规章制度，保证学校正常的工作秩序。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4按照学校经费使用计划，负责教育教学及办公用品、维修设备的采购、发放和管理工作。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5、根据预算安排，拟定收支计划，并组织实施、管理和监督。</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6、规范会计行为；组织执行国家统一的会计制度和自治区相关补充规定；组织管理会计人员的业务培训。</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乌鲁木齐市米东区第103中学2022年度，实有人数140人，其中：在职人员92人，离休人员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人，退休人员48人。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从部门决算单位构成看，乌鲁木齐市米东区第103中学部门决算包括：乌鲁木齐市米东区第103中学</w:t>
      </w:r>
      <w:r>
        <w:rPr>
          <w:rFonts w:hint="eastAsia" w:ascii="仿宋_GB2312" w:hAnsi="仿宋_GB2312" w:eastAsia="仿宋_GB2312"/>
          <w:kern w:val="0"/>
          <w:sz w:val="32"/>
          <w:szCs w:val="24"/>
          <w:lang w:val="zh-CN"/>
        </w:rPr>
        <w:t>决算。单位无下属预算单位，下设6个科室，分别是：</w:t>
      </w:r>
      <w:r>
        <w:rPr>
          <w:rFonts w:hint="eastAsia" w:ascii="仿宋_GB2312" w:hAnsi="仿宋_GB2312" w:eastAsia="仿宋_GB2312"/>
          <w:kern w:val="0"/>
          <w:sz w:val="32"/>
          <w:szCs w:val="24"/>
        </w:rPr>
        <w:t>财务室、学籍办、少先队室、德育办、总务处、党政办</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2</w:t>
      </w:r>
      <w:r>
        <w:rPr>
          <w:rFonts w:hint="eastAsia" w:ascii="仿宋_GB2312" w:hAnsi="仿宋_GB2312" w:eastAsia="仿宋_GB2312"/>
          <w:sz w:val="32"/>
          <w:szCs w:val="24"/>
        </w:rPr>
        <w:t>022年度收入总计2,072.88万元，其中：本年收入合计2,064.59万元，使用非财政拨款结余</w:t>
      </w:r>
      <w:r>
        <w:rPr>
          <w:rFonts w:hint="default" w:ascii="仿宋_GB2312" w:hAnsi="仿宋_GB2312" w:eastAsia="仿宋_GB2312"/>
          <w:sz w:val="32"/>
          <w:szCs w:val="24"/>
        </w:rPr>
        <w:t>0.00</w:t>
      </w:r>
      <w:r>
        <w:rPr>
          <w:rFonts w:hint="eastAsia" w:ascii="仿宋_GB2312" w:hAnsi="仿宋_GB2312" w:eastAsia="仿宋_GB2312"/>
          <w:sz w:val="32"/>
          <w:szCs w:val="24"/>
        </w:rPr>
        <w:t>万元，年初结转和结余8.29万元。收入总计与上年相比，增加414.57万元，增长25.00%，主要原因是：</w:t>
      </w:r>
      <w:bookmarkStart w:id="0" w:name="_Hlk142311674"/>
      <w:r>
        <w:rPr>
          <w:rFonts w:hint="eastAsia" w:ascii="仿宋_GB2312" w:hAnsi="仿宋_GB2312" w:eastAsia="仿宋_GB2312"/>
          <w:sz w:val="32"/>
          <w:szCs w:val="24"/>
        </w:rPr>
        <w:t>本年单位工资、社保基数调增，人员经费收入增加、课后服务费用收入</w:t>
      </w:r>
      <w:bookmarkEnd w:id="0"/>
      <w:r>
        <w:rPr>
          <w:rFonts w:hint="eastAsia" w:ascii="仿宋_GB2312" w:hAnsi="仿宋_GB2312" w:eastAsia="仿宋_GB2312"/>
          <w:sz w:val="32"/>
          <w:szCs w:val="24"/>
        </w:rPr>
        <w:t>增加、代课教师调资，导致本年收入增加</w:t>
      </w:r>
      <w:r>
        <w:rPr>
          <w:rFonts w:hint="eastAsia" w:ascii="仿宋_GB2312" w:hAnsi="仿宋_GB2312" w:eastAsia="仿宋_GB2312"/>
          <w:kern w:val="0"/>
          <w:sz w:val="32"/>
          <w:szCs w:val="24"/>
        </w:rPr>
        <w:t>。</w:t>
      </w:r>
    </w:p>
    <w:p>
      <w:pPr>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2,072.88万元，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1,980.23</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92.65</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与上年相比，增加414.57万元，增长25.00%，主要原因是：</w:t>
      </w:r>
      <w:r>
        <w:rPr>
          <w:rFonts w:hint="eastAsia" w:ascii="仿宋_GB2312" w:hAnsi="仿宋_GB2312" w:eastAsia="仿宋_GB2312"/>
          <w:sz w:val="32"/>
          <w:szCs w:val="24"/>
        </w:rPr>
        <w:t>本年单位工资、社保基数调增，人员经费支出增加、课后服务费用支出增加、代课教师调资，导致本年支出增加</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2022年度本年收入2,064.59万元，其中：财政拨款收入2,032.82万元，占98.46%；上级补助收入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万元，占0.00%；其他收入31.77万元，占1.54%。</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2022年度本年支出1,980.23万元，其中：基本支出1,887.24万元，占95.30%；项目支出92.99万元，占4.70%；上缴上级支出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2,041.11万元，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8.29</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2,032.82</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与上年相比，增加382.80万元，增长23.08%，主要原因是：</w:t>
      </w:r>
      <w:r>
        <w:rPr>
          <w:rFonts w:hint="eastAsia" w:ascii="仿宋_GB2312" w:hAnsi="仿宋_GB2312" w:eastAsia="仿宋_GB2312"/>
          <w:sz w:val="32"/>
          <w:szCs w:val="24"/>
        </w:rPr>
        <w:t>本年单位工资、社保基数调增，人员经费收入增加、代课教师调资</w:t>
      </w:r>
      <w:bookmarkStart w:id="2" w:name="_GoBack"/>
      <w:bookmarkEnd w:id="2"/>
      <w:r>
        <w:rPr>
          <w:rFonts w:hint="eastAsia" w:ascii="仿宋_GB2312" w:hAnsi="仿宋_GB2312" w:eastAsia="仿宋_GB2312"/>
          <w:sz w:val="32"/>
          <w:szCs w:val="24"/>
        </w:rPr>
        <w:t>，导致本年收入增加</w:t>
      </w:r>
      <w:r>
        <w:rPr>
          <w:rFonts w:hint="eastAsia" w:ascii="仿宋_GB2312" w:hAnsi="仿宋_GB2312" w:eastAsia="仿宋_GB2312"/>
          <w:kern w:val="0"/>
          <w:sz w:val="32"/>
          <w:szCs w:val="24"/>
        </w:rPr>
        <w:t>。</w:t>
      </w:r>
    </w:p>
    <w:p>
      <w:pPr>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2,041.11万元，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92.57</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1,948.54</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与上年相比，增加382.80万元，增长23.08%，主要原因是：</w:t>
      </w:r>
      <w:r>
        <w:rPr>
          <w:rFonts w:hint="eastAsia" w:ascii="仿宋_GB2312" w:hAnsi="仿宋_GB2312" w:eastAsia="仿宋_GB2312"/>
          <w:sz w:val="32"/>
          <w:szCs w:val="24"/>
        </w:rPr>
        <w:t>本年单位工资、社保基数调增，人员经费支出增加、代课教师调资，导致本年支出增加</w:t>
      </w:r>
      <w:r>
        <w:rPr>
          <w:rFonts w:hint="eastAsia" w:ascii="仿宋_GB2312" w:hAnsi="仿宋_GB2312" w:eastAsia="仿宋_GB2312"/>
          <w:kern w:val="0"/>
          <w:sz w:val="32"/>
          <w:szCs w:val="24"/>
        </w:rPr>
        <w:t>。</w:t>
      </w:r>
    </w:p>
    <w:p>
      <w:pPr>
        <w:spacing w:beforeLines="0" w:afterLines="0" w:line="360" w:lineRule="auto"/>
        <w:ind w:firstLine="641"/>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年初预算数1,995.44万元，决算数2,041.11万元，预决算差异率2.29%，主要原因是：年中追加培训费，公用经费，贫困生补助经费收入，导致预决算存在差异。财政拨款支出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年初预算数1,995.44万元，决算数2,041.11万元，预决算差异率2.29%，主要原因是：年中追加培训费，公用经费，贫困生补助经费收入，导致预决算存在差异。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1,948.54</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增加298.51万元，增长18.09%，主要原因是：</w:t>
      </w:r>
      <w:r>
        <w:rPr>
          <w:rFonts w:hint="eastAsia" w:ascii="仿宋_GB2312" w:hAnsi="仿宋_GB2312" w:eastAsia="仿宋_GB2312"/>
          <w:sz w:val="32"/>
          <w:szCs w:val="24"/>
        </w:rPr>
        <w:t>本年单位工资、社保基数调增，人员经费增加、代课教师调资，导致本年支出增加</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1.教育支出（类）1,948.54万元，占100.00%。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360" w:lineRule="auto"/>
        <w:ind w:firstLine="641"/>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1.教育支出（类）普通教育（款）小学教育（项）:支出决算数为1,133.25万元，比上年决算增加269.98万元，增长31.27%，主要原因是：</w:t>
      </w:r>
      <w:r>
        <w:rPr>
          <w:rFonts w:hint="eastAsia" w:ascii="仿宋_GB2312" w:hAnsi="仿宋_GB2312" w:eastAsia="仿宋_GB2312"/>
          <w:sz w:val="32"/>
          <w:szCs w:val="24"/>
        </w:rPr>
        <w:t>本年单位工资、社保基数调增，人员经费增加、代课教师调资，导致本年支出增加</w:t>
      </w:r>
      <w:r>
        <w:rPr>
          <w:rFonts w:hint="eastAsia" w:ascii="仿宋_GB2312" w:hAnsi="仿宋_GB2312" w:eastAsia="仿宋_GB2312"/>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2.教育支出（类）普通教育（款）初中教育（项）:支出决算数为815.29万元，比上年决算增加120.94万元，增长17.42%，主要原因是：：</w:t>
      </w:r>
      <w:r>
        <w:rPr>
          <w:rFonts w:hint="eastAsia" w:ascii="仿宋_GB2312" w:hAnsi="仿宋_GB2312" w:eastAsia="仿宋_GB2312"/>
          <w:sz w:val="32"/>
          <w:szCs w:val="24"/>
        </w:rPr>
        <w:t>本年单位工资、社保基数调增，人员经费增加、代课教师调资，导致本年支出增加</w:t>
      </w:r>
      <w:r>
        <w:rPr>
          <w:rFonts w:hint="eastAsia" w:ascii="仿宋_GB2312" w:hAnsi="仿宋_GB2312" w:eastAsia="仿宋_GB2312"/>
          <w:sz w:val="32"/>
          <w:szCs w:val="24"/>
          <w:lang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万元，比上年决算减少92.41万元，下降100.00%，主要原因是：本年将机关事业单位基本养老保险缴费调剂至小学教育和初中教育科目。</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2022年度一般公共预算财政拨款基本支出1,887.25万元，其中：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人员经费1,648.41万元，包括：基本工资、津贴补贴、绩效工资、机关事业单位基本养老保险缴费、职工基本医疗保险缴费、公务员医疗补助缴费、其他社会保障缴费、住房公积金、生活补助、奖励金。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公用经费238.84万元，包括：电费、取暖费、劳务费、公务用车运行维护费、其他交通费用。</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“三公”经费支出决算0.85万元，比上年减少0.93万元，下降52.25%，主要原因是：</w:t>
      </w:r>
      <w:r>
        <w:rPr>
          <w:rFonts w:hint="eastAsia" w:ascii="仿宋_GB2312" w:eastAsia="仿宋_GB2312" w:cs="仿宋_GB2312"/>
          <w:kern w:val="0"/>
          <w:sz w:val="32"/>
          <w:szCs w:val="32"/>
        </w:rPr>
        <w:t>厉行节约，公务用车出行次数减少，燃油费支出减少</w:t>
      </w:r>
      <w:r>
        <w:rPr>
          <w:rFonts w:hint="eastAsia" w:ascii="仿宋_GB2312" w:hAnsi="仿宋_GB2312" w:eastAsia="仿宋_GB2312"/>
          <w:kern w:val="0"/>
          <w:sz w:val="32"/>
          <w:szCs w:val="24"/>
        </w:rPr>
        <w:t>。其中：因公出国（境）费支出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万元，增长0.00%，主要原因是：本年单位无因公出国（境）费支出；公务用车购置及运行维护费支出0.85万元，占100.00%，比上年减少0.93万元，下降52.25%，主要原因是：</w:t>
      </w:r>
      <w:r>
        <w:rPr>
          <w:rFonts w:hint="eastAsia" w:ascii="仿宋_GB2312" w:eastAsia="仿宋_GB2312" w:cs="仿宋_GB2312"/>
          <w:kern w:val="0"/>
          <w:sz w:val="32"/>
          <w:szCs w:val="32"/>
        </w:rPr>
        <w:t>厉行节约，公务用车出行次数减少，燃油费支出减少</w:t>
      </w:r>
      <w:r>
        <w:rPr>
          <w:rFonts w:hint="eastAsia" w:ascii="仿宋_GB2312" w:hAnsi="仿宋_GB2312" w:eastAsia="仿宋_GB2312"/>
          <w:kern w:val="0"/>
          <w:sz w:val="32"/>
          <w:szCs w:val="24"/>
        </w:rPr>
        <w:t>；公务接待费支出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公务用车购置及运行维护费0.85万元，其中：公务用车购置费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万元，公务用车运行维护费0.85万元。公务用车运行维护费开支内容包括公务用车燃油费、车辆维修维护费</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保险费、过路费等。公务用车购置数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辆，公务用车保有量4辆。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0.85万元，决算数0.85万元，预决算差异率0.00%，主要原因是：XXX。其中：因公出国（境）费全年预算数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bookmarkStart w:id="1" w:name="_Hlk110848692"/>
      <w:r>
        <w:rPr>
          <w:rFonts w:hint="eastAsia" w:ascii="仿宋_GB2312" w:eastAsia="仿宋_GB2312" w:cs="仿宋_GB2312"/>
          <w:kern w:val="0"/>
          <w:sz w:val="32"/>
          <w:szCs w:val="32"/>
        </w:rPr>
        <w:t>单位严格执行“三公”经费支出标准，未超预算</w:t>
      </w:r>
      <w:bookmarkEnd w:id="1"/>
      <w:r>
        <w:rPr>
          <w:rFonts w:hint="eastAsia" w:ascii="仿宋_GB2312" w:hAnsi="仿宋_GB2312" w:eastAsia="仿宋_GB2312"/>
          <w:kern w:val="0"/>
          <w:sz w:val="32"/>
          <w:szCs w:val="24"/>
        </w:rPr>
        <w:t>；公务用车运行费全年预算数0.85万元，决算数0.85万元，预决算差异率0.00%，主要原因是：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万元，预决算差异率0.00%，主要原因是：单位本年无此项支出。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2022年度乌鲁木齐市米东区第103中学单位公用经费238.84万元，比上年增加109.68万元，增长84.92%，主要原因是：本年取暖费、劳务费、其他交通费等经费支出增加。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5,259.40</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房屋19,913.78平方米，价值3,891.01万元。车辆4辆，价值64.48万元，其中：副部（省）级及以上领导用车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辆、其他用车4辆，其他用车主要是：单位业务用车；单价100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rPr>
        <w:t>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lang w:val="en-US" w:eastAsia="zh-CN"/>
        </w:rPr>
        <w:t>186.04</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lang w:val="en-US" w:eastAsia="zh-CN"/>
        </w:rPr>
        <w:t>45.59</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预算绩效管理取得的成效：一是预算绩效管理制度不断完善</w:t>
      </w:r>
      <w:r>
        <w:rPr>
          <w:rFonts w:hint="eastAsia" w:ascii="仿宋_GB2312" w:hAnsi="仿宋_GB2312" w:eastAsia="仿宋_GB2312"/>
          <w:kern w:val="0"/>
          <w:sz w:val="32"/>
          <w:szCs w:val="24"/>
          <w:lang w:eastAsia="zh-CN"/>
        </w:rPr>
        <w:t>，</w:t>
      </w:r>
      <w:r>
        <w:rPr>
          <w:rFonts w:hint="eastAsia" w:ascii="仿宋_GB2312" w:hAnsi="仿宋_GB2312" w:eastAsia="仿宋_GB2312" w:cs="仿宋_GB2312"/>
          <w:sz w:val="32"/>
          <w:szCs w:val="32"/>
          <w:lang w:bidi="ar"/>
        </w:rPr>
        <w:t>我单位资金运行维护决策正确，资金管理规范，项目管理到位，政策执行有力，有效发挥了财政资金的使用效率</w:t>
      </w:r>
      <w:r>
        <w:rPr>
          <w:rFonts w:hint="eastAsia" w:ascii="仿宋_GB2312" w:hAnsi="仿宋_GB2312" w:eastAsia="仿宋_GB2312"/>
          <w:kern w:val="0"/>
          <w:sz w:val="32"/>
          <w:szCs w:val="24"/>
        </w:rPr>
        <w:t>；二是预算绩效管理体系不断健全</w:t>
      </w:r>
      <w:r>
        <w:rPr>
          <w:rFonts w:hint="eastAsia" w:ascii="仿宋_GB2312" w:hAnsi="仿宋_GB2312" w:eastAsia="仿宋_GB2312"/>
          <w:kern w:val="0"/>
          <w:sz w:val="32"/>
          <w:szCs w:val="24"/>
          <w:lang w:eastAsia="zh-CN"/>
        </w:rPr>
        <w:t>，</w:t>
      </w:r>
      <w:r>
        <w:rPr>
          <w:rFonts w:hint="eastAsia" w:ascii="仿宋_GB2312" w:hAnsi="仿宋_GB2312" w:eastAsia="仿宋_GB2312" w:cs="仿宋_GB2312"/>
          <w:sz w:val="32"/>
          <w:szCs w:val="32"/>
          <w:lang w:bidi="ar"/>
        </w:rPr>
        <w:t>我单位各项工作实施及资金使用情况均在绩效目标设定时限完成。预算安排的基本支出保障了正常的工作运转</w:t>
      </w:r>
      <w:r>
        <w:rPr>
          <w:rFonts w:hint="eastAsia" w:ascii="仿宋_GB2312" w:hAnsi="仿宋_GB2312" w:eastAsia="仿宋_GB2312"/>
          <w:kern w:val="0"/>
          <w:sz w:val="32"/>
          <w:szCs w:val="24"/>
        </w:rPr>
        <w:t>。发现的问题及原因：一是预算执行时效性不及时；二是满意度不高。下一步改进措施：一是资金及时落实到位；二是努力提升教师满意度。具体项目自评情况附项目支出绩效自评表。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8"/>
        <w:gridCol w:w="590"/>
        <w:gridCol w:w="834"/>
        <w:gridCol w:w="721"/>
        <w:gridCol w:w="991"/>
        <w:gridCol w:w="482"/>
        <w:gridCol w:w="666"/>
        <w:gridCol w:w="778"/>
        <w:gridCol w:w="430"/>
        <w:gridCol w:w="496"/>
        <w:gridCol w:w="576"/>
        <w:gridCol w:w="244"/>
        <w:gridCol w:w="617"/>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67"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公用经费（乌财科教【2021】96 120 23号）提前下达2022城乡义务教育直达资金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08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9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119.91</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32.60</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27.19%</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119.88</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32.57</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0.03</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0.03</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1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81"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1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资金支付全年学校6名保安的安保服务费，按时缴纳全年水费电费，缴纳全年公用暖气费，保障1482名学生接受学校教育，本项目的实施可改善我校办学条件硬件设施，有效改善校园环境，提高办学条件，推动义务教育均衡化发展。</w:t>
            </w:r>
          </w:p>
        </w:tc>
        <w:tc>
          <w:tcPr>
            <w:tcW w:w="2181"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此项目实际完成率为27.19%，执行资金为32.6万元。此项目资金使我校的教育资源配置优化，学校面貌发生了巨大变化，办学条件得到大力改善，保障教育教学正常有序的开展。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3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7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2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5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23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&gt;=1482人</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1482人</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=16540平方米</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16540平方米</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安保人员配置数量（人）</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&gt;=6人</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保安上岗率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供暖覆盖率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学校全年正常运转率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财政资金紧张，未能及时拨付资金，导致部分工作未能正常推进</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改善学生学习环境</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财政资金紧张，未能及时拨付资金，导致学生满意度不高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57"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90.72分</w:t>
            </w:r>
          </w:p>
        </w:tc>
        <w:tc>
          <w:tcPr>
            <w:tcW w:w="7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2"/>
        <w:gridCol w:w="632"/>
        <w:gridCol w:w="941"/>
        <w:gridCol w:w="763"/>
        <w:gridCol w:w="887"/>
        <w:gridCol w:w="245"/>
        <w:gridCol w:w="859"/>
        <w:gridCol w:w="912"/>
        <w:gridCol w:w="544"/>
        <w:gridCol w:w="625"/>
        <w:gridCol w:w="87"/>
        <w:gridCol w:w="829"/>
        <w:gridCol w:w="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12"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培训费（乌财科教【2021】96 120号）提前下达2022城乡义务教育直达资金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08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1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0.91</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18.13%</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0.91</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4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26"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4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本项目具体实施内容为教师继续教育全年培训2次左右，本项目可提高学校的教学质量,改善我校教师教师自身的教学水平和能力，充分调动教师学习的积极性，在教学改革中实现真正的成长</w:t>
            </w:r>
            <w:r>
              <w:rPr>
                <w:rFonts w:hint="eastAsia" w:ascii="宋体" w:hAnsi="宋体" w:cs="宋体"/>
                <w:i w:val="0"/>
                <w:iCs w:val="0"/>
                <w:color w:val="000000"/>
                <w:kern w:val="0"/>
                <w:sz w:val="18"/>
                <w:szCs w:val="18"/>
                <w:u w:val="none"/>
                <w:lang w:val="en-US" w:eastAsia="zh-CN" w:bidi="ar"/>
              </w:rPr>
              <w:t>。</w:t>
            </w:r>
          </w:p>
        </w:tc>
        <w:tc>
          <w:tcPr>
            <w:tcW w:w="2126"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保障4名教师参与其他类培训，本项目可提高学校的教学质量,改善我校教师教师自身的教学水平和能力，充分调动教师学习的积极性，在教学改革中实现真正的成长</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3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6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8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1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0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0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90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6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参加培训人数</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&gt;=92人</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4人</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部分培训未提供教育发票，部分人员计划于2023-2025年度参加教育培训</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培训种类</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&gt;=2种</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4种</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完成培训的计划班次</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&gt;=2次</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参与培训人员结业率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小学继续教育培训标准</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&lt;=608元/人</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608元/人</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初中继续教育培训标准</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&lt;=688元/人</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688元/人</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提升教师教学水平</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6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教师满意度</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9.47</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财政资金拨付不及时，导致教师满意度不高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8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84.58分</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2"/>
        <w:gridCol w:w="715"/>
        <w:gridCol w:w="705"/>
        <w:gridCol w:w="853"/>
        <w:gridCol w:w="1157"/>
        <w:gridCol w:w="1185"/>
        <w:gridCol w:w="870"/>
        <w:gridCol w:w="412"/>
        <w:gridCol w:w="927"/>
        <w:gridCol w:w="778"/>
        <w:gridCol w:w="7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201"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6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55.66</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8.37</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15.04%</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55.66</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8.37</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60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88"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60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聘请代课教师23人，提高代课教师的薪资待遇，保持教师队伍的稳定，提高代课教师工作的积极性，保证教育教学工作的正常开展，同时提高教学质量。</w:t>
            </w:r>
          </w:p>
        </w:tc>
        <w:tc>
          <w:tcPr>
            <w:tcW w:w="2088"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此项目实际执行率为15%，完成支付资金8.37万元，保障16名代课教师1个月的工资发放。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6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3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4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聘请代课教师数量</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&gt;=23人</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16人</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财政资金紧张，导致资金未及时拨付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资金发放准确率</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代课教师工资发放及时率</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&gt;=85%</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16.68%</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财政资金紧张，导致资金未及时拨付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1个月</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0.67</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资金到位时间晚，前9个月教师工资已经用其他资金支付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同工同酬教师工资标准</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&lt;=6288元/月/人</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6288元/月/人</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代课教师工资标准</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&lt;=4600元/月/人</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4600元/月/人</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调动代课教师工作热情，提升教学质量</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教师满意度</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8.95</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财政资拨付资金不及时，导致教师满意度不高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0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74.25分</w:t>
            </w:r>
          </w:p>
        </w:tc>
        <w:tc>
          <w:tcPr>
            <w:tcW w:w="8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9"/>
        <w:gridCol w:w="730"/>
        <w:gridCol w:w="802"/>
        <w:gridCol w:w="770"/>
        <w:gridCol w:w="829"/>
        <w:gridCol w:w="514"/>
        <w:gridCol w:w="677"/>
        <w:gridCol w:w="675"/>
        <w:gridCol w:w="437"/>
        <w:gridCol w:w="352"/>
        <w:gridCol w:w="742"/>
        <w:gridCol w:w="198"/>
        <w:gridCol w:w="670"/>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81"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学生补助（乌财科教【2021】96 120号）提前下达2022城乡义务教育直达资金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028"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52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5.45</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68.07%</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5.45</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4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5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4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本项目由我校贫困生资助管理专干根据贫困生资助管理平台，提供生活补助发放人数测算，小学34人，初中78人，合计112人。支付全年贫困生生活补助，可改善贫困生家庭经济条件，帮助贫困生顺利完成学业。</w:t>
            </w:r>
          </w:p>
        </w:tc>
        <w:tc>
          <w:tcPr>
            <w:tcW w:w="215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全年资金支付3.71万元，该项目的实施为112名学生提供了困难补助，可改善贫困生家庭经济条件，帮助贫困生顺利完成学业。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9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7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4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3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9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1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资助学生总人数</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&gt;=112人</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112人</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贫困生补助发放覆盖率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享受补助时长</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=2个学期</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1个学期</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因财政资金紧张，没能及时拨付资金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小学生资助标准</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&lt;=625人/元/年</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312.5人/元/年</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因财政资金紧张，没能及时拨付资金，导致未按照标准发放补助</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初中生资助标准</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&lt;=750人/元/年</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375人/元/年</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因财政资金紧张，没能及时拨付资金，导致未按照标准发放补助</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保障贫困生享受生活补助</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9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因财政资金紧张，没能及时拨付资金，导致学生满意度不高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26"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80.76分</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4E23F56"/>
    <w:rsid w:val="242A0B1C"/>
    <w:rsid w:val="3C28650F"/>
    <w:rsid w:val="4722488F"/>
    <w:rsid w:val="59824F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7495</Words>
  <Characters>8588</Characters>
  <TotalTime>1</TotalTime>
  <ScaleCrop>false</ScaleCrop>
  <LinksUpToDate>false</LinksUpToDate>
  <CharactersWithSpaces>8604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2023-08-24T04:30:00Z</dcterms:created>
  <dc:creator>asus</dc:creator>
  <cp:lastModifiedBy>逐梦令</cp:lastModifiedBy>
  <dcterms:modified xsi:type="dcterms:W3CDTF">2023-09-01T04:05:48Z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43AF9388BE1B4F0CB314BF738E741A03_13</vt:lpwstr>
  </property>
</Properties>
</file>