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乌鲁木齐市米东区第103小学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1．宣传贯彻执行党和国家的教育方针、政策、法律法规等，坚持依法治教、依法治学，贯彻执行上级教育部门的行政规章制度。</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2．配合上级教育部门制定符合党的教育方针和国家教育法律法规以及本校实际的教育发展规划和学校布局调整规划，并抓好组织实施和落实工作。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3．配合各级人民政府依法动员、组织适龄少年入学，严格控制辍学，推进普及义务教育。</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4．组织开展本校的教育教学科研和教育教学改革，科研兴教，科研兴校。负责对本校教育教学业务的具体管理，负责教育教学管理及教研教改工作。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5．按照干部和教师的职数、编制和管理权限，制定切实可行的学校工作规章制度，以提高教育教学质量为目的，负责本校教师人事管理、继续教育、考核考评等工作。</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6．负责本校财务和基建管理，筹措资金，改善办学条件等工作，为师生提供优美和谐的学习和工作环境。核算和发放教职工工资</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维护教职工利益，保障教职工合法权益。</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7．指导、管理、检查、评价本校的教育教学工作，提高办学质量和办学效益。按照义务教育课程计划，开齐课程，开足课时，认真教育教学管理，全面提高教育教学质量。</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8．建立健全学生学籍管理制度，按国家教育部颁布的规定管理学生学籍。</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9．在上级党委、政府和教育行政部门的领导下，积极开展学校的安全管理，不断提高安全管理水平，努力营造安全和谐的校园环境。</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10．在上级教育部门的领导下，谋划布局，全面推进义务教育均衡发展。</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乌鲁木齐市米东区第103小学2022年度，实有人数30人，其中：在职人员19人，离休人员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人，退休人员11人。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从部门决算单位构成看，乌鲁木齐市米东区第103小学部门决算包括：乌鲁木齐市米东区第103小学</w:t>
      </w:r>
      <w:r>
        <w:rPr>
          <w:rFonts w:hint="eastAsia" w:ascii="仿宋_GB2312" w:hAnsi="仿宋_GB2312" w:eastAsia="仿宋_GB2312"/>
          <w:kern w:val="0"/>
          <w:sz w:val="32"/>
          <w:szCs w:val="24"/>
          <w:lang w:val="zh-CN"/>
        </w:rPr>
        <w:t>决算。单位无下属预算单位，下设5个科室，分别是：</w:t>
      </w:r>
      <w:r>
        <w:rPr>
          <w:rFonts w:hint="eastAsia" w:ascii="仿宋_GB2312" w:hAnsi="仿宋_GB2312" w:eastAsia="仿宋_GB2312"/>
          <w:kern w:val="0"/>
          <w:sz w:val="32"/>
          <w:szCs w:val="24"/>
        </w:rPr>
        <w:t>书记校长室、教务处、德育处、总务处、财务室</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379.42万元，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379.42</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与上年相比，增加24.13万元，增长6.79%，主要原因是：本年单位调入2人，聘用教师增加2人，拨付部分上年社保经费，增加基础绩效奖，补发调标工资，同工同酬教师补发30%绩效，增加社保基数。</w:t>
      </w:r>
      <w:r>
        <w:rPr>
          <w:rFonts w:hint="eastAsia" w:ascii="仿宋_GB2312" w:hAnsi="仿宋_GB2312" w:eastAsia="仿宋_GB2312"/>
          <w:kern w:val="0"/>
          <w:sz w:val="32"/>
          <w:szCs w:val="24"/>
          <w:lang w:val="en-US" w:eastAsia="zh-CN"/>
        </w:rPr>
        <w:t>增加</w:t>
      </w:r>
      <w:r>
        <w:rPr>
          <w:rFonts w:hint="eastAsia" w:ascii="仿宋_GB2312" w:hAnsi="仿宋_GB2312" w:eastAsia="仿宋_GB2312"/>
          <w:kern w:val="0"/>
          <w:sz w:val="32"/>
          <w:szCs w:val="24"/>
        </w:rPr>
        <w:t>校车款，导致本年收入增加。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379.42万元，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362.60</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16.82</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24.13万元，增长6.79%，主要原因是：本年单位调入2人，聘用教师增加2人，支付部分上年社保经费，增加基础绩效奖，补发调标工资，同工同酬教师补发30%绩效，增加社保基数。支付2021年校车款，导致本年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2022年度本年收入379.42万元，其中：财政拨款收入366.70万元，占96.65%；上级补助收入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万元，占0.00%；其他收入12.72万元，占3.35%。</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2022年度本年支出362.60万元，其中：基本支出343.31万元，占94.68%；项目支出19.29万元，占5.32%；上缴上级支出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366.70万元，</w:t>
      </w:r>
      <w:r>
        <w:rPr>
          <w:rFonts w:hint="eastAsia" w:ascii="仿宋_GB2312" w:hAnsi="仿宋_GB2312" w:eastAsia="仿宋_GB2312"/>
          <w:sz w:val="32"/>
          <w:szCs w:val="24"/>
        </w:rPr>
        <w:t>其中：年初财政拨款结转和结余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366.70</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与上年相比，增加11.41万元，增长3.21%，主要原因是：本年单位调入2人，聘用教师增加2人，拨付部分上年社保经费，增加基础绩效奖，补发调标工资，同工同酬教师补发30%绩效，增加社保基数。</w:t>
      </w:r>
      <w:r>
        <w:rPr>
          <w:rFonts w:hint="eastAsia" w:ascii="仿宋_GB2312" w:hAnsi="仿宋_GB2312" w:eastAsia="仿宋_GB2312"/>
          <w:kern w:val="0"/>
          <w:sz w:val="32"/>
          <w:szCs w:val="24"/>
          <w:lang w:val="en-US" w:eastAsia="zh-CN"/>
        </w:rPr>
        <w:t>增加</w:t>
      </w:r>
      <w:r>
        <w:rPr>
          <w:rFonts w:hint="eastAsia" w:ascii="仿宋_GB2312" w:hAnsi="仿宋_GB2312" w:eastAsia="仿宋_GB2312"/>
          <w:kern w:val="0"/>
          <w:sz w:val="32"/>
          <w:szCs w:val="24"/>
        </w:rPr>
        <w:t>校车款，导致本年收入增加。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366.70万元，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9.99</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356.71</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11.41万元，增长3.21%，主要原因是：本年单位调入2人，聘用教师增加2人，支付部分上年社保经费，增加基础绩效奖，补发调标工资，同工同酬教师补发30%绩效，增加社保基数。支付2021年校车款，导致本年支出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374.00万元，决算数366.70万元，预决算差异率-1.95%，主要原因是：调减社保，保安工资，代课教师同工同酬教师工资，乌财科教【2021】96号120号等补助资金城乡公用经费，办公费，工会费，福利费等公用经费，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374.00万元，决算数366.70万元，预决算差异率-1.95%，主要原因是：调减社保，保安工资，代课教师同工同酬教师工资，乌财科教【2021】96号120号等补助资金城乡公用经费，办公费，工会费，福利费等公用经费，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356.71</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增加1.42万元，增长0.40%，主要原因是：本年增加校车款，代课教师同工同酬教师补发30%绩效工资等支出。</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sz w:val="32"/>
          <w:szCs w:val="24"/>
        </w:rPr>
        <w:t>1.教育支出（类）356.71万元，占100.00%。</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1.教育支出（类）普通教育（款）小学教育（项）:支出决算数为356.71万元，比上年决算增加22.46万元，增长6.72%，主要原因是：本年增加校车款，代课教师同工同酬教师补发30%绩效工资等支出</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sz w:val="32"/>
          <w:szCs w:val="24"/>
        </w:rPr>
      </w:pPr>
      <w:r>
        <w:rPr>
          <w:rFonts w:hint="eastAsia" w:ascii="仿宋_GB2312" w:hAnsi="仿宋_GB2312" w:eastAsia="仿宋_GB2312"/>
          <w:kern w:val="0"/>
          <w:sz w:val="32"/>
          <w:szCs w:val="24"/>
        </w:rPr>
        <w:t>2.社会保障和就业支出（类）行政事业单位养老支出（款）机关事业单位基本养老保险缴费支出（项）:支出决算数为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万元，比上年决算减少21.04万元，下降100.00%，主要原因是：本年机关事业单位基本养老保险缴费支出调整到2050202款。</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2022年度一般公共预算财政拨款基本支出343.31万元，其中：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人员经费314.00万元，包括：基本工资、津贴补贴、奖金、绩效工资、机关事业单位基本养老保险缴费、职工基本医疗保险缴费、公务员医疗补助缴费、其他社会保障缴费、住房公积金、生活补助、奖励金。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公用经费29.31万元，包括：邮电费、取暖费、劳务费、其他交通费用。</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万元。公务用车运行维护费开支内容包括本年单位无此项支出。公务用车购置数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2022年度乌鲁木齐市米东区第103小学单位公用经费29.30万元，比上年减少8.37万元，下降22.22%，主要原因是：本年电费、劳务费、福利费等经费支出减少。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493.78</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房屋1,392.00平方米，价值178.02万元。车辆1辆，价值3.73万元，其中：副部（省）级及以上领导用车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辆、其他用车1辆，其他用车主要是：单位业务用车；单价100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根据预算绩效管理要求，我单位2022年度开展预算绩效评价项目5个，全年预算数20.43万元，全年执行数12.73万元。预算绩效管理取得的成效：一是提高我校办学硬件设施，校园环境得到有效改善办学条件明显改善</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二是为全校师生提供一个温暖舒适的学习生活环境，确保本年度教学楼办公用房温度达标，保障冬季教学工作正常进行</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三是乌财教科【2022】45号上级专项资金，主要用于聘用教师同工同酬教师工资补助。城乡义务教育经费保障机制</w:t>
      </w:r>
      <w:r>
        <w:rPr>
          <w:rFonts w:hint="default" w:ascii="仿宋_GB2312" w:hAnsi="仿宋_GB2312" w:eastAsia="仿宋_GB2312"/>
          <w:kern w:val="0"/>
          <w:sz w:val="32"/>
          <w:szCs w:val="24"/>
        </w:rPr>
        <w:t>—</w:t>
      </w:r>
      <w:r>
        <w:rPr>
          <w:rFonts w:hint="eastAsia" w:ascii="仿宋_GB2312" w:hAnsi="仿宋_GB2312" w:eastAsia="仿宋_GB2312"/>
          <w:kern w:val="0"/>
          <w:sz w:val="32"/>
          <w:szCs w:val="24"/>
        </w:rPr>
        <w:t>非寄宿生生活补助足额发放到位。为了保障这部分学生的学习生活能够有序开展，每生每年625元的生活补助，保障非寄宿生贫困生享受教育资助，平等享受教育资源，达到了预期效果。发现的问题及原因：</w:t>
      </w:r>
      <w:r>
        <w:rPr>
          <w:rFonts w:hint="eastAsia" w:ascii="仿宋_GB2312" w:hAnsi="仿宋_GB2312" w:eastAsia="仿宋_GB2312"/>
          <w:kern w:val="0"/>
          <w:sz w:val="32"/>
          <w:szCs w:val="24"/>
          <w:lang w:val="en-US" w:eastAsia="zh-CN"/>
        </w:rPr>
        <w:t>一是</w:t>
      </w:r>
      <w:r>
        <w:rPr>
          <w:rFonts w:hint="eastAsia" w:ascii="仿宋_GB2312" w:hAnsi="仿宋_GB2312" w:eastAsia="仿宋_GB2312"/>
          <w:kern w:val="0"/>
          <w:sz w:val="32"/>
          <w:szCs w:val="24"/>
        </w:rPr>
        <w:t>需要更加有效满足2022年期间教师工作需要，保证教学正常有序开展。二是满意度不高。下一步改进措施:</w:t>
      </w:r>
      <w:r>
        <w:rPr>
          <w:rFonts w:hint="eastAsia" w:ascii="仿宋_GB2312" w:hAnsi="仿宋_GB2312" w:eastAsia="仿宋_GB2312"/>
          <w:kern w:val="0"/>
          <w:sz w:val="32"/>
          <w:szCs w:val="24"/>
          <w:lang w:val="en-US" w:eastAsia="zh-CN"/>
        </w:rPr>
        <w:t>一</w:t>
      </w:r>
      <w:r>
        <w:rPr>
          <w:rFonts w:hint="eastAsia" w:ascii="仿宋_GB2312" w:hAnsi="仿宋_GB2312" w:eastAsia="仿宋_GB2312"/>
          <w:kern w:val="0"/>
          <w:sz w:val="32"/>
          <w:szCs w:val="24"/>
        </w:rPr>
        <w:t>是提高我校办学硬件设施，校园环境能够得到有效改善办学条件明显改善。</w:t>
      </w:r>
      <w:r>
        <w:rPr>
          <w:rFonts w:hint="eastAsia" w:ascii="仿宋_GB2312" w:hAnsi="仿宋_GB2312" w:eastAsia="仿宋_GB2312"/>
          <w:kern w:val="0"/>
          <w:sz w:val="32"/>
          <w:szCs w:val="24"/>
          <w:lang w:val="en-US" w:eastAsia="zh-CN"/>
        </w:rPr>
        <w:t>二是</w:t>
      </w:r>
      <w:r>
        <w:rPr>
          <w:rFonts w:hint="eastAsia" w:ascii="仿宋_GB2312" w:hAnsi="仿宋_GB2312" w:eastAsia="仿宋_GB2312"/>
          <w:kern w:val="0"/>
          <w:sz w:val="32"/>
          <w:szCs w:val="24"/>
        </w:rPr>
        <w:t>为师生提供一个良好的环境。具体项目自评情况附项目支出绩效自评表。</w:t>
      </w:r>
    </w:p>
    <w:tbl>
      <w:tblPr>
        <w:tblStyle w:val="4"/>
        <w:tblW w:w="4869" w:type="pct"/>
        <w:tblInd w:w="1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5"/>
        <w:gridCol w:w="625"/>
        <w:gridCol w:w="858"/>
        <w:gridCol w:w="837"/>
        <w:gridCol w:w="765"/>
        <w:gridCol w:w="907"/>
        <w:gridCol w:w="898"/>
        <w:gridCol w:w="793"/>
        <w:gridCol w:w="132"/>
        <w:gridCol w:w="536"/>
        <w:gridCol w:w="314"/>
        <w:gridCol w:w="381"/>
        <w:gridCol w:w="519"/>
        <w:gridCol w:w="6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408"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公用经费--关于提前下达2022年教育直达资金的通知[乌财科教2021[120]号]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952"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c>
          <w:tcPr>
            <w:tcW w:w="9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476"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9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5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9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56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52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3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4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5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2.18</w:t>
            </w:r>
          </w:p>
        </w:tc>
        <w:tc>
          <w:tcPr>
            <w:tcW w:w="9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0.67</w:t>
            </w:r>
          </w:p>
        </w:tc>
        <w:tc>
          <w:tcPr>
            <w:tcW w:w="56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2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30.73%</w:t>
            </w:r>
          </w:p>
        </w:tc>
        <w:tc>
          <w:tcPr>
            <w:tcW w:w="3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3.07分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4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5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2.18</w:t>
            </w:r>
          </w:p>
        </w:tc>
        <w:tc>
          <w:tcPr>
            <w:tcW w:w="9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0.67</w:t>
            </w:r>
          </w:p>
        </w:tc>
        <w:tc>
          <w:tcPr>
            <w:tcW w:w="56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2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4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9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6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2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8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4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2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9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6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2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38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314"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456"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314"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 为教师提供了更多的学习、培训机会，教师专业化水平和综合素质不断提升。</w:t>
            </w:r>
          </w:p>
        </w:tc>
        <w:tc>
          <w:tcPr>
            <w:tcW w:w="2456"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该项目支付本单位10个月学校安保服务费，维修学校设施，改善我校办学硬件设施，有效改善校园环境，明显提高办学条件，推动义务教育均衡化发展。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9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454"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52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536"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1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0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68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454"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36"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1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8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6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购买和更换办公耗材次数</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&gt;=2次</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2次</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学校公共设施日常维修改造次数</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&gt;=4次</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4次</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购买和更换办公耗材合格率</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&gt;=99%</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99%</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学校公共设施日常维修改造质量达标率</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&gt;=98%</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98%</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学校公共设施维修成本</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&lt;=0.30万元</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0.3万元</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购买和更换办公耗材费用</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&lt;=0.50万元</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0.37万元</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2022年度因疫情原因，暂未拨付该项目部分资金。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提高社会服务发展能力，提升学生综合素质</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保障教育教学工作正常开展</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长期保障</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6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45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学生和家长满意度</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&gt;=95%</w:t>
            </w:r>
          </w:p>
        </w:tc>
        <w:tc>
          <w:tcPr>
            <w:tcW w:w="53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0" w:type="pct"/>
            <w:gridSpan w:val="9"/>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1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0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93.07分</w:t>
            </w:r>
          </w:p>
        </w:tc>
        <w:tc>
          <w:tcPr>
            <w:tcW w:w="68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24"/>
          <w:szCs w:val="24"/>
          <w:highlight w:val="white"/>
          <w:lang w:val="en-US"/>
        </w:rPr>
      </w:pPr>
    </w:p>
    <w:tbl>
      <w:tblPr>
        <w:tblStyle w:val="4"/>
        <w:tblW w:w="4885" w:type="pct"/>
        <w:tblInd w:w="1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7"/>
        <w:gridCol w:w="673"/>
        <w:gridCol w:w="731"/>
        <w:gridCol w:w="907"/>
        <w:gridCol w:w="927"/>
        <w:gridCol w:w="420"/>
        <w:gridCol w:w="915"/>
        <w:gridCol w:w="885"/>
        <w:gridCol w:w="146"/>
        <w:gridCol w:w="499"/>
        <w:gridCol w:w="483"/>
        <w:gridCol w:w="597"/>
        <w:gridCol w:w="166"/>
        <w:gridCol w:w="8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76"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公用经费---提前下达2022城乡义务教育直达资金（乌财科教【2021】96号】）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253"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527"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2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7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5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2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7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9.98</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9.89</w:t>
            </w:r>
          </w:p>
        </w:tc>
        <w:tc>
          <w:tcPr>
            <w:tcW w:w="5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99.10%</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9.91分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2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7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9.98</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9.89</w:t>
            </w:r>
          </w:p>
        </w:tc>
        <w:tc>
          <w:tcPr>
            <w:tcW w:w="5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2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2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46"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53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9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6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4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51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642"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122"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642"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正常开展各项日常教育教学活动为重点，为学校日常运转提供有力保障，各类教育教学活动有序开展，办学水平不断提升。有城乡义务教育经费做保障，使我校的教育资源配置优化，学校面貌发生了巨大变化，办学条件得到大力改善，教师业务水平进一步提升。随着公用经费支出中对校本教研和教师培训经费保障的进一步强化， 为教师提供了更多的学习、培训机会，教师专业化水平和综合素质不断提升。</w:t>
            </w:r>
          </w:p>
        </w:tc>
        <w:tc>
          <w:tcPr>
            <w:tcW w:w="2122"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该项目用于维修学校设施，改善我校办学硬件设施，有效改善校园环境，明显提高办学条件，推动义务教育均衡化发展。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22"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302"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52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511"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7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623"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61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302"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1"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3"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1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8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办公用品购买次数</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&gt;=4次</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4次</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学校公共设施日常维修改造次数</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&gt;=8次</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8次</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办公用品质量达标率</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&gt;=99%</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99%</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学校公共设施日常维修改造质量达标率</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&gt;=98%</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98%</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每次公共设施维修成本</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&lt;=0.75万元</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0.75万元</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办公用品购买费用</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&lt;=1万元</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1万元</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提高社会服务发展能力，提升学生综合素质</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保障教育教学工作正常开展</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长期保障</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2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302"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学生和家长满意度</w:t>
            </w:r>
          </w:p>
        </w:tc>
        <w:tc>
          <w:tcPr>
            <w:tcW w:w="5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&gt;=95%</w:t>
            </w:r>
          </w:p>
        </w:tc>
        <w:tc>
          <w:tcPr>
            <w:tcW w:w="511"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95%</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88"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7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62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99.91分</w:t>
            </w:r>
          </w:p>
        </w:tc>
        <w:tc>
          <w:tcPr>
            <w:tcW w:w="61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24"/>
          <w:szCs w:val="24"/>
          <w:highlight w:val="white"/>
          <w:lang w:val="en-US"/>
        </w:rPr>
      </w:pPr>
    </w:p>
    <w:tbl>
      <w:tblPr>
        <w:tblStyle w:val="4"/>
        <w:tblW w:w="4886" w:type="pct"/>
        <w:tblInd w:w="1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4"/>
        <w:gridCol w:w="701"/>
        <w:gridCol w:w="720"/>
        <w:gridCol w:w="630"/>
        <w:gridCol w:w="1155"/>
        <w:gridCol w:w="105"/>
        <w:gridCol w:w="1035"/>
        <w:gridCol w:w="900"/>
        <w:gridCol w:w="75"/>
        <w:gridCol w:w="660"/>
        <w:gridCol w:w="255"/>
        <w:gridCol w:w="825"/>
        <w:gridCol w:w="165"/>
        <w:gridCol w:w="1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67" w:type="pct"/>
            <w:gridSpan w:val="1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培训费---提前下达2022城乡义务教育直达资金（乌财科教【2021】96号】）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105"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c>
          <w:tcPr>
            <w:tcW w:w="56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698"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7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6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56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6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0.42</w:t>
            </w:r>
          </w:p>
        </w:tc>
        <w:tc>
          <w:tcPr>
            <w:tcW w:w="56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0.24</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57.14%</w:t>
            </w:r>
          </w:p>
        </w:tc>
        <w:tc>
          <w:tcPr>
            <w:tcW w:w="6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5.71分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0.42</w:t>
            </w:r>
          </w:p>
        </w:tc>
        <w:tc>
          <w:tcPr>
            <w:tcW w:w="56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0.24</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6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32"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7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66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6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2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7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93"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510"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261"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510"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保障我校教师正常参加各类培训，提高教师业务能力。</w:t>
            </w:r>
          </w:p>
        </w:tc>
        <w:tc>
          <w:tcPr>
            <w:tcW w:w="2261"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本项目教师继续教育培训1次，培训4人。该项目的实施，提高学校的教学质量,改善我校教师教师自身的教学水平和能力，充分调动教师学习的积极性，在教学改革中实现真正的成长。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1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1091"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59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51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42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719" w:type="pct"/>
            <w:gridSpan w:val="3"/>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59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1091"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19" w:type="pct"/>
            <w:gridSpan w:val="3"/>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40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参加继续教育培训人数</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&gt;=5人</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4人</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因疫情原因，资金未拨付到位。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完成培训的计划班次</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参加继续教育培训通过率</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&gt;=99%</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99%</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5</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保质保量完成培训内容</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参加继续教育培训成本</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&lt;=0.08万元</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0.06万元</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开展党的路线、方针、政策宣传，提高人们的社会意识</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有效完成</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加强环保方面的宣传，提高生态意识</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可持续发展理念的宣传和培训</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长期有效</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7"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0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1091"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培训对象满意度</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51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258"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4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719" w:type="pct"/>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94.71分</w:t>
            </w:r>
          </w:p>
        </w:tc>
        <w:tc>
          <w:tcPr>
            <w:tcW w:w="59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24"/>
          <w:szCs w:val="24"/>
          <w:highlight w:val="white"/>
          <w:lang w:val="en-US"/>
        </w:rPr>
      </w:pPr>
    </w:p>
    <w:tbl>
      <w:tblPr>
        <w:tblStyle w:val="4"/>
        <w:tblW w:w="4894" w:type="pct"/>
        <w:tblInd w:w="8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
        <w:gridCol w:w="675"/>
        <w:gridCol w:w="720"/>
        <w:gridCol w:w="740"/>
        <w:gridCol w:w="700"/>
        <w:gridCol w:w="436"/>
        <w:gridCol w:w="1023"/>
        <w:gridCol w:w="1091"/>
        <w:gridCol w:w="436"/>
        <w:gridCol w:w="209"/>
        <w:gridCol w:w="760"/>
        <w:gridCol w:w="736"/>
        <w:gridCol w:w="6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351" w:type="pct"/>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乌财科教[2022]45号--关于拨付2022年中小学和幼儿园自聘教师补助资金的通知（小学）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2087"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c>
          <w:tcPr>
            <w:tcW w:w="8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383"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8"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58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8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5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4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6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58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7.26</w:t>
            </w:r>
          </w:p>
        </w:tc>
        <w:tc>
          <w:tcPr>
            <w:tcW w:w="8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1.55</w:t>
            </w:r>
          </w:p>
        </w:tc>
        <w:tc>
          <w:tcPr>
            <w:tcW w:w="5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21.35%</w:t>
            </w:r>
          </w:p>
        </w:tc>
        <w:tc>
          <w:tcPr>
            <w:tcW w:w="4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2.14分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6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58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7.26</w:t>
            </w:r>
          </w:p>
        </w:tc>
        <w:tc>
          <w:tcPr>
            <w:tcW w:w="8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1.55</w:t>
            </w:r>
          </w:p>
        </w:tc>
        <w:tc>
          <w:tcPr>
            <w:tcW w:w="5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 xml:space="preserve"> 上年结转资金</w:t>
            </w:r>
          </w:p>
        </w:tc>
        <w:tc>
          <w:tcPr>
            <w:tcW w:w="6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8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8"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65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8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8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58"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4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476"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26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476"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聘用代课教师，弥补现有师资力量的不足，保障学校各项正常教学工作的完成；提高教师的工作效率，提高受益对象的满意度。</w:t>
            </w:r>
          </w:p>
        </w:tc>
        <w:tc>
          <w:tcPr>
            <w:tcW w:w="226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该项目全额发放我单位1-10月非在编教师工资，改善了非在编教师的生活质量，提高了非在编教师工作积极性。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41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830"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84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62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371"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438"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82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30"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4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38"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2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8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代课教师发放人数</w:t>
            </w: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&gt;=1人</w:t>
            </w: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1人</w:t>
            </w: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资金发放准确性</w:t>
            </w: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资金发放及时性</w:t>
            </w: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83%</w:t>
            </w: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9.3</w:t>
            </w: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因疫情原因，我单位2022年11-12月未发放工资。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项目完成时间</w:t>
            </w: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=12个月</w:t>
            </w: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10个月</w:t>
            </w: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因疫情原因，我单位2022年11-12月未发放工资。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代课教师月工资</w:t>
            </w: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&lt;=1950元/月</w:t>
            </w: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1950元/月</w:t>
            </w: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调动代课教师的工作热情和积极性，提高教学质量</w:t>
            </w: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有效提高</w:t>
            </w: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因疫情原因，我单位2022年11-12月未发放工资。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保证教学工作的正常开展</w:t>
            </w: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长期保证</w:t>
            </w: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59"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8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41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83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代课教师满意度</w:t>
            </w:r>
          </w:p>
        </w:tc>
        <w:tc>
          <w:tcPr>
            <w:tcW w:w="84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62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65" w:type="pct"/>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371"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43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81.44分</w:t>
            </w:r>
          </w:p>
        </w:tc>
        <w:tc>
          <w:tcPr>
            <w:tcW w:w="82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shd w:val="clear" w:color="auto" w:fill="FFFFFF"/>
        <w:spacing w:before="100" w:beforeLines="0" w:afterLines="0" w:line="520" w:lineRule="exact"/>
        <w:ind w:left="118" w:firstLine="480"/>
        <w:rPr>
          <w:rFonts w:hint="default" w:eastAsia="Times New Roman"/>
          <w:color w:val="auto"/>
          <w:kern w:val="0"/>
          <w:sz w:val="24"/>
          <w:szCs w:val="24"/>
          <w:highlight w:val="white"/>
          <w:lang w:val="en-US"/>
        </w:rPr>
      </w:pPr>
    </w:p>
    <w:tbl>
      <w:tblPr>
        <w:tblStyle w:val="4"/>
        <w:tblW w:w="4903" w:type="pct"/>
        <w:tblInd w:w="7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6"/>
        <w:gridCol w:w="597"/>
        <w:gridCol w:w="643"/>
        <w:gridCol w:w="686"/>
        <w:gridCol w:w="904"/>
        <w:gridCol w:w="879"/>
        <w:gridCol w:w="870"/>
        <w:gridCol w:w="285"/>
        <w:gridCol w:w="632"/>
        <w:gridCol w:w="1138"/>
        <w:gridCol w:w="60"/>
        <w:gridCol w:w="13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2"/>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2"/>
            <w:tcBorders>
              <w:top w:val="nil"/>
              <w:left w:val="nil"/>
              <w:bottom w:val="nil"/>
              <w:right w:val="nil"/>
              <w:tl2br w:val="nil"/>
              <w:tr2bl w:val="nil"/>
            </w:tcBorders>
            <w:noWrap w:val="0"/>
            <w:vAlign w:val="center"/>
          </w:tcPr>
          <w:p>
            <w:pPr>
              <w:spacing w:beforeLines="0" w:afterLines="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项目名称</w:t>
            </w:r>
          </w:p>
        </w:tc>
        <w:tc>
          <w:tcPr>
            <w:tcW w:w="4295" w:type="pct"/>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学生补助---提前下达2022城乡义务教育直达资金（乌财科教【2021】96号】）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主管部门</w:t>
            </w:r>
          </w:p>
        </w:tc>
        <w:tc>
          <w:tcPr>
            <w:tcW w:w="1791"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实施单位</w:t>
            </w:r>
          </w:p>
        </w:tc>
        <w:tc>
          <w:tcPr>
            <w:tcW w:w="1839"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第103小学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4"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项目资金</w:t>
            </w:r>
            <w:r>
              <w:rPr>
                <w:rFonts w:hint="eastAsia" w:ascii="宋体" w:hAnsi="宋体" w:cs="宋体"/>
                <w:color w:val="000000"/>
                <w:kern w:val="0"/>
                <w:sz w:val="18"/>
                <w:szCs w:val="18"/>
                <w:lang w:val="en-US" w:eastAsia="zh-CN" w:bidi="ar"/>
              </w:rPr>
              <w:br w:type="textWrapping"/>
            </w:r>
            <w:r>
              <w:rPr>
                <w:rFonts w:hint="eastAsia" w:ascii="宋体" w:hAnsi="宋体" w:cs="宋体"/>
                <w:color w:val="000000"/>
                <w:kern w:val="0"/>
                <w:sz w:val="18"/>
                <w:szCs w:val="18"/>
                <w:lang w:val="en-US" w:eastAsia="zh-CN" w:bidi="ar"/>
              </w:rPr>
              <w:t>（万元）</w:t>
            </w:r>
          </w:p>
        </w:tc>
        <w:tc>
          <w:tcPr>
            <w:tcW w:w="76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年初预算数</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全年执行数</w:t>
            </w:r>
          </w:p>
        </w:tc>
        <w:tc>
          <w:tcPr>
            <w:tcW w:w="3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6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执行率</w:t>
            </w:r>
          </w:p>
        </w:tc>
        <w:tc>
          <w:tcPr>
            <w:tcW w:w="8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年度资金总额</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0.00</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0.59</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0.38</w:t>
            </w:r>
          </w:p>
        </w:tc>
        <w:tc>
          <w:tcPr>
            <w:tcW w:w="3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64.41%</w:t>
            </w:r>
          </w:p>
        </w:tc>
        <w:tc>
          <w:tcPr>
            <w:tcW w:w="8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6.44分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其中：当年财政拨款</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0.00</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0.59</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0.38</w:t>
            </w:r>
          </w:p>
        </w:tc>
        <w:tc>
          <w:tcPr>
            <w:tcW w:w="3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8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上年结转资金</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8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04"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65"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其他资金</w:t>
            </w:r>
          </w:p>
        </w:tc>
        <w:tc>
          <w:tcPr>
            <w:tcW w:w="52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36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65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c>
          <w:tcPr>
            <w:tcW w:w="820"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年度总体目标</w:t>
            </w:r>
          </w:p>
        </w:tc>
        <w:tc>
          <w:tcPr>
            <w:tcW w:w="2135"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预期目标</w:t>
            </w:r>
          </w:p>
        </w:tc>
        <w:tc>
          <w:tcPr>
            <w:tcW w:w="250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2135"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lang w:val="en-US"/>
              </w:rPr>
            </w:pPr>
            <w:r>
              <w:rPr>
                <w:rFonts w:hint="eastAsia" w:ascii="宋体" w:hAnsi="宋体" w:cs="宋体"/>
                <w:color w:val="000000"/>
                <w:kern w:val="0"/>
                <w:sz w:val="18"/>
                <w:szCs w:val="18"/>
                <w:lang w:val="en-US" w:eastAsia="zh-CN" w:bidi="ar"/>
              </w:rPr>
              <w:t>解决贫困生生活困难，减轻贫困家庭经济负担。</w:t>
            </w:r>
          </w:p>
        </w:tc>
        <w:tc>
          <w:tcPr>
            <w:tcW w:w="2504"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该项目全额发放2022年上半学期贫困生补助，该项目的实施可改善学生生活水平，提高学生生活质量，小学标准为312.5元/学期。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一级指标</w:t>
            </w:r>
          </w:p>
        </w:tc>
        <w:tc>
          <w:tcPr>
            <w:tcW w:w="37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二级指标</w:t>
            </w:r>
          </w:p>
        </w:tc>
        <w:tc>
          <w:tcPr>
            <w:tcW w:w="915"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三级指标</w:t>
            </w:r>
          </w:p>
        </w:tc>
        <w:tc>
          <w:tcPr>
            <w:tcW w:w="506"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年度指标值</w:t>
            </w:r>
          </w:p>
        </w:tc>
        <w:tc>
          <w:tcPr>
            <w:tcW w:w="50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实际完成值</w:t>
            </w:r>
          </w:p>
        </w:tc>
        <w:tc>
          <w:tcPr>
            <w:tcW w:w="527"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分值</w:t>
            </w:r>
          </w:p>
        </w:tc>
        <w:tc>
          <w:tcPr>
            <w:tcW w:w="689" w:type="pct"/>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得分</w:t>
            </w:r>
          </w:p>
        </w:tc>
        <w:tc>
          <w:tcPr>
            <w:tcW w:w="785"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915"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0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7"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89" w:type="pct"/>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85"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年度绩效指标完成情况</w:t>
            </w:r>
          </w:p>
        </w:tc>
        <w:tc>
          <w:tcPr>
            <w:tcW w:w="34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产出指标</w:t>
            </w: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数量指标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发放贫困补助学生人数</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&gt;=18人</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12人</w:t>
            </w: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6.7</w:t>
            </w: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022年度下半学期因疫情原因，暂未发放该项目部分资金。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非寄宿贫困学生覆盖率</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质量指标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资助标准达标率</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时效指标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享受补助时长</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=2个学期</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1个学期</w:t>
            </w: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w:t>
            </w: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022年度下半学期因疫情原因，暂未发放该项目部分资金。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成本指标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享受补助标准</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=312.50元/生/学期</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312.5元/生/学期</w:t>
            </w: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效益指标</w:t>
            </w: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经济效益指标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社会效益指标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解决非寄宿贫困学生困难</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有效解决</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生态效益指标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rPr>
                <w:rFonts w:hint="eastAsia" w:ascii="宋体" w:hAnsi="宋体" w:cs="宋体"/>
                <w:color w:val="000000"/>
                <w:sz w:val="18"/>
                <w:szCs w:val="18"/>
              </w:rPr>
            </w:pP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可持续影响指标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促进贫困生平等享受教育资源</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长期促进</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完全达到预期效果</w:t>
            </w: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15</w:t>
            </w: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c>
          <w:tcPr>
            <w:tcW w:w="343"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3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满意度指标</w:t>
            </w:r>
          </w:p>
        </w:tc>
        <w:tc>
          <w:tcPr>
            <w:tcW w:w="915"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spacing w:beforeLines="0" w:afterLine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学生及家庭满意度</w:t>
            </w:r>
          </w:p>
        </w:tc>
        <w:tc>
          <w:tcPr>
            <w:tcW w:w="50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&gt;=90%</w:t>
            </w:r>
          </w:p>
        </w:tc>
        <w:tc>
          <w:tcPr>
            <w:tcW w:w="5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90%</w:t>
            </w: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w:t>
            </w: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eastAsia" w:ascii="宋体" w:hAnsi="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996"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总分</w:t>
            </w:r>
          </w:p>
        </w:tc>
        <w:tc>
          <w:tcPr>
            <w:tcW w:w="527"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100</w:t>
            </w:r>
          </w:p>
        </w:tc>
        <w:tc>
          <w:tcPr>
            <w:tcW w:w="689" w:type="pct"/>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83.14分</w:t>
            </w:r>
          </w:p>
        </w:tc>
        <w:tc>
          <w:tcPr>
            <w:tcW w:w="785"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cs="宋体"/>
                <w:color w:val="000000"/>
                <w:sz w:val="18"/>
                <w:szCs w:val="18"/>
              </w:rPr>
            </w:pPr>
          </w:p>
        </w:tc>
      </w:tr>
    </w:tbl>
    <w:p>
      <w:pPr>
        <w:rPr>
          <w:rFonts w:hint="default" w:eastAsia="Times New Roman"/>
          <w:kern w:val="0"/>
          <w:sz w:val="24"/>
          <w:szCs w:val="24"/>
        </w:rPr>
      </w:pPr>
      <w:r>
        <w:rPr>
          <w:rFonts w:hint="default" w:eastAsia="Times New Roman"/>
          <w:kern w:val="0"/>
          <w:sz w:val="24"/>
          <w:szCs w:val="24"/>
        </w:rPr>
        <w:br w:type="page"/>
      </w:r>
      <w:bookmarkStart w:id="0" w:name="_GoBack"/>
      <w:bookmarkEnd w:id="0"/>
    </w:p>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1670245A"/>
    <w:rsid w:val="40D76509"/>
    <w:rsid w:val="47494EAF"/>
    <w:rsid w:val="545761A1"/>
    <w:rsid w:val="7AAD2062"/>
    <w:rsid w:val="7F2D5F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uiPriority="99" w:semiHidden="0" w:name="header"/>
    <w:lsdException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qFormat="1"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qFormat/>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qFormat/>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21</Pages>
  <Words>8570</Words>
  <Characters>9690</Characters>
  <TotalTime>21</TotalTime>
  <ScaleCrop>false</ScaleCrop>
  <LinksUpToDate>false</LinksUpToDate>
  <CharactersWithSpaces>9704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2023-08-24T04:23:00Z</dcterms:created>
  <dc:creator>asus</dc:creator>
  <cp:lastModifiedBy>逐梦令</cp:lastModifiedBy>
  <dcterms:modified xsi:type="dcterms:W3CDTF">2023-09-01T01:29:34Z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ADAE3D4916BB4699874B62BA1C7D73CC_13</vt:lpwstr>
  </property>
</Properties>
</file>