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spacing w:before="240" w:beforeLines="0" w:after="240" w:afterLines="0"/>
        <w:jc w:val="center"/>
        <w:rPr>
          <w:rFonts w:hint="default" w:eastAsia="Times New Roman"/>
          <w:kern w:val="36"/>
          <w:sz w:val="40"/>
          <w:szCs w:val="24"/>
          <w:lang w:val="zh-CN"/>
        </w:rPr>
      </w:pP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jc w:val="center"/>
        <w:rPr>
          <w:rFonts w:hint="default" w:ascii="方正小标宋_GBK" w:hAnsi="方正小标宋_GBK" w:eastAsia="方正小标宋_GBK"/>
          <w:sz w:val="44"/>
          <w:szCs w:val="24"/>
        </w:rPr>
      </w:pPr>
      <w:r>
        <w:rPr>
          <w:rFonts w:hint="eastAsia" w:ascii="方正小标宋_GBK" w:hAnsi="方正小标宋_GBK" w:eastAsia="方正小标宋_GBK"/>
          <w:sz w:val="44"/>
          <w:szCs w:val="24"/>
        </w:rPr>
        <w:t>乌鲁木齐市米东区第106小学</w:t>
      </w:r>
    </w:p>
    <w:p>
      <w:pPr>
        <w:spacing w:beforeLines="0" w:afterLines="0"/>
        <w:jc w:val="center"/>
        <w:rPr>
          <w:rFonts w:hint="default" w:eastAsia="Times New Roman"/>
          <w:kern w:val="36"/>
          <w:sz w:val="40"/>
          <w:szCs w:val="24"/>
          <w:lang w:val="zh-CN"/>
        </w:rPr>
      </w:pPr>
      <w:r>
        <w:rPr>
          <w:rFonts w:hint="eastAsia" w:ascii="方正小标宋_GBK" w:hAnsi="方正小标宋_GBK" w:eastAsia="方正小标宋_GBK"/>
          <w:sz w:val="44"/>
          <w:szCs w:val="24"/>
        </w:rPr>
        <w:t>2022年度部门决算公开说明</w:t>
      </w:r>
    </w:p>
    <w:p>
      <w:pPr>
        <w:shd w:val="clear" w:color="auto" w:fill="FFFFFF"/>
        <w:spacing w:before="240" w:beforeLines="0" w:after="240" w:afterLines="0"/>
        <w:jc w:val="center"/>
        <w:rPr>
          <w:rFonts w:hint="default" w:eastAsia="Times New Roman"/>
          <w:kern w:val="36"/>
          <w:sz w:val="40"/>
          <w:szCs w:val="24"/>
          <w:lang w:val="zh-CN"/>
        </w:rPr>
      </w:pPr>
    </w:p>
    <w:p>
      <w:pPr>
        <w:spacing w:beforeLines="0" w:afterLines="0" w:line="540" w:lineRule="exact"/>
        <w:jc w:val="center"/>
        <w:rPr>
          <w:rFonts w:hint="default" w:eastAsia="Times New Roman"/>
          <w:b/>
          <w:kern w:val="0"/>
          <w:sz w:val="24"/>
          <w:szCs w:val="24"/>
        </w:rPr>
      </w:pPr>
      <w:r>
        <w:rPr>
          <w:rFonts w:hint="default" w:eastAsia="Times New Roman"/>
          <w:b/>
          <w:kern w:val="36"/>
          <w:sz w:val="36"/>
          <w:szCs w:val="24"/>
        </w:rPr>
        <w:br w:type="page"/>
      </w:r>
      <w:r>
        <w:rPr>
          <w:rFonts w:hint="eastAsia" w:ascii="仿宋_GB2312" w:hAnsi="仿宋_GB2312" w:eastAsia="仿宋_GB2312"/>
          <w:b/>
          <w:kern w:val="0"/>
          <w:sz w:val="36"/>
          <w:szCs w:val="24"/>
        </w:rPr>
        <w:t>目  录</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第一部分 单位概况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一、主要职能</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kern w:val="0"/>
          <w:sz w:val="32"/>
          <w:szCs w:val="24"/>
        </w:rPr>
        <w:t>二、</w:t>
      </w:r>
      <w:r>
        <w:rPr>
          <w:rFonts w:hint="eastAsia" w:ascii="仿宋_GB2312" w:hAnsi="仿宋_GB2312" w:eastAsia="仿宋_GB2312"/>
          <w:sz w:val="32"/>
          <w:szCs w:val="24"/>
        </w:rPr>
        <w:t>机构设置及人员情况</w:t>
      </w:r>
    </w:p>
    <w:p>
      <w:pPr>
        <w:topLinePunct/>
        <w:spacing w:beforeLines="0" w:afterLines="0" w:line="360" w:lineRule="auto"/>
        <w:rPr>
          <w:rFonts w:hint="default" w:eastAsia="Times New Roman"/>
          <w:kern w:val="0"/>
          <w:sz w:val="32"/>
          <w:szCs w:val="24"/>
        </w:rPr>
      </w:pPr>
      <w:r>
        <w:rPr>
          <w:rFonts w:hint="eastAsia" w:ascii="仿宋_GB2312" w:hAnsi="仿宋_GB2312" w:eastAsia="仿宋_GB2312"/>
          <w:b/>
          <w:kern w:val="0"/>
          <w:sz w:val="32"/>
          <w:szCs w:val="24"/>
        </w:rPr>
        <w:t>第二部分 部门决算情况说明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四、财政拨款收入支出决算总体情况说明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w:t>
      </w:r>
      <w:r>
        <w:rPr>
          <w:rFonts w:hint="eastAsia" w:ascii="仿宋_GB2312" w:hAnsi="仿宋_GB2312" w:eastAsia="仿宋_GB2312"/>
          <w:sz w:val="32"/>
          <w:szCs w:val="24"/>
          <w:lang w:val="zh-CN"/>
        </w:rPr>
        <w:t>财政拨款</w:t>
      </w:r>
      <w:r>
        <w:rPr>
          <w:rFonts w:hint="eastAsia" w:ascii="仿宋_GB2312" w:hAnsi="仿宋_GB2312" w:eastAsia="仿宋_GB2312"/>
          <w:sz w:val="32"/>
          <w:szCs w:val="24"/>
        </w:rPr>
        <w:t>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十、其他重要事项的情况说明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（一）机关运行经费支出情况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（二）政府采购情况</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（三）国有资产占用情况说明</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十</w:t>
      </w:r>
      <w:r>
        <w:rPr>
          <w:rFonts w:hint="eastAsia" w:ascii="仿宋_GB2312" w:hAnsi="仿宋_GB2312" w:eastAsia="仿宋_GB2312"/>
          <w:sz w:val="32"/>
          <w:szCs w:val="24"/>
          <w:lang w:val="zh-CN"/>
        </w:rPr>
        <w:t>一</w:t>
      </w:r>
      <w:r>
        <w:rPr>
          <w:rFonts w:hint="eastAsia" w:ascii="仿宋_GB2312" w:hAnsi="仿宋_GB2312" w:eastAsia="仿宋_GB2312"/>
          <w:sz w:val="32"/>
          <w:szCs w:val="24"/>
        </w:rPr>
        <w:t>、预算绩效的情况说明</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第三部分 专业名词解释</w:t>
      </w:r>
    </w:p>
    <w:p>
      <w:pPr>
        <w:topLinePunct/>
        <w:spacing w:beforeLines="0" w:afterLines="0" w:line="360" w:lineRule="auto"/>
        <w:rPr>
          <w:rFonts w:hint="default" w:eastAsia="Times New Roman"/>
          <w:b/>
          <w:kern w:val="0"/>
          <w:sz w:val="32"/>
          <w:szCs w:val="24"/>
        </w:rPr>
      </w:pPr>
      <w:r>
        <w:rPr>
          <w:rFonts w:hint="eastAsia" w:ascii="仿宋_GB2312" w:hAnsi="仿宋_GB2312" w:eastAsia="仿宋_GB2312"/>
          <w:b/>
          <w:kern w:val="0"/>
          <w:sz w:val="32"/>
          <w:szCs w:val="24"/>
        </w:rPr>
        <w:t>第四部分 部</w:t>
      </w:r>
      <w:r>
        <w:rPr>
          <w:rFonts w:hint="eastAsia" w:ascii="仿宋_GB2312" w:hAnsi="仿宋_GB2312" w:eastAsia="仿宋_GB2312"/>
          <w:b/>
          <w:sz w:val="32"/>
          <w:szCs w:val="24"/>
        </w:rPr>
        <w:t>门决算报表（见附表）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一、《收入支出决算总表》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二、《收入决算表》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三、《支出决算表》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四、《财政拨款收入支出决算总表》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五、《一般公共预算财政拨款支出决算表》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六、《一般公共预算财政拨款基本支出决算表》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七、《财政拨款“三公”经费支出决算表》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八、《政府性基金预算财政拨款收入支出决算表》</w:t>
      </w:r>
    </w:p>
    <w:p>
      <w:pPr>
        <w:topLinePunct/>
        <w:spacing w:beforeLines="0" w:afterLines="0" w:line="360" w:lineRule="auto"/>
        <w:rPr>
          <w:rFonts w:hint="default" w:eastAsia="Times New Roman"/>
          <w:sz w:val="32"/>
          <w:szCs w:val="24"/>
        </w:rPr>
      </w:pPr>
      <w:r>
        <w:rPr>
          <w:rFonts w:hint="eastAsia" w:ascii="仿宋_GB2312" w:hAnsi="仿宋_GB2312" w:eastAsia="仿宋_GB2312"/>
          <w:sz w:val="32"/>
          <w:szCs w:val="24"/>
        </w:rPr>
        <w:t>九、《国有资本经营预算财政拨款收入支出决算表》</w:t>
      </w:r>
    </w:p>
    <w:p>
      <w:pPr>
        <w:spacing w:beforeLines="0" w:afterLines="0" w:line="540" w:lineRule="exact"/>
        <w:ind w:firstLine="640"/>
        <w:rPr>
          <w:rFonts w:hint="default" w:eastAsia="Times New Roman"/>
          <w:b/>
          <w:kern w:val="0"/>
          <w:sz w:val="28"/>
          <w:szCs w:val="24"/>
        </w:rPr>
      </w:pPr>
    </w:p>
    <w:p>
      <w:pPr>
        <w:shd w:val="clear" w:color="auto" w:fill="FFFFFF"/>
        <w:spacing w:beforeLines="0" w:afterLines="0" w:line="360" w:lineRule="auto"/>
        <w:jc w:val="center"/>
        <w:rPr>
          <w:rFonts w:hint="default" w:eastAsia="Times New Roman"/>
          <w:kern w:val="0"/>
          <w:sz w:val="32"/>
          <w:szCs w:val="24"/>
        </w:rPr>
      </w:pPr>
    </w:p>
    <w:p>
      <w:pPr>
        <w:shd w:val="clear" w:color="auto" w:fill="FFFFFF"/>
        <w:spacing w:beforeLines="0" w:afterLines="0" w:line="360" w:lineRule="auto"/>
        <w:jc w:val="center"/>
        <w:rPr>
          <w:rFonts w:hint="default" w:ascii="黑体" w:hAnsi="黑体" w:eastAsia="黑体"/>
          <w:kern w:val="0"/>
          <w:sz w:val="32"/>
          <w:szCs w:val="24"/>
          <w:lang w:val="ar-SA"/>
        </w:rPr>
      </w:pPr>
      <w:r>
        <w:rPr>
          <w:rFonts w:hint="default" w:eastAsia="Times New Roman"/>
          <w:kern w:val="0"/>
          <w:sz w:val="32"/>
          <w:szCs w:val="24"/>
        </w:rPr>
        <w:br w:type="page"/>
      </w:r>
      <w:r>
        <w:rPr>
          <w:rFonts w:hint="eastAsia" w:ascii="黑体" w:hAnsi="黑体" w:eastAsia="黑体"/>
          <w:kern w:val="0"/>
          <w:sz w:val="32"/>
          <w:szCs w:val="24"/>
        </w:rPr>
        <w:t>第一部分 单位概况</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一、主要职能</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rPr>
      </w:pPr>
      <w:r>
        <w:rPr>
          <w:rFonts w:hint="eastAsia" w:ascii="仿宋_GB2312" w:eastAsia="仿宋_GB2312"/>
          <w:kern w:val="0"/>
          <w:sz w:val="32"/>
          <w:szCs w:val="24"/>
        </w:rPr>
        <w:t>本校是一所普通小学。主要是招收适龄儿童实施初等教育的独立设置学校。确立了“以市场为导向，以服务为宗旨，以需求为目标，以管理促效益，以质量求生存”的办学理念和工作思路。</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乌鲁木齐市第106小学位于米东区古牧地镇太平渠村，占地面积9860平方米，校舍建筑面积6206平方米，各类功能室齐全，绿化面积2000平米，我校采用最先进的教学设施，配备完善的各学科实验室，功能室，图书室，一流的办学条件，硬件设施良好，师生精神面貌积极向上，是一个团结向上、和谐融洽、规划合理的育人之地，是一所全新的、完备的具有一定领先地位的现代化先进小学。</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1．宣传贯彻执行党和国家的教育方针、政策、法律法规等，坚持依法治教、依法治学，贯彻执行上级教育部门的行政规章制度。</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2．配合上级教育部门制定符合党的教育方针和国家教育法律法规以及本校实际的教育发展规划和学校布局调整规划，并抓好组织实施和落实工作。</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3．配合各级人民政府依法动员、组织适龄少年入学，严格控制辍学，推进普及义务教育。</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4．组织开展本校的教育教学科研和教育教学改革，科研兴教，科研兴校。负责对本校教育教学业务的具体管理，负责教育教学管理及教研教改工作。</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5．按照干部和教师的职数、编制和管理权限，制定切实可行的学校工作规章制度，以提高教育教学质量为目的，负责本校教师人事管理、继续教育、考核考评等工作。</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6．负责本校财务和基建管理，筹措资金，改善办学条件等工作，为师生提供优美和谐的学习和工作环境。核算和发放教职工工资</w:t>
      </w:r>
      <w:r>
        <w:rPr>
          <w:rFonts w:hint="default" w:ascii="仿宋_GB2312" w:eastAsia="仿宋_GB2312"/>
          <w:kern w:val="0"/>
          <w:sz w:val="32"/>
          <w:szCs w:val="24"/>
          <w:lang w:val="ar-SA"/>
        </w:rPr>
        <w:t>,</w:t>
      </w:r>
      <w:r>
        <w:rPr>
          <w:rFonts w:hint="eastAsia" w:ascii="仿宋_GB2312" w:eastAsia="仿宋_GB2312"/>
          <w:kern w:val="0"/>
          <w:sz w:val="32"/>
          <w:szCs w:val="24"/>
          <w:lang w:val="ar-SA"/>
        </w:rPr>
        <w:t>维护教职工利益，保障教职工合法权益。</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7．指导、管理、检查、评价本校的教育教学工作，提高办学质量和办学效益。按照义务教育课程计划，开齐课程，开足课时，认真教育教学管理，全面提高教育教学质量。</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8.建立健全学生学籍管理制度，按国家教育部颁布的规定管理学生学籍。</w:t>
      </w:r>
    </w:p>
    <w:p>
      <w:pPr>
        <w:shd w:val="clear" w:color="auto" w:fill="FFFFFF"/>
        <w:autoSpaceDE w:val="0"/>
        <w:autoSpaceDN w:val="0"/>
        <w:adjustRightInd w:val="0"/>
        <w:spacing w:beforeLines="0" w:afterLines="0" w:line="360" w:lineRule="auto"/>
        <w:ind w:firstLine="640" w:firstLineChars="200"/>
        <w:rPr>
          <w:rFonts w:hint="default" w:ascii="仿宋_GB2312" w:eastAsia="仿宋_GB2312"/>
          <w:kern w:val="0"/>
          <w:sz w:val="32"/>
          <w:szCs w:val="24"/>
          <w:lang w:val="ar-SA"/>
        </w:rPr>
      </w:pPr>
      <w:r>
        <w:rPr>
          <w:rFonts w:hint="eastAsia" w:ascii="仿宋_GB2312" w:eastAsia="仿宋_GB2312"/>
          <w:kern w:val="0"/>
          <w:sz w:val="32"/>
          <w:szCs w:val="24"/>
          <w:lang w:val="ar-SA"/>
        </w:rPr>
        <w:t>9.在上级党委、政府和教育行政部门的领导下，积极开展学校的安全管理，不断提高安全管理水平，努力营造安全和谐的校园环境。</w:t>
      </w:r>
    </w:p>
    <w:p>
      <w:pPr>
        <w:shd w:val="clear" w:color="auto" w:fill="FFFFFF"/>
        <w:autoSpaceDE w:val="0"/>
        <w:autoSpaceDN w:val="0"/>
        <w:adjustRightInd w:val="0"/>
        <w:spacing w:beforeLines="0" w:afterLines="0" w:line="360" w:lineRule="auto"/>
        <w:ind w:firstLine="640" w:firstLineChars="200"/>
        <w:rPr>
          <w:rFonts w:hint="default" w:ascii="黑体" w:hAnsi="黑体" w:eastAsia="黑体"/>
          <w:sz w:val="32"/>
          <w:szCs w:val="24"/>
          <w:highlight w:val="yellow"/>
          <w:lang w:val="zh-CN"/>
        </w:rPr>
      </w:pPr>
      <w:r>
        <w:rPr>
          <w:rFonts w:hint="eastAsia" w:ascii="仿宋_GB2312" w:eastAsia="仿宋_GB2312"/>
          <w:kern w:val="0"/>
          <w:sz w:val="32"/>
          <w:szCs w:val="24"/>
          <w:lang w:val="ar-SA"/>
        </w:rPr>
        <w:t>10．在上级教育部门的领导下，谋划布局，全面推进义务教育均衡发展。</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二、机构设置及人员情况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乌鲁木齐市米东区第106小学2022年度，实有人数41人，其中：在职人员27人，离休人员</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人，退休人员14人。</w:t>
      </w:r>
    </w:p>
    <w:p>
      <w:pPr>
        <w:shd w:val="clear" w:color="auto" w:fill="FFFFFF"/>
        <w:spacing w:beforeLines="0" w:afterLines="0" w:line="360" w:lineRule="auto"/>
        <w:ind w:firstLine="640"/>
        <w:rPr>
          <w:rFonts w:hint="default" w:eastAsia="Times New Roman"/>
          <w:kern w:val="0"/>
          <w:sz w:val="24"/>
          <w:szCs w:val="24"/>
          <w:lang w:val="ar-SA"/>
        </w:rPr>
      </w:pPr>
      <w:r>
        <w:rPr>
          <w:rFonts w:hint="eastAsia" w:ascii="仿宋_GB2312" w:hAnsi="仿宋_GB2312" w:eastAsia="仿宋_GB2312"/>
          <w:kern w:val="0"/>
          <w:sz w:val="32"/>
          <w:szCs w:val="24"/>
        </w:rPr>
        <w:t>从部门决算单位构成看，乌鲁木齐市米东区第106小学部门决算包括：乌鲁木齐市米东区第106小学</w:t>
      </w:r>
      <w:r>
        <w:rPr>
          <w:rFonts w:hint="eastAsia" w:ascii="仿宋_GB2312" w:hAnsi="仿宋_GB2312" w:eastAsia="仿宋_GB2312"/>
          <w:kern w:val="0"/>
          <w:sz w:val="32"/>
          <w:szCs w:val="24"/>
          <w:lang w:val="zh-CN"/>
        </w:rPr>
        <w:t>决算。单位无下属预算单位，下设6个科室，分别是：</w:t>
      </w:r>
      <w:r>
        <w:rPr>
          <w:rFonts w:hint="eastAsia" w:ascii="仿宋_GB2312" w:eastAsia="仿宋_GB2312"/>
          <w:kern w:val="0"/>
          <w:sz w:val="32"/>
          <w:szCs w:val="24"/>
          <w:lang w:val="zh-CN"/>
        </w:rPr>
        <w:t>校长办公室、财务室、综合学科办公室、低段学科办公室、中段 学科办公室、高段学科办公室</w:t>
      </w:r>
      <w:r>
        <w:rPr>
          <w:rFonts w:hint="eastAsia" w:ascii="仿宋_GB2312" w:hAnsi="仿宋_GB2312" w:eastAsia="仿宋_GB2312"/>
          <w:kern w:val="0"/>
          <w:sz w:val="32"/>
          <w:szCs w:val="24"/>
          <w:lang w:val="zh-CN"/>
        </w:rPr>
        <w:t>。</w:t>
      </w:r>
    </w:p>
    <w:p>
      <w:pPr>
        <w:shd w:val="clear" w:color="auto" w:fill="FFFFFF"/>
        <w:spacing w:before="100" w:beforeLines="0" w:after="240" w:afterLines="0"/>
        <w:jc w:val="center"/>
        <w:rPr>
          <w:rFonts w:hint="default" w:eastAsia="Times New Roman"/>
          <w:kern w:val="0"/>
          <w:sz w:val="28"/>
          <w:szCs w:val="24"/>
          <w:lang w:val="ar-SA"/>
        </w:rPr>
      </w:pPr>
      <w:r>
        <w:rPr>
          <w:rFonts w:hint="eastAsia" w:ascii="黑体" w:hAnsi="黑体" w:eastAsia="黑体"/>
          <w:kern w:val="0"/>
          <w:sz w:val="32"/>
          <w:szCs w:val="24"/>
        </w:rPr>
        <w:t>第二部分 部门决算情况说明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一、收入支出决算总体情况说明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630.37万元，</w:t>
      </w:r>
      <w:r>
        <w:rPr>
          <w:rFonts w:hint="eastAsia" w:ascii="仿宋_GB2312" w:hAnsi="仿宋_GB2312" w:eastAsia="仿宋_GB2312"/>
          <w:sz w:val="32"/>
          <w:szCs w:val="24"/>
        </w:rPr>
        <w:t>其中：本年收入合计</w:t>
      </w:r>
      <w:r>
        <w:rPr>
          <w:rFonts w:hint="eastAsia" w:ascii="仿宋_GB2312" w:hAnsi="仿宋_GB2312" w:eastAsia="仿宋_GB2312"/>
          <w:kern w:val="0"/>
          <w:sz w:val="32"/>
          <w:szCs w:val="24"/>
        </w:rPr>
        <w:t>625.96</w:t>
      </w:r>
      <w:r>
        <w:rPr>
          <w:rFonts w:hint="eastAsia" w:ascii="仿宋_GB2312" w:hAnsi="仿宋_GB2312" w:eastAsia="仿宋_GB2312"/>
          <w:sz w:val="32"/>
          <w:szCs w:val="24"/>
        </w:rPr>
        <w:t>万元，使用非财政拨款结余</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万元，年初结转和结余</w:t>
      </w:r>
      <w:r>
        <w:rPr>
          <w:rFonts w:hint="eastAsia" w:ascii="仿宋_GB2312" w:hAnsi="仿宋_GB2312" w:eastAsia="仿宋_GB2312"/>
          <w:kern w:val="0"/>
          <w:sz w:val="32"/>
          <w:szCs w:val="24"/>
        </w:rPr>
        <w:t>4.41</w:t>
      </w:r>
      <w:r>
        <w:rPr>
          <w:rFonts w:hint="eastAsia" w:ascii="仿宋_GB2312" w:hAnsi="仿宋_GB2312" w:eastAsia="仿宋_GB2312"/>
          <w:sz w:val="32"/>
          <w:szCs w:val="24"/>
        </w:rPr>
        <w:t>万元。收入总计</w:t>
      </w:r>
      <w:r>
        <w:rPr>
          <w:rFonts w:hint="eastAsia" w:ascii="仿宋_GB2312" w:hAnsi="仿宋_GB2312" w:eastAsia="仿宋_GB2312"/>
          <w:kern w:val="0"/>
          <w:sz w:val="32"/>
          <w:szCs w:val="24"/>
        </w:rPr>
        <w:t>与上年相比，增加102.07万元，增长19.32%，主要原因是：在职人员调标工资、基础性绩效奖、年度考核奖、课后服务费收入增加。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sz w:val="32"/>
          <w:szCs w:val="24"/>
        </w:rPr>
        <w:t>本年支出总计</w:t>
      </w:r>
      <w:r>
        <w:rPr>
          <w:rFonts w:hint="eastAsia" w:ascii="仿宋_GB2312" w:hAnsi="仿宋_GB2312" w:eastAsia="仿宋_GB2312"/>
          <w:kern w:val="0"/>
          <w:sz w:val="32"/>
          <w:szCs w:val="24"/>
        </w:rPr>
        <w:t>630.37万元，</w:t>
      </w:r>
      <w:r>
        <w:rPr>
          <w:rFonts w:hint="eastAsia" w:ascii="仿宋_GB2312" w:hAnsi="仿宋_GB2312" w:eastAsia="仿宋_GB2312"/>
          <w:sz w:val="32"/>
          <w:szCs w:val="24"/>
        </w:rPr>
        <w:t>其中：本年支出合计</w:t>
      </w:r>
      <w:r>
        <w:rPr>
          <w:rFonts w:hint="eastAsia" w:ascii="仿宋_GB2312" w:hAnsi="仿宋_GB2312" w:eastAsia="仿宋_GB2312"/>
          <w:kern w:val="0"/>
          <w:sz w:val="32"/>
          <w:szCs w:val="24"/>
        </w:rPr>
        <w:t>603.58</w:t>
      </w:r>
      <w:r>
        <w:rPr>
          <w:rFonts w:hint="eastAsia" w:ascii="仿宋_GB2312" w:hAnsi="仿宋_GB2312" w:eastAsia="仿宋_GB2312"/>
          <w:sz w:val="32"/>
          <w:szCs w:val="24"/>
        </w:rPr>
        <w:t>万元，结余分配</w:t>
      </w:r>
      <w:r>
        <w:rPr>
          <w:rFonts w:hint="default" w:ascii="仿宋_GB2312" w:hAnsi="仿宋_GB2312" w:eastAsia="仿宋_GB2312"/>
          <w:kern w:val="0"/>
          <w:sz w:val="32"/>
          <w:szCs w:val="24"/>
        </w:rPr>
        <w:t>0.00</w:t>
      </w:r>
      <w:r>
        <w:rPr>
          <w:rFonts w:hint="eastAsia" w:ascii="仿宋_GB2312" w:hAnsi="仿宋_GB2312" w:eastAsia="仿宋_GB2312"/>
          <w:sz w:val="32"/>
          <w:szCs w:val="24"/>
        </w:rPr>
        <w:t>万元，年末结转和结余</w:t>
      </w:r>
      <w:r>
        <w:rPr>
          <w:rFonts w:hint="eastAsia" w:ascii="仿宋_GB2312" w:hAnsi="仿宋_GB2312" w:eastAsia="仿宋_GB2312"/>
          <w:kern w:val="0"/>
          <w:sz w:val="32"/>
          <w:szCs w:val="24"/>
        </w:rPr>
        <w:t>26.79</w:t>
      </w:r>
      <w:r>
        <w:rPr>
          <w:rFonts w:hint="eastAsia" w:ascii="仿宋_GB2312" w:hAnsi="仿宋_GB2312" w:eastAsia="仿宋_GB2312"/>
          <w:sz w:val="32"/>
          <w:szCs w:val="24"/>
        </w:rPr>
        <w:t>万元。支出总计</w:t>
      </w:r>
      <w:r>
        <w:rPr>
          <w:rFonts w:hint="eastAsia" w:ascii="仿宋_GB2312" w:hAnsi="仿宋_GB2312" w:eastAsia="仿宋_GB2312"/>
          <w:kern w:val="0"/>
          <w:sz w:val="32"/>
          <w:szCs w:val="24"/>
        </w:rPr>
        <w:t>与上年相比，增加102.07万元，增长19.32%，主要原因是：在职人员调标工资、基础性绩效奖、年度考核奖、课后服务费支出增加。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二、收入决算情况说明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2022年度本年收入625.96万元，其中：财政拨款收入584.29万元，占93.34%；上级补助收入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万元，占0.00%；事业收入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万元，占0.00%；附属单位上缴收入</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万元，占0.00%；其他收入41.67万元，占6.66%。</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三、支出决算情况说明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2022年度本年支出603.58万元，其中：基本支出542.55万元，占89.89%；项目支出61.03万元，占10.11%；上缴上级支出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万元，占0.00%；经营支出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万元，占0.00%；对附属单位补助支出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四、财政拨款收入支出决算总体情况说明</w:t>
      </w:r>
    </w:p>
    <w:p>
      <w:pPr>
        <w:shd w:val="clear" w:color="auto" w:fill="FFFFFF"/>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2022年度财政拨款收入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588.70万元，</w:t>
      </w:r>
      <w:r>
        <w:rPr>
          <w:rFonts w:hint="eastAsia" w:ascii="仿宋_GB2312" w:hAnsi="仿宋_GB2312" w:eastAsia="仿宋_GB2312"/>
          <w:sz w:val="32"/>
          <w:szCs w:val="24"/>
        </w:rPr>
        <w:t>其中：年初财政拨款结转和结余</w:t>
      </w:r>
      <w:r>
        <w:rPr>
          <w:rFonts w:hint="eastAsia" w:ascii="仿宋_GB2312" w:hAnsi="仿宋_GB2312" w:eastAsia="仿宋_GB2312"/>
          <w:kern w:val="0"/>
          <w:sz w:val="32"/>
          <w:szCs w:val="24"/>
        </w:rPr>
        <w:t>4.41</w:t>
      </w:r>
      <w:r>
        <w:rPr>
          <w:rFonts w:hint="eastAsia" w:ascii="仿宋_GB2312" w:hAnsi="仿宋_GB2312" w:eastAsia="仿宋_GB2312"/>
          <w:sz w:val="32"/>
          <w:szCs w:val="24"/>
        </w:rPr>
        <w:t>万元，财政拨款本年收入</w:t>
      </w:r>
      <w:r>
        <w:rPr>
          <w:rFonts w:hint="eastAsia" w:ascii="仿宋_GB2312" w:hAnsi="仿宋_GB2312" w:eastAsia="仿宋_GB2312"/>
          <w:kern w:val="0"/>
          <w:sz w:val="32"/>
          <w:szCs w:val="24"/>
        </w:rPr>
        <w:t>584.29</w:t>
      </w:r>
      <w:r>
        <w:rPr>
          <w:rFonts w:hint="eastAsia" w:ascii="仿宋_GB2312" w:hAnsi="仿宋_GB2312" w:eastAsia="仿宋_GB2312"/>
          <w:sz w:val="32"/>
          <w:szCs w:val="24"/>
        </w:rPr>
        <w:t>万元。财政拨款收入总计</w:t>
      </w:r>
      <w:r>
        <w:rPr>
          <w:rFonts w:hint="eastAsia" w:ascii="仿宋_GB2312" w:hAnsi="仿宋_GB2312" w:eastAsia="仿宋_GB2312"/>
          <w:kern w:val="0"/>
          <w:sz w:val="32"/>
          <w:szCs w:val="24"/>
        </w:rPr>
        <w:t>与上年相比，增加60.40万元，增长11.43%，主要原因是：在职人员调标工资、基础性绩效奖、年度考核奖、课后服务费增加。</w:t>
      </w:r>
    </w:p>
    <w:p>
      <w:pPr>
        <w:shd w:val="clear" w:color="auto" w:fill="FFFFFF"/>
        <w:spacing w:beforeLines="0" w:afterLines="0" w:line="360" w:lineRule="auto"/>
        <w:ind w:firstLine="640"/>
        <w:rPr>
          <w:rFonts w:hint="default" w:eastAsia="Times New Roman"/>
          <w:kern w:val="0"/>
          <w:sz w:val="32"/>
          <w:szCs w:val="24"/>
          <w:highlight w:val="yellow"/>
        </w:rPr>
      </w:pPr>
      <w:r>
        <w:rPr>
          <w:rFonts w:hint="eastAsia" w:ascii="仿宋_GB2312" w:hAnsi="仿宋_GB2312" w:eastAsia="仿宋_GB2312"/>
          <w:kern w:val="0"/>
          <w:sz w:val="32"/>
          <w:szCs w:val="24"/>
        </w:rPr>
        <w:t>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588.70万元，</w:t>
      </w:r>
      <w:r>
        <w:rPr>
          <w:rFonts w:hint="eastAsia" w:ascii="仿宋_GB2312" w:hAnsi="仿宋_GB2312" w:eastAsia="仿宋_GB2312"/>
          <w:sz w:val="32"/>
          <w:szCs w:val="24"/>
        </w:rPr>
        <w:t>其中：年末财政拨款结转和结余</w:t>
      </w:r>
      <w:r>
        <w:rPr>
          <w:rFonts w:hint="eastAsia" w:ascii="仿宋_GB2312" w:hAnsi="仿宋_GB2312" w:eastAsia="仿宋_GB2312"/>
          <w:kern w:val="0"/>
          <w:sz w:val="32"/>
          <w:szCs w:val="24"/>
        </w:rPr>
        <w:t>7.40</w:t>
      </w:r>
      <w:r>
        <w:rPr>
          <w:rFonts w:hint="eastAsia" w:ascii="仿宋_GB2312" w:hAnsi="仿宋_GB2312" w:eastAsia="仿宋_GB2312"/>
          <w:sz w:val="32"/>
          <w:szCs w:val="24"/>
        </w:rPr>
        <w:t>万元，财政拨款本年支出</w:t>
      </w:r>
      <w:r>
        <w:rPr>
          <w:rFonts w:hint="eastAsia" w:ascii="仿宋_GB2312" w:hAnsi="仿宋_GB2312" w:eastAsia="仿宋_GB2312"/>
          <w:kern w:val="0"/>
          <w:sz w:val="32"/>
          <w:szCs w:val="24"/>
        </w:rPr>
        <w:t>581.30</w:t>
      </w:r>
      <w:r>
        <w:rPr>
          <w:rFonts w:hint="eastAsia" w:ascii="仿宋_GB2312" w:hAnsi="仿宋_GB2312" w:eastAsia="仿宋_GB2312"/>
          <w:sz w:val="32"/>
          <w:szCs w:val="24"/>
        </w:rPr>
        <w:t>万元。财政拨款支出总计</w:t>
      </w:r>
      <w:r>
        <w:rPr>
          <w:rFonts w:hint="eastAsia" w:ascii="仿宋_GB2312" w:hAnsi="仿宋_GB2312" w:eastAsia="仿宋_GB2312"/>
          <w:kern w:val="0"/>
          <w:sz w:val="32"/>
          <w:szCs w:val="24"/>
        </w:rPr>
        <w:t>与上年相比，增加60.40万元，增长11.43%，主要原因是：在职人员调标工资、基础性绩效奖、年度考核奖、课后服务费增加。</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与年初预算数相比情况：财政拨款收入</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年初预算数582.83万元，决算数588.70万元，预决算差异率1.01%，主要原因是：追加在职人员调标工资、基础性绩效奖、年度考核奖、课后服务费收入</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导致预决算存在差异。财政拨款支出</w:t>
      </w:r>
      <w:r>
        <w:rPr>
          <w:rFonts w:hint="eastAsia" w:ascii="仿宋_GB2312" w:hAnsi="仿宋_GB2312" w:eastAsia="仿宋_GB2312"/>
          <w:sz w:val="32"/>
          <w:szCs w:val="24"/>
        </w:rPr>
        <w:t>总计</w:t>
      </w:r>
      <w:r>
        <w:rPr>
          <w:rFonts w:hint="eastAsia" w:ascii="仿宋_GB2312" w:hAnsi="仿宋_GB2312" w:eastAsia="仿宋_GB2312"/>
          <w:kern w:val="0"/>
          <w:sz w:val="32"/>
          <w:szCs w:val="24"/>
        </w:rPr>
        <w:t>年初预算数582.83万元，决算数588.70万元，预决算差异率1.01%，主要原因是：追加在职人员调标工资、基础性绩效奖、年度考核奖、课后服务费支出</w:t>
      </w:r>
      <w:r>
        <w:rPr>
          <w:rFonts w:hint="eastAsia" w:ascii="仿宋_GB2312" w:hAnsi="仿宋_GB2312" w:eastAsia="仿宋_GB2312"/>
          <w:kern w:val="0"/>
          <w:sz w:val="32"/>
          <w:szCs w:val="24"/>
          <w:lang w:eastAsia="zh-CN"/>
        </w:rPr>
        <w:t>，</w:t>
      </w:r>
      <w:r>
        <w:rPr>
          <w:rFonts w:hint="eastAsia" w:ascii="仿宋_GB2312" w:hAnsi="仿宋_GB2312" w:eastAsia="仿宋_GB2312"/>
          <w:kern w:val="0"/>
          <w:sz w:val="32"/>
          <w:szCs w:val="24"/>
        </w:rPr>
        <w:t>导致预决算存在差异。</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五、一般公共预算财政拨款支出决算情况说明</w:t>
      </w:r>
    </w:p>
    <w:p>
      <w:pPr>
        <w:spacing w:beforeLines="0" w:afterLines="0"/>
        <w:ind w:firstLine="640"/>
        <w:rPr>
          <w:rFonts w:hint="default" w:eastAsia="Times New Roman"/>
          <w:sz w:val="32"/>
          <w:szCs w:val="24"/>
        </w:rPr>
      </w:pPr>
      <w:r>
        <w:rPr>
          <w:rFonts w:hint="eastAsia" w:ascii="黑体" w:hAnsi="黑体" w:eastAsia="黑体"/>
          <w:sz w:val="32"/>
          <w:szCs w:val="24"/>
        </w:rPr>
        <w:t>（一）一般公共预算财政拨款支出决算总体情况</w:t>
      </w:r>
    </w:p>
    <w:p>
      <w:pPr>
        <w:spacing w:beforeLines="0" w:afterLines="0" w:line="600" w:lineRule="exact"/>
        <w:ind w:firstLine="640"/>
        <w:rPr>
          <w:rFonts w:hint="default" w:ascii="仿宋_GB2312" w:hAnsi="仿宋_GB2312" w:eastAsia="仿宋_GB2312"/>
          <w:kern w:val="0"/>
          <w:sz w:val="32"/>
          <w:szCs w:val="24"/>
          <w:highlight w:val="yellow"/>
        </w:rPr>
      </w:pPr>
      <w:r>
        <w:rPr>
          <w:rFonts w:hint="eastAsia" w:ascii="仿宋_GB2312" w:hAnsi="仿宋_GB2312" w:eastAsia="仿宋_GB2312"/>
          <w:sz w:val="32"/>
          <w:szCs w:val="24"/>
        </w:rPr>
        <w:t>2022年度一般公共预算财政拨款支出</w:t>
      </w:r>
      <w:r>
        <w:rPr>
          <w:rFonts w:hint="eastAsia" w:ascii="仿宋_GB2312" w:hAnsi="仿宋_GB2312" w:eastAsia="仿宋_GB2312"/>
          <w:kern w:val="0"/>
          <w:sz w:val="32"/>
          <w:szCs w:val="24"/>
        </w:rPr>
        <w:t>581.30</w:t>
      </w:r>
      <w:r>
        <w:rPr>
          <w:rFonts w:hint="eastAsia" w:ascii="仿宋_GB2312" w:hAnsi="仿宋_GB2312" w:eastAsia="仿宋_GB2312"/>
          <w:sz w:val="32"/>
          <w:szCs w:val="24"/>
        </w:rPr>
        <w:t>万元，占本年支出合计的</w:t>
      </w:r>
      <w:r>
        <w:rPr>
          <w:rFonts w:hint="eastAsia" w:ascii="仿宋_GB2312" w:hAnsi="仿宋_GB2312" w:eastAsia="仿宋_GB2312"/>
          <w:kern w:val="0"/>
          <w:sz w:val="32"/>
          <w:szCs w:val="24"/>
        </w:rPr>
        <w:t>100.00%</w:t>
      </w:r>
      <w:r>
        <w:rPr>
          <w:rFonts w:hint="eastAsia" w:ascii="仿宋_GB2312" w:hAnsi="仿宋_GB2312" w:eastAsia="仿宋_GB2312"/>
          <w:sz w:val="32"/>
          <w:szCs w:val="24"/>
        </w:rPr>
        <w:t>，与上年相比，</w:t>
      </w:r>
      <w:r>
        <w:rPr>
          <w:rFonts w:hint="eastAsia" w:ascii="仿宋_GB2312" w:hAnsi="仿宋_GB2312" w:eastAsia="仿宋_GB2312"/>
          <w:kern w:val="0"/>
          <w:sz w:val="32"/>
          <w:szCs w:val="24"/>
        </w:rPr>
        <w:t>增加57.42万元，增长10.96%，主要原因是：追加在职人员调标工资、基础性绩效奖、年度考核奖、课后服务费支出。</w:t>
      </w:r>
    </w:p>
    <w:p>
      <w:pPr>
        <w:spacing w:beforeLines="0" w:afterLines="0"/>
        <w:ind w:firstLine="640"/>
        <w:rPr>
          <w:rFonts w:hint="default" w:eastAsia="Times New Roman"/>
          <w:sz w:val="32"/>
          <w:szCs w:val="24"/>
        </w:rPr>
      </w:pPr>
      <w:r>
        <w:rPr>
          <w:rFonts w:hint="eastAsia" w:ascii="黑体" w:hAnsi="黑体" w:eastAsia="黑体"/>
          <w:sz w:val="32"/>
          <w:szCs w:val="24"/>
        </w:rPr>
        <w:t>（二）一般公共预算财政拨款支出决算结构情况</w:t>
      </w:r>
    </w:p>
    <w:p>
      <w:pPr>
        <w:spacing w:beforeLines="0" w:afterLines="0" w:line="600" w:lineRule="exact"/>
        <w:ind w:firstLine="640"/>
        <w:rPr>
          <w:rFonts w:hint="default" w:eastAsia="Times New Roman"/>
          <w:kern w:val="0"/>
          <w:sz w:val="32"/>
          <w:szCs w:val="24"/>
        </w:rPr>
      </w:pPr>
      <w:r>
        <w:rPr>
          <w:rFonts w:hint="eastAsia" w:ascii="仿宋_GB2312" w:hAnsi="仿宋_GB2312" w:eastAsia="仿宋_GB2312"/>
          <w:sz w:val="32"/>
          <w:szCs w:val="24"/>
        </w:rPr>
        <w:t>1.教育支出（类）581.30万元，占100.00%</w:t>
      </w:r>
      <w:r>
        <w:rPr>
          <w:rFonts w:hint="eastAsia" w:ascii="仿宋_GB2312" w:hAnsi="仿宋_GB2312" w:eastAsia="仿宋_GB2312"/>
          <w:kern w:val="0"/>
          <w:sz w:val="32"/>
          <w:szCs w:val="24"/>
        </w:rPr>
        <w:t>。</w:t>
      </w:r>
    </w:p>
    <w:p>
      <w:pPr>
        <w:spacing w:beforeLines="0" w:afterLines="0"/>
        <w:ind w:firstLine="640"/>
        <w:rPr>
          <w:rFonts w:hint="default" w:eastAsia="Times New Roman"/>
          <w:sz w:val="32"/>
          <w:szCs w:val="24"/>
        </w:rPr>
      </w:pPr>
      <w:r>
        <w:rPr>
          <w:rFonts w:hint="eastAsia" w:ascii="黑体" w:hAnsi="黑体" w:eastAsia="黑体"/>
          <w:sz w:val="32"/>
          <w:szCs w:val="24"/>
        </w:rPr>
        <w:t>（三）一般公共预算财政拨款支出决算具体情况</w:t>
      </w:r>
    </w:p>
    <w:p>
      <w:pPr>
        <w:spacing w:beforeLines="0" w:afterLines="0" w:line="600" w:lineRule="exact"/>
        <w:ind w:firstLine="640"/>
        <w:rPr>
          <w:rFonts w:hint="eastAsia" w:eastAsia="仿宋_GB2312"/>
          <w:kern w:val="0"/>
          <w:sz w:val="32"/>
          <w:szCs w:val="24"/>
          <w:lang w:eastAsia="zh-CN"/>
        </w:rPr>
      </w:pPr>
      <w:r>
        <w:rPr>
          <w:rFonts w:hint="eastAsia" w:ascii="仿宋_GB2312" w:hAnsi="仿宋_GB2312" w:eastAsia="仿宋_GB2312"/>
          <w:kern w:val="0"/>
          <w:sz w:val="32"/>
          <w:szCs w:val="24"/>
        </w:rPr>
        <w:t>1.教育支出（类）普通教育（款）小学教育（项）:支出决算数为581.30万元，比上年决算增加90.30万元，增长18.39%，主要原因是：追加在职人员调标工资、基础性绩效奖、年度考核奖、课后服务费支出</w:t>
      </w:r>
      <w:r>
        <w:rPr>
          <w:rFonts w:hint="eastAsia" w:ascii="仿宋_GB2312" w:hAnsi="仿宋_GB2312" w:eastAsia="仿宋_GB2312"/>
          <w:kern w:val="0"/>
          <w:sz w:val="32"/>
          <w:szCs w:val="24"/>
          <w:lang w:eastAsia="zh-CN"/>
        </w:rPr>
        <w:t>；</w:t>
      </w:r>
    </w:p>
    <w:p>
      <w:pPr>
        <w:spacing w:beforeLines="0" w:afterLines="0" w:line="600" w:lineRule="exact"/>
        <w:ind w:firstLine="640"/>
        <w:rPr>
          <w:rFonts w:hint="default" w:eastAsia="Times New Roman"/>
          <w:sz w:val="32"/>
          <w:szCs w:val="24"/>
        </w:rPr>
      </w:pPr>
      <w:r>
        <w:rPr>
          <w:rFonts w:hint="eastAsia" w:ascii="仿宋_GB2312" w:hAnsi="仿宋_GB2312" w:eastAsia="仿宋_GB2312"/>
          <w:kern w:val="0"/>
          <w:sz w:val="32"/>
          <w:szCs w:val="24"/>
        </w:rPr>
        <w:t>2.社会保障和就业支出（类）行政事业单位养老支出（款）机关事业单位基本养老保险缴费支出（项）:支出决算数为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决算减少32.88万元，下降100.00%，主要原因是：社会保障和就业支出（类）行政事业单位养老支出（款）机关事业单位基本养老保险缴费支出（项）按财政工作安排调整为教育支出（类）普通教育（款）小学教育（项）。</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六、一般公共预算财政拨款基本支出决算情况说明</w:t>
      </w:r>
    </w:p>
    <w:p>
      <w:pPr>
        <w:shd w:val="clear" w:color="auto" w:fill="FFFFFF"/>
        <w:spacing w:beforeLines="0" w:afterLines="0" w:line="360" w:lineRule="auto"/>
        <w:ind w:firstLine="640"/>
        <w:rPr>
          <w:rFonts w:hint="default" w:eastAsia="Times New Roman"/>
          <w:kern w:val="0"/>
          <w:sz w:val="32"/>
          <w:szCs w:val="24"/>
          <w:highlight w:val="yellow"/>
        </w:rPr>
      </w:pPr>
      <w:r>
        <w:rPr>
          <w:rFonts w:hint="eastAsia" w:ascii="仿宋_GB2312" w:hAnsi="仿宋_GB2312" w:eastAsia="仿宋_GB2312"/>
          <w:kern w:val="0"/>
          <w:sz w:val="32"/>
          <w:szCs w:val="24"/>
        </w:rPr>
        <w:t>2022年度一般公共预算财政拨款基本支出542.56万元，其中：</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人员经费475.70万元，包括：基本工资、津贴补贴、奖金、绩效工资、机关事业单位基本养老保险缴费、职业年金缴费、职工基本医疗保险缴费、公务员医疗补助缴费、其他社会保障缴费、住房公积金、退休费、奖励金。</w:t>
      </w:r>
    </w:p>
    <w:p>
      <w:pPr>
        <w:spacing w:beforeLines="0" w:afterLines="0" w:line="360" w:lineRule="auto"/>
        <w:ind w:firstLine="640"/>
        <w:rPr>
          <w:rFonts w:hint="default" w:ascii="仿宋_GB2312" w:hAnsi="仿宋_GB2312" w:eastAsia="仿宋_GB2312"/>
          <w:kern w:val="0"/>
          <w:sz w:val="32"/>
          <w:szCs w:val="24"/>
        </w:rPr>
      </w:pPr>
      <w:r>
        <w:rPr>
          <w:rFonts w:hint="eastAsia" w:ascii="仿宋_GB2312" w:hAnsi="仿宋_GB2312" w:eastAsia="仿宋_GB2312"/>
          <w:kern w:val="0"/>
          <w:sz w:val="32"/>
          <w:szCs w:val="24"/>
        </w:rPr>
        <w:t>公用经费66.86万元，包括：水费、电费、邮电费、劳务费、其他交通费用。</w:t>
      </w:r>
    </w:p>
    <w:p>
      <w:pPr>
        <w:spacing w:beforeLines="0" w:afterLines="0" w:line="360" w:lineRule="auto"/>
        <w:ind w:firstLine="640"/>
        <w:rPr>
          <w:rFonts w:hint="default" w:eastAsia="Times New Roman"/>
          <w:sz w:val="32"/>
          <w:szCs w:val="24"/>
        </w:rPr>
      </w:pPr>
      <w:r>
        <w:rPr>
          <w:rFonts w:hint="eastAsia" w:ascii="黑体" w:hAnsi="黑体" w:eastAsia="黑体"/>
          <w:sz w:val="32"/>
          <w:szCs w:val="24"/>
          <w:lang w:val="zh-CN"/>
        </w:rPr>
        <w:t>七、财政拨款</w:t>
      </w:r>
      <w:r>
        <w:rPr>
          <w:rFonts w:hint="eastAsia" w:ascii="黑体" w:hAnsi="黑体" w:eastAsia="黑体"/>
          <w:kern w:val="0"/>
          <w:sz w:val="32"/>
          <w:szCs w:val="24"/>
        </w:rPr>
        <w:t>“三公”</w:t>
      </w:r>
      <w:r>
        <w:rPr>
          <w:rFonts w:hint="eastAsia" w:ascii="黑体" w:hAnsi="黑体" w:eastAsia="黑体"/>
          <w:sz w:val="32"/>
          <w:szCs w:val="24"/>
          <w:lang w:val="zh-CN"/>
        </w:rPr>
        <w:t>经费支出决算情况说明</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2022年度</w:t>
      </w:r>
      <w:r>
        <w:rPr>
          <w:rFonts w:hint="eastAsia" w:ascii="仿宋_GB2312" w:hAnsi="仿宋_GB2312" w:eastAsia="仿宋_GB2312"/>
          <w:sz w:val="32"/>
          <w:szCs w:val="24"/>
        </w:rPr>
        <w:t>财政拨款</w:t>
      </w:r>
      <w:r>
        <w:rPr>
          <w:rFonts w:hint="eastAsia" w:ascii="仿宋_GB2312" w:hAnsi="仿宋_GB2312" w:eastAsia="仿宋_GB2312"/>
          <w:kern w:val="0"/>
          <w:sz w:val="32"/>
          <w:szCs w:val="24"/>
        </w:rPr>
        <w:t>“三公”经费支出决算</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bookmarkStart w:id="0" w:name="_Hlk142313279"/>
      <w:r>
        <w:rPr>
          <w:rFonts w:hint="eastAsia" w:ascii="仿宋_GB2312" w:eastAsia="仿宋_GB2312" w:cs="仿宋_GB2312"/>
          <w:kern w:val="0"/>
          <w:sz w:val="32"/>
          <w:szCs w:val="32"/>
        </w:rPr>
        <w:t>本年单位无此项支出</w:t>
      </w:r>
      <w:bookmarkEnd w:id="0"/>
      <w:r>
        <w:rPr>
          <w:rFonts w:hint="eastAsia" w:ascii="仿宋_GB2312" w:hAnsi="仿宋_GB2312" w:eastAsia="仿宋_GB2312"/>
          <w:kern w:val="0"/>
          <w:sz w:val="32"/>
          <w:szCs w:val="24"/>
        </w:rPr>
        <w:t>。其中：因公出国（境）费支出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万元，增长0.00%，主要原因是：本年单位无因公出国（境）费支出；公务用车购置及运行维护费支出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；公务接待费支出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万元，占0.00%，比上年增加</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万元，增长0.00%，主要原因是：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。具体情况如下：</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因公出国（境）费支出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万元，开支内容包括本年单位无因公出国（境）费支出。单位全年安排的因公出国（境）团组</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个，因公出国（境）</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公务用车购置及运行维护费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万元，其中：公务用车购置费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万元。公务用车运行维护费开支内容包括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。公务用车购置数</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辆，公务用车保有量</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公务接待费</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万元，开支内容包括</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。单位全年安排的国内公务接待</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批次，</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人次。</w:t>
      </w:r>
    </w:p>
    <w:p>
      <w:pPr>
        <w:shd w:val="clear" w:color="auto" w:fill="FFFFFF"/>
        <w:spacing w:beforeLines="0" w:afterLines="0" w:line="360" w:lineRule="auto"/>
        <w:ind w:firstLine="640"/>
        <w:rPr>
          <w:rFonts w:hint="default" w:ascii="仿宋_GB2312" w:eastAsia="仿宋_GB2312"/>
          <w:kern w:val="0"/>
          <w:sz w:val="32"/>
          <w:szCs w:val="24"/>
        </w:rPr>
      </w:pPr>
      <w:r>
        <w:rPr>
          <w:rFonts w:hint="eastAsia" w:ascii="仿宋_GB2312" w:hAnsi="仿宋_GB2312" w:eastAsia="仿宋_GB2312"/>
          <w:kern w:val="0"/>
          <w:sz w:val="32"/>
          <w:szCs w:val="24"/>
        </w:rPr>
        <w:t>与</w:t>
      </w:r>
      <w:r>
        <w:rPr>
          <w:rFonts w:hint="eastAsia" w:ascii="仿宋_GB2312" w:hAnsi="仿宋_GB2312" w:eastAsia="仿宋_GB2312"/>
          <w:sz w:val="32"/>
          <w:szCs w:val="24"/>
        </w:rPr>
        <w:t>全年</w:t>
      </w:r>
      <w:r>
        <w:rPr>
          <w:rFonts w:hint="eastAsia" w:ascii="仿宋_GB2312" w:hAnsi="仿宋_GB2312" w:eastAsia="仿宋_GB2312"/>
          <w:kern w:val="0"/>
          <w:sz w:val="32"/>
          <w:szCs w:val="24"/>
        </w:rPr>
        <w:t>预算</w:t>
      </w:r>
      <w:r>
        <w:rPr>
          <w:rFonts w:hint="eastAsia" w:ascii="仿宋_GB2312" w:hAnsi="仿宋_GB2312" w:eastAsia="仿宋_GB2312"/>
          <w:kern w:val="0"/>
          <w:sz w:val="32"/>
          <w:szCs w:val="24"/>
          <w:lang w:val="zh-CN"/>
        </w:rPr>
        <w:t>数</w:t>
      </w:r>
      <w:r>
        <w:rPr>
          <w:rFonts w:hint="eastAsia" w:ascii="仿宋_GB2312" w:hAnsi="仿宋_GB2312" w:eastAsia="仿宋_GB2312"/>
          <w:kern w:val="0"/>
          <w:sz w:val="32"/>
          <w:szCs w:val="24"/>
        </w:rPr>
        <w:t>相比情况</w:t>
      </w:r>
      <w:r>
        <w:rPr>
          <w:rFonts w:hint="eastAsia" w:ascii="仿宋_GB2312" w:hAnsi="仿宋_GB2312" w:eastAsia="仿宋_GB2312"/>
          <w:sz w:val="32"/>
          <w:szCs w:val="24"/>
        </w:rPr>
        <w:t>：</w:t>
      </w:r>
      <w:r>
        <w:rPr>
          <w:rFonts w:hint="eastAsia" w:ascii="仿宋_GB2312" w:eastAsia="仿宋_GB2312"/>
          <w:kern w:val="0"/>
          <w:sz w:val="32"/>
          <w:szCs w:val="24"/>
        </w:rPr>
        <w:t>“</w:t>
      </w:r>
      <w:r>
        <w:rPr>
          <w:rFonts w:hint="eastAsia" w:ascii="仿宋_GB2312" w:hAnsi="仿宋_GB2312" w:eastAsia="仿宋_GB2312"/>
          <w:kern w:val="0"/>
          <w:sz w:val="32"/>
          <w:szCs w:val="24"/>
        </w:rPr>
        <w:t>三公</w:t>
      </w:r>
      <w:r>
        <w:rPr>
          <w:rFonts w:hint="eastAsia" w:ascii="仿宋_GB2312" w:eastAsia="仿宋_GB2312"/>
          <w:kern w:val="0"/>
          <w:sz w:val="32"/>
          <w:szCs w:val="24"/>
        </w:rPr>
        <w:t>”</w:t>
      </w:r>
      <w:r>
        <w:rPr>
          <w:rFonts w:hint="eastAsia" w:ascii="仿宋_GB2312" w:hAnsi="仿宋_GB2312" w:eastAsia="仿宋_GB2312"/>
          <w:kern w:val="0"/>
          <w:sz w:val="32"/>
          <w:szCs w:val="24"/>
        </w:rPr>
        <w:t>经费支出</w:t>
      </w:r>
      <w:r>
        <w:rPr>
          <w:rFonts w:hint="eastAsia" w:ascii="仿宋_GB2312" w:hAnsi="仿宋_GB2312" w:eastAsia="仿宋_GB2312"/>
          <w:sz w:val="32"/>
          <w:szCs w:val="24"/>
        </w:rPr>
        <w:t>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。其中：因公出国（境）费全年预算数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万元，预决算差异率0.00%，主要原因是：本年单位无因公出国（境）费支出；公务用车购置费全年预算数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；公务用车运行费全年预算数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；公务接待费全年预算数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万元，决算数</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万元，预决算差异率0.00%，主要原因是：</w:t>
      </w:r>
      <w:r>
        <w:rPr>
          <w:rFonts w:hint="eastAsia" w:ascii="仿宋_GB2312" w:eastAsia="仿宋_GB2312" w:cs="仿宋_GB2312"/>
          <w:kern w:val="0"/>
          <w:sz w:val="32"/>
          <w:szCs w:val="32"/>
        </w:rPr>
        <w:t>本年单位无此项支出</w:t>
      </w:r>
      <w:r>
        <w:rPr>
          <w:rFonts w:hint="eastAsia" w:ascii="仿宋_GB2312" w:hAnsi="仿宋_GB2312" w:eastAsia="仿宋_GB2312"/>
          <w:kern w:val="0"/>
          <w:sz w:val="32"/>
          <w:szCs w:val="24"/>
        </w:rPr>
        <w:t>。</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八、政府性基金预算财政拨款收入支出决算情况说明</w:t>
      </w:r>
    </w:p>
    <w:p>
      <w:pPr>
        <w:shd w:val="clear" w:color="auto" w:fill="FFFFFF"/>
        <w:spacing w:beforeLines="0" w:afterLines="0" w:line="360" w:lineRule="auto"/>
        <w:ind w:firstLine="640"/>
        <w:rPr>
          <w:rFonts w:hint="default" w:ascii="仿宋_GB2312" w:hAnsi="仿宋_GB2312" w:eastAsia="仿宋_GB2312"/>
          <w:kern w:val="0"/>
          <w:sz w:val="32"/>
          <w:szCs w:val="24"/>
          <w:highlight w:val="yellow"/>
        </w:rPr>
      </w:pPr>
      <w:r>
        <w:rPr>
          <w:rFonts w:hint="eastAsia" w:ascii="仿宋_GB2312" w:hAnsi="仿宋_GB2312" w:eastAsia="仿宋_GB2312"/>
          <w:kern w:val="0"/>
          <w:sz w:val="32"/>
          <w:szCs w:val="24"/>
        </w:rPr>
        <w:t>我单位本年度无政府性基金预算财政拨款收入、支出及结转和结余，政府性基金预算财政拨款收入支出决算表为空表。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九、国有资本经营预算财政拨款收入支出决算情况说明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我单位本年度无国有资本经营预算财政拨款收入、支出及结转和结余，国有资本经营预算财政拨款收入支出决算表为空表。</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十、其他重要事项的情况说明</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 xml:space="preserve">（一）机关运行经费支出情况 </w:t>
      </w:r>
    </w:p>
    <w:p>
      <w:pPr>
        <w:spacing w:beforeLines="0" w:afterLines="0" w:line="360" w:lineRule="auto"/>
        <w:ind w:firstLine="640"/>
        <w:rPr>
          <w:rFonts w:hint="default" w:eastAsia="Times New Roman"/>
          <w:kern w:val="0"/>
          <w:sz w:val="32"/>
          <w:szCs w:val="24"/>
          <w:highlight w:val="yellow"/>
        </w:rPr>
      </w:pPr>
      <w:r>
        <w:rPr>
          <w:rFonts w:hint="eastAsia" w:ascii="仿宋_GB2312" w:hAnsi="仿宋_GB2312" w:eastAsia="仿宋_GB2312"/>
          <w:kern w:val="0"/>
          <w:sz w:val="32"/>
          <w:szCs w:val="24"/>
        </w:rPr>
        <w:t>2022年度乌鲁木齐市米东区第106小学单位公用经费66.86万元，比上年增加23.27万元，增长53.38%，主要原因是：</w:t>
      </w:r>
      <w:r>
        <w:rPr>
          <w:rFonts w:hint="eastAsia" w:ascii="仿宋_GB2312" w:hAnsi="仿宋_GB2312" w:eastAsia="仿宋_GB2312"/>
          <w:kern w:val="0"/>
          <w:sz w:val="32"/>
          <w:szCs w:val="24"/>
          <w:lang w:val="en-US" w:eastAsia="zh-CN"/>
        </w:rPr>
        <w:t>本年临聘人员增加，</w:t>
      </w:r>
      <w:r>
        <w:rPr>
          <w:rFonts w:hint="eastAsia" w:ascii="仿宋_GB2312" w:hAnsi="仿宋_GB2312" w:eastAsia="仿宋_GB2312"/>
          <w:kern w:val="0"/>
          <w:sz w:val="32"/>
          <w:szCs w:val="24"/>
        </w:rPr>
        <w:t>劳务费</w:t>
      </w:r>
      <w:r>
        <w:rPr>
          <w:rFonts w:hint="eastAsia" w:ascii="仿宋_GB2312" w:hAnsi="仿宋_GB2312" w:eastAsia="仿宋_GB2312"/>
          <w:kern w:val="0"/>
          <w:sz w:val="32"/>
          <w:szCs w:val="24"/>
          <w:lang w:val="en-US" w:eastAsia="zh-CN"/>
        </w:rPr>
        <w:t>较上年</w:t>
      </w:r>
      <w:r>
        <w:rPr>
          <w:rFonts w:hint="eastAsia" w:ascii="仿宋_GB2312" w:hAnsi="仿宋_GB2312" w:eastAsia="仿宋_GB2312"/>
          <w:kern w:val="0"/>
          <w:sz w:val="32"/>
          <w:szCs w:val="24"/>
        </w:rPr>
        <w:t>增加。</w:t>
      </w:r>
    </w:p>
    <w:p>
      <w:pPr>
        <w:spacing w:beforeLines="0" w:afterLines="0" w:line="360" w:lineRule="auto"/>
        <w:ind w:firstLine="640"/>
        <w:rPr>
          <w:rFonts w:hint="default" w:eastAsia="Times New Roman"/>
          <w:sz w:val="32"/>
          <w:szCs w:val="24"/>
        </w:rPr>
      </w:pPr>
      <w:r>
        <w:rPr>
          <w:rFonts w:hint="eastAsia" w:ascii="黑体" w:hAnsi="黑体" w:eastAsia="黑体"/>
          <w:sz w:val="32"/>
          <w:szCs w:val="24"/>
        </w:rPr>
        <w:t>（</w:t>
      </w:r>
      <w:r>
        <w:rPr>
          <w:rFonts w:hint="eastAsia" w:ascii="黑体" w:hAnsi="黑体" w:eastAsia="黑体"/>
          <w:sz w:val="32"/>
          <w:szCs w:val="24"/>
          <w:lang w:val="zh-CN"/>
        </w:rPr>
        <w:t>二</w:t>
      </w:r>
      <w:r>
        <w:rPr>
          <w:rFonts w:hint="eastAsia" w:ascii="黑体" w:hAnsi="黑体" w:eastAsia="黑体"/>
          <w:sz w:val="32"/>
          <w:szCs w:val="24"/>
        </w:rPr>
        <w:t>）</w:t>
      </w:r>
      <w:r>
        <w:rPr>
          <w:rFonts w:hint="eastAsia" w:ascii="黑体" w:hAnsi="黑体" w:eastAsia="黑体"/>
          <w:sz w:val="32"/>
          <w:szCs w:val="24"/>
          <w:lang w:val="zh-CN"/>
        </w:rPr>
        <w:t>政府采购情况</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2022年度政府采购支出总额6.12万元，其中：政府采购货物支出6.12万元、政府采购工程支出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万元、政府采购服务支出</w:t>
      </w:r>
      <w:r>
        <w:rPr>
          <w:rFonts w:hint="default" w:ascii="仿宋_GB2312" w:hAnsi="仿宋_GB2312" w:eastAsia="仿宋_GB2312"/>
          <w:kern w:val="0"/>
          <w:sz w:val="32"/>
          <w:szCs w:val="24"/>
        </w:rPr>
        <w:t>0.00</w:t>
      </w:r>
      <w:r>
        <w:rPr>
          <w:rFonts w:hint="eastAsia" w:ascii="仿宋_GB2312" w:hAnsi="仿宋_GB2312" w:eastAsia="仿宋_GB2312"/>
          <w:kern w:val="0"/>
          <w:sz w:val="32"/>
          <w:szCs w:val="24"/>
        </w:rPr>
        <w:t>万元。</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授予中小企业合同金额6.12万元，占政府采购支出总额的100.00%，其中：授予小微企业合同金额6.12万元，占政府采购支出总额的100.00%。</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（三）国有资产占用情况说明</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截止2022年12月31日，</w:t>
      </w:r>
      <w:r>
        <w:rPr>
          <w:rFonts w:hint="eastAsia" w:ascii="仿宋_GB2312" w:hAnsi="仿宋_GB2312" w:eastAsia="仿宋_GB2312"/>
          <w:sz w:val="32"/>
          <w:szCs w:val="24"/>
        </w:rPr>
        <w:t>固定资产原值</w:t>
      </w:r>
      <w:r>
        <w:rPr>
          <w:rFonts w:hint="eastAsia" w:ascii="仿宋_GB2312" w:hAnsi="仿宋_GB2312" w:eastAsia="仿宋_GB2312"/>
          <w:kern w:val="0"/>
          <w:sz w:val="32"/>
          <w:szCs w:val="24"/>
        </w:rPr>
        <w:t>1,723.69</w:t>
      </w:r>
      <w:r>
        <w:rPr>
          <w:rFonts w:hint="eastAsia" w:ascii="仿宋_GB2312" w:hAnsi="仿宋_GB2312" w:eastAsia="仿宋_GB2312"/>
          <w:sz w:val="32"/>
          <w:szCs w:val="24"/>
        </w:rPr>
        <w:t>万元，</w:t>
      </w:r>
      <w:r>
        <w:rPr>
          <w:rFonts w:hint="eastAsia" w:ascii="仿宋_GB2312" w:hAnsi="仿宋_GB2312" w:eastAsia="仿宋_GB2312"/>
          <w:kern w:val="0"/>
          <w:sz w:val="32"/>
          <w:szCs w:val="24"/>
        </w:rPr>
        <w:t>房屋6,021.32平方米，价值1,337.45万元。车辆1辆，价值3.73万元，其中：副部（省）级及以上领导用车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辆、主要领导干部用车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辆、机要通信用车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辆、应急保障用车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辆、执法执勤用车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辆、特种专业技术用车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辆、离退休干部用车</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辆、其他用车1辆，其他用车主要是：单位业务用车；单价100</w:t>
      </w:r>
      <w:r>
        <w:rPr>
          <w:rFonts w:hint="eastAsia" w:ascii="仿宋_GB2312" w:hAnsi="仿宋_GB2312" w:eastAsia="仿宋_GB2312"/>
          <w:sz w:val="32"/>
          <w:szCs w:val="24"/>
        </w:rPr>
        <w:t>万元（含）以上设备（不含车辆）</w:t>
      </w:r>
      <w:r>
        <w:rPr>
          <w:rFonts w:hint="default" w:ascii="仿宋_GB2312" w:hAnsi="仿宋_GB2312" w:eastAsia="仿宋_GB2312"/>
          <w:kern w:val="0"/>
          <w:sz w:val="32"/>
          <w:szCs w:val="24"/>
        </w:rPr>
        <w:t>0</w:t>
      </w:r>
      <w:r>
        <w:rPr>
          <w:rFonts w:hint="eastAsia" w:ascii="仿宋_GB2312" w:hAnsi="仿宋_GB2312" w:eastAsia="仿宋_GB2312"/>
          <w:kern w:val="0"/>
          <w:sz w:val="32"/>
          <w:szCs w:val="24"/>
        </w:rPr>
        <w:t>台（套）。</w:t>
      </w:r>
    </w:p>
    <w:p>
      <w:pPr>
        <w:spacing w:beforeLines="0" w:afterLines="0" w:line="360" w:lineRule="auto"/>
        <w:ind w:firstLine="640"/>
        <w:rPr>
          <w:rFonts w:hint="default" w:eastAsia="Times New Roman"/>
          <w:sz w:val="32"/>
          <w:szCs w:val="24"/>
          <w:lang w:val="zh-CN"/>
        </w:rPr>
      </w:pPr>
      <w:r>
        <w:rPr>
          <w:rFonts w:hint="eastAsia" w:ascii="黑体" w:hAnsi="黑体" w:eastAsia="黑体"/>
          <w:sz w:val="32"/>
          <w:szCs w:val="24"/>
          <w:lang w:val="zh-CN"/>
        </w:rPr>
        <w:t>十一、预算绩效的情况说明</w:t>
      </w:r>
    </w:p>
    <w:p>
      <w:pPr>
        <w:spacing w:beforeLines="0" w:afterLines="0" w:line="360" w:lineRule="auto"/>
        <w:ind w:firstLine="640" w:firstLineChars="200"/>
        <w:rPr>
          <w:rFonts w:hint="default" w:eastAsia="Times New Roman"/>
          <w:kern w:val="0"/>
          <w:sz w:val="32"/>
          <w:szCs w:val="24"/>
        </w:rPr>
      </w:pPr>
      <w:r>
        <w:rPr>
          <w:rFonts w:hint="eastAsia" w:ascii="仿宋_GB2312" w:hAnsi="仿宋_GB2312" w:eastAsia="仿宋_GB2312"/>
          <w:kern w:val="0"/>
          <w:sz w:val="32"/>
          <w:szCs w:val="24"/>
        </w:rPr>
        <w:t>根据预算绩效管理要求，我单位2022年度开展预算绩效评价项目</w:t>
      </w:r>
      <w:r>
        <w:rPr>
          <w:rFonts w:hint="eastAsia" w:ascii="仿宋_GB2312" w:hAnsi="仿宋_GB2312" w:eastAsia="仿宋_GB2312"/>
          <w:kern w:val="0"/>
          <w:sz w:val="32"/>
          <w:szCs w:val="24"/>
          <w:lang w:val="en-US" w:eastAsia="zh-CN"/>
        </w:rPr>
        <w:t>3</w:t>
      </w:r>
      <w:r>
        <w:rPr>
          <w:rFonts w:hint="eastAsia" w:ascii="仿宋_GB2312" w:hAnsi="仿宋_GB2312" w:eastAsia="仿宋_GB2312"/>
          <w:kern w:val="0"/>
          <w:sz w:val="32"/>
          <w:szCs w:val="24"/>
        </w:rPr>
        <w:t>个，</w:t>
      </w:r>
      <w:r>
        <w:rPr>
          <w:rFonts w:hint="eastAsia" w:ascii="仿宋_GB2312" w:hAnsi="仿宋_GB2312" w:eastAsia="仿宋_GB2312"/>
          <w:sz w:val="32"/>
          <w:szCs w:val="24"/>
        </w:rPr>
        <w:t>全年预算数</w:t>
      </w:r>
      <w:r>
        <w:rPr>
          <w:rFonts w:hint="eastAsia" w:ascii="仿宋_GB2312" w:hAnsi="仿宋_GB2312" w:eastAsia="仿宋_GB2312"/>
          <w:kern w:val="0"/>
          <w:sz w:val="32"/>
          <w:szCs w:val="24"/>
          <w:lang w:val="en-US" w:eastAsia="zh-CN"/>
        </w:rPr>
        <w:t>68.75</w:t>
      </w:r>
      <w:r>
        <w:rPr>
          <w:rFonts w:hint="eastAsia" w:ascii="仿宋_GB2312" w:hAnsi="仿宋_GB2312" w:eastAsia="仿宋_GB2312"/>
          <w:sz w:val="32"/>
          <w:szCs w:val="24"/>
        </w:rPr>
        <w:t>万元，全年执行数</w:t>
      </w:r>
      <w:r>
        <w:rPr>
          <w:rFonts w:hint="eastAsia" w:ascii="仿宋_GB2312" w:hAnsi="仿宋_GB2312" w:eastAsia="仿宋_GB2312"/>
          <w:kern w:val="0"/>
          <w:sz w:val="32"/>
          <w:szCs w:val="24"/>
          <w:lang w:val="en-US" w:eastAsia="zh-CN"/>
        </w:rPr>
        <w:t>38.75</w:t>
      </w:r>
      <w:r>
        <w:rPr>
          <w:rFonts w:hint="eastAsia" w:ascii="仿宋_GB2312" w:hAnsi="仿宋_GB2312" w:eastAsia="仿宋_GB2312"/>
          <w:sz w:val="32"/>
          <w:szCs w:val="24"/>
        </w:rPr>
        <w:t>万元。</w:t>
      </w:r>
      <w:r>
        <w:rPr>
          <w:rFonts w:hint="eastAsia" w:ascii="仿宋_GB2312" w:hAnsi="仿宋_GB2312" w:eastAsia="仿宋_GB2312"/>
          <w:kern w:val="0"/>
          <w:sz w:val="32"/>
          <w:szCs w:val="24"/>
        </w:rPr>
        <w:t>预算绩效管理取得的成效：一是按照</w:t>
      </w:r>
      <w:r>
        <w:rPr>
          <w:rFonts w:hint="eastAsia" w:ascii="仿宋_GB2312" w:hAnsi="仿宋_GB2312" w:eastAsia="仿宋_GB2312"/>
          <w:kern w:val="0"/>
          <w:sz w:val="32"/>
          <w:szCs w:val="24"/>
        </w:rPr>
        <w:fldChar w:fldCharType="begin"/>
      </w:r>
      <w:r>
        <w:rPr>
          <w:rFonts w:hint="eastAsia" w:ascii="仿宋_GB2312" w:hAnsi="仿宋_GB2312" w:eastAsia="仿宋_GB2312"/>
          <w:kern w:val="0"/>
          <w:sz w:val="32"/>
          <w:szCs w:val="24"/>
        </w:rPr>
        <w:instrText xml:space="preserve"> HYPERLINK "https://www.baidu.com/s?wd=%E8%B4%A2%E6%94%BF%E4%B8%93%E9%A1%B9%E8%B5%84%E9%87%91&amp;tn=SE_PcZhidaonwhc_ngpagmjz&amp;rsv_dl=gh_pc_zhidao" \t "_blank" </w:instrText>
      </w:r>
      <w:r>
        <w:rPr>
          <w:rFonts w:hint="eastAsia" w:ascii="仿宋_GB2312" w:hAnsi="仿宋_GB2312" w:eastAsia="仿宋_GB2312"/>
          <w:kern w:val="0"/>
          <w:sz w:val="32"/>
          <w:szCs w:val="24"/>
        </w:rPr>
        <w:fldChar w:fldCharType="separate"/>
      </w:r>
      <w:r>
        <w:rPr>
          <w:rFonts w:hint="eastAsia" w:ascii="仿宋_GB2312" w:hAnsi="仿宋_GB2312" w:eastAsia="仿宋_GB2312"/>
          <w:kern w:val="0"/>
          <w:sz w:val="32"/>
          <w:szCs w:val="24"/>
        </w:rPr>
        <w:t>财政专项资金</w:t>
      </w:r>
      <w:r>
        <w:rPr>
          <w:rFonts w:hint="eastAsia" w:ascii="仿宋_GB2312" w:hAnsi="仿宋_GB2312" w:eastAsia="仿宋_GB2312"/>
          <w:kern w:val="0"/>
          <w:sz w:val="32"/>
          <w:szCs w:val="24"/>
        </w:rPr>
        <w:fldChar w:fldCharType="end"/>
      </w:r>
      <w:r>
        <w:rPr>
          <w:rFonts w:hint="eastAsia" w:ascii="仿宋_GB2312" w:hAnsi="仿宋_GB2312" w:eastAsia="仿宋_GB2312"/>
          <w:kern w:val="0"/>
          <w:sz w:val="32"/>
          <w:szCs w:val="24"/>
        </w:rPr>
        <w:t>管理的要求，结合项目实施方案，通过采取审查账目、查阅档案等形式，重点检查项目组织实施情况、项目资金拨付和管理使用情况以及项目资金使用效益；二是项目资金拨付和管理使用情况，我单位严格按规定办理资金拨付手续，无滞留资金问题；资金是能做到专款专用；无扩大开支范围或挤占、挪用、截留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部门项目支出率低；另外，预算编制的不合理性还表现在绩效目标设置不明确，年度目标与长期规划衔接的紧密程度需要增强。下一步改进措施：一是加强预算制定过程的科学性管理，提升预算方案的质量。首先在预算管细上，加强预算编制的合理性及会计核算的规范性。一方面针对由于部门不可控因</w:t>
      </w:r>
      <w:r>
        <w:rPr>
          <w:rFonts w:hint="eastAsia" w:ascii="仿宋_GB2312" w:hAnsi="仿宋_GB2312" w:eastAsia="仿宋_GB2312"/>
          <w:kern w:val="0"/>
          <w:sz w:val="32"/>
          <w:szCs w:val="24"/>
          <w:lang w:val="en-US" w:eastAsia="zh-CN"/>
        </w:rPr>
        <w:t>素</w:t>
      </w:r>
      <w:r>
        <w:rPr>
          <w:rFonts w:hint="eastAsia" w:ascii="仿宋_GB2312" w:hAnsi="仿宋_GB2312" w:eastAsia="仿宋_GB2312"/>
          <w:kern w:val="0"/>
          <w:sz w:val="32"/>
          <w:szCs w:val="24"/>
        </w:rPr>
        <w:t>出现的预算调整率较大、资金支出率低的问题，我单位应及时与政府及上级部门沟通，向上争取政策支持，在政策实施条件上进行有序改善；另一方面，在预算申报上，预算单位要结合实际需求填报资金需求，在不同项目、不同用途之间做到合理分配预算资金。其次依据项目进展或单位工作实际情况，及时对预算安排进行必要调整。在项目受阻的情况下，资金使用单位应及时向主管部门反馈项目进展情况，主管部门就单位上报的项目实际情况对预算安排进行必要调整，以免导致资金闲置，降低公共预算资金使用效益；二是注重长短期目标的衔接，合理设置年度绩效指标。在具体年度工作计划的安排上，可通过对比历年各项指标的增长情况，将规划中要实现的各项指标合理分配到年度的工作任务中，设定各年度绩效指标的目标增长率，从而确保规划目标的顺利实现。对于在当年度提前完成的绩效指标，应及时总结绩优经验，调整规划的绩效指标值，从而促进各规划的绩效指标对林业发展指导激励作用的有效发挥。具体项目自评情况附项目支出绩效自评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1"/>
        <w:gridCol w:w="654"/>
        <w:gridCol w:w="1009"/>
        <w:gridCol w:w="652"/>
        <w:gridCol w:w="1213"/>
        <w:gridCol w:w="521"/>
        <w:gridCol w:w="809"/>
        <w:gridCol w:w="773"/>
        <w:gridCol w:w="192"/>
        <w:gridCol w:w="531"/>
        <w:gridCol w:w="405"/>
        <w:gridCol w:w="377"/>
        <w:gridCol w:w="422"/>
        <w:gridCol w:w="6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74" w:type="pct"/>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公用经费1 乌财科教【2022】23号-关于下达2022年城乡义务教育项目直达资金（第二批）的通知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25"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73"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第106小学</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35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第106小学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25"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37"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7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2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5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2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45.94</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33.02</w:t>
            </w:r>
          </w:p>
        </w:tc>
        <w:tc>
          <w:tcPr>
            <w:tcW w:w="52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71.88%</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7.19分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2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7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45.94</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33.02</w:t>
            </w:r>
          </w:p>
        </w:tc>
        <w:tc>
          <w:tcPr>
            <w:tcW w:w="52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2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2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25"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3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6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5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2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74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1900"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742"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本项目通过维修学校设施，支付学校安保服务费、缴纳公用暖气费，可改善我校办学硬件设施，有效改善校园环境，明显提高办学条件，推动义务教育均衡化发展。</w:t>
            </w:r>
          </w:p>
        </w:tc>
        <w:tc>
          <w:tcPr>
            <w:tcW w:w="1900" w:type="pct"/>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本项目通过维修学校设施，支付学校安保服务费、缴纳公用暖气费，可改善我校办学硬件设施，有效改善校园环境，明显提高办学条件，推动义务教育均衡化发展</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56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347"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45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43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408"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4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1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347"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8"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6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享受教学条件改善学生数</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&lt;=574人</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574人</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水电费缴纳次数</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学校公共设施日常维修改造次数</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&gt;=5次</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5次</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公用经费使用合规率</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公用经费支付及时率</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义务教育生均公用经费</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=650元/生</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650元/生</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改善校园环境，明显提高办学条件</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6"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5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47"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学生和家长满意度</w:t>
            </w:r>
          </w:p>
        </w:tc>
        <w:tc>
          <w:tcPr>
            <w:tcW w:w="4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3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35"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40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97.19分</w:t>
            </w:r>
          </w:p>
        </w:tc>
        <w:tc>
          <w:tcPr>
            <w:tcW w:w="61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
        <w:gridCol w:w="626"/>
        <w:gridCol w:w="770"/>
        <w:gridCol w:w="1069"/>
        <w:gridCol w:w="1161"/>
        <w:gridCol w:w="157"/>
        <w:gridCol w:w="998"/>
        <w:gridCol w:w="938"/>
        <w:gridCol w:w="505"/>
        <w:gridCol w:w="777"/>
        <w:gridCol w:w="484"/>
        <w:gridCol w:w="280"/>
        <w:gridCol w:w="6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409"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乌财科教[2022]45号--关于拨付2022年中小学和幼儿园自聘教师补助资金的通知（小学）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34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第106小学</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248" w:type="pct"/>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第106小学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38"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5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7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16.94</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19.78%</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7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5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16.94</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7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59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38"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74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6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81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43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3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69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063"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699"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自聘教师工资的发放确保了同工同酬及代课教师的权利，调动了自聘教师的工作积极性。</w:t>
            </w:r>
          </w:p>
        </w:tc>
        <w:tc>
          <w:tcPr>
            <w:tcW w:w="2063"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自聘教师工资的发放确保了同工同酬及代课教师的权利，调动了自聘教师的工作积极性，因财政资金未全部拨付，补助资金未全部发放。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43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59"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52"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529"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28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711"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536"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259"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2"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9"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1"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6"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5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代课教师发放人数</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&gt;=4人</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4人</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同工同酬教师发放人数</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&gt;=3人</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3人</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资金发放准确率</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项目完成时间</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12个月</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调动代课教师的工作热情和积极性，提高教学质量</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保证教学工作的正常开展</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长期保证</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代课教师满意度</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23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5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3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59" w:type="pct"/>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同工同酬教师满意度</w:t>
            </w:r>
          </w:p>
        </w:tc>
        <w:tc>
          <w:tcPr>
            <w:tcW w:w="652"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5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466"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2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1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91.98分</w:t>
            </w:r>
          </w:p>
        </w:tc>
        <w:tc>
          <w:tcPr>
            <w:tcW w:w="53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line="520" w:lineRule="exact"/>
        <w:ind w:left="118" w:firstLine="480"/>
        <w:rPr>
          <w:rFonts w:hint="default" w:eastAsia="Times New Roman"/>
          <w:color w:val="auto"/>
          <w:kern w:val="0"/>
          <w:sz w:val="24"/>
          <w:szCs w:val="24"/>
          <w:highlight w:val="white"/>
          <w:lang w:val="en-US"/>
        </w:rPr>
      </w:pPr>
    </w:p>
    <w:p>
      <w:pPr>
        <w:shd w:val="clear" w:color="auto" w:fill="FFFFFF"/>
        <w:spacing w:before="100" w:line="520" w:lineRule="exact"/>
        <w:ind w:left="118" w:firstLine="480"/>
        <w:rPr>
          <w:rFonts w:hint="default" w:eastAsia="Times New Roman"/>
          <w:color w:val="auto"/>
          <w:kern w:val="0"/>
          <w:sz w:val="24"/>
          <w:szCs w:val="24"/>
          <w:highlight w:val="white"/>
          <w:lang w:val="en-US"/>
        </w:rPr>
      </w:pPr>
      <w:bookmarkStart w:id="1" w:name="_GoBack"/>
      <w:bookmarkEnd w:id="1"/>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89"/>
        <w:gridCol w:w="682"/>
        <w:gridCol w:w="1064"/>
        <w:gridCol w:w="612"/>
        <w:gridCol w:w="829"/>
        <w:gridCol w:w="425"/>
        <w:gridCol w:w="888"/>
        <w:gridCol w:w="1152"/>
        <w:gridCol w:w="606"/>
        <w:gridCol w:w="445"/>
        <w:gridCol w:w="395"/>
        <w:gridCol w:w="445"/>
        <w:gridCol w:w="7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3"/>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4282" w:type="pct"/>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学生补助---提前下达2022城乡义务教育直达资金（乌财科教【2021】96号、120号】）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7"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2155"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第106小学</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1476" w:type="pct"/>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第106小学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7"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项目资金</w:t>
            </w:r>
          </w:p>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946"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7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7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5.85</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40.68%</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4.07分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其中：当年财政拨款</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c>
          <w:tcPr>
            <w:tcW w:w="7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5.85</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717"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4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4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41"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9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254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2126"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2540"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校贫困生资助管理专干根据贫困生资助管理平台，提供人数78人，预计2022年的实际需求，非寄宿生家庭困难生活补助标准，小学每生312.5元/学期，支付全年贫困生生活补助，可改善贫困生家庭经济条件，帮助贫困生顺利完成学业。</w:t>
            </w:r>
          </w:p>
        </w:tc>
        <w:tc>
          <w:tcPr>
            <w:tcW w:w="2126" w:type="pct"/>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我校贫困生资助管理专干根据贫困生资助管理平台，提供人数78人，因财政资金未足额拨付，仅发放春季学生补助，秋季未发放。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60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53"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50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5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34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474"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66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53"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50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0"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4"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年度绩效指标完成情况</w:t>
            </w:r>
          </w:p>
        </w:tc>
        <w:tc>
          <w:tcPr>
            <w:tcW w:w="38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发放贫困补助学生人数</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&lt;=78人</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78人</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非寄宿贫困学生覆盖率</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资助标准达标率</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补助发放及时率</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财政资金未足额拨付</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享受补助标准</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=312.50元/生/学期</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312.5元/生/学期</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解决非寄宿贫困学生困难</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有效解决</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减轻贫困家庭经济负担</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有效减轻</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完全达到预期效果</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jc w:val="left"/>
              <w:rPr>
                <w:rFonts w:hint="eastAsia" w:ascii="宋体" w:hAnsi="宋体" w:eastAsia="宋体" w:cs="宋体"/>
                <w:i w:val="0"/>
                <w:iCs w:val="0"/>
                <w:color w:val="000000"/>
                <w:sz w:val="18"/>
                <w:szCs w:val="18"/>
                <w:u w:val="none"/>
              </w:rPr>
            </w:pP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32"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6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53" w:type="pct"/>
            <w:gridSpan w:val="3"/>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学生及家庭满意度</w:t>
            </w:r>
          </w:p>
        </w:tc>
        <w:tc>
          <w:tcPr>
            <w:tcW w:w="5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6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3523" w:type="pct"/>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34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74"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89.07分</w:t>
            </w:r>
          </w:p>
        </w:tc>
        <w:tc>
          <w:tcPr>
            <w:tcW w:w="660"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r>
    </w:tbl>
    <w:p>
      <w:pPr>
        <w:shd w:val="clear" w:color="auto" w:fill="FFFFFF"/>
        <w:spacing w:before="100" w:beforeLines="0" w:afterLines="0" w:line="520" w:lineRule="exact"/>
        <w:rPr>
          <w:rFonts w:hint="default" w:eastAsia="Times New Roman"/>
          <w:kern w:val="0"/>
          <w:sz w:val="24"/>
          <w:szCs w:val="24"/>
          <w:highlight w:val="white"/>
        </w:rPr>
      </w:pPr>
    </w:p>
    <w:p>
      <w:pPr>
        <w:shd w:val="clear" w:color="auto" w:fill="FFFFFF"/>
        <w:spacing w:before="100" w:beforeLines="0" w:after="240" w:afterLines="0"/>
        <w:jc w:val="center"/>
        <w:rPr>
          <w:rFonts w:hint="default" w:eastAsia="Times New Roman"/>
          <w:b/>
          <w:kern w:val="0"/>
          <w:sz w:val="28"/>
          <w:szCs w:val="24"/>
        </w:rPr>
      </w:pPr>
      <w:r>
        <w:rPr>
          <w:rFonts w:hint="eastAsia" w:ascii="黑体" w:hAnsi="黑体" w:eastAsia="黑体"/>
          <w:kern w:val="0"/>
          <w:sz w:val="32"/>
          <w:szCs w:val="24"/>
        </w:rPr>
        <w:t>第三部分 专业名词解释</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财政拨款收入：指同级财政当年拨付的资金。</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上级补助收入：指事业单位从主管部门和上级单位取得的非财政补助收入。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事业收入：指事业单位开展专业业务活动及其辅助活动所取得的收入。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经营收入：指事业单位在专业业务活动及其辅助活动之外开展非独立核算经营活动取得的收入。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附属单位上缴收入：指事业单位附属的独立核算单位按有关规定上缴的收入。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其他收入：指除上述“财政拨款收入”、“事业收入”、“经营收入”、“附属单位上缴收入”等之外取得的收入。</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基本支出：指为保障机构正常运转、完成日常工作任务而发生的人员支出和公用支出。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项目支出：指在基本支出之外为完成特定行政任务和事业发展目标所发生的支出。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经营支出：指事业单位在专业业务活动及其辅助活动之外开展非独立核算经营活动发生的支出。</w:t>
      </w:r>
    </w:p>
    <w:p>
      <w:pPr>
        <w:shd w:val="clear" w:color="auto" w:fill="FFFFFF"/>
        <w:spacing w:beforeLines="0" w:afterLines="0" w:line="360" w:lineRule="auto"/>
        <w:ind w:firstLine="640"/>
        <w:rPr>
          <w:rFonts w:hint="default" w:eastAsia="Times New Roman"/>
          <w:kern w:val="0"/>
          <w:sz w:val="32"/>
          <w:szCs w:val="24"/>
        </w:rPr>
      </w:pPr>
      <w:r>
        <w:rPr>
          <w:rFonts w:hint="eastAsia" w:ascii="仿宋_GB2312" w:hAnsi="仿宋_GB2312" w:eastAsia="仿宋_GB2312"/>
          <w:kern w:val="0"/>
          <w:sz w:val="32"/>
          <w:szCs w:val="24"/>
        </w:rPr>
        <w:t>对附属单位补助支出：指事业单位发生的用非财政预算资金对附属单位的补助支出。</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beforeLines="0" w:afterLines="0" w:line="360" w:lineRule="auto"/>
        <w:ind w:firstLine="640"/>
        <w:rPr>
          <w:rFonts w:hint="default" w:eastAsia="Times New Roman"/>
          <w:sz w:val="32"/>
          <w:szCs w:val="24"/>
        </w:rPr>
      </w:pPr>
      <w:r>
        <w:rPr>
          <w:rFonts w:hint="eastAsia" w:ascii="仿宋_GB2312" w:hAnsi="仿宋_GB2312" w:eastAsia="仿宋_GB2312"/>
          <w:sz w:val="32"/>
          <w:szCs w:val="24"/>
        </w:rPr>
        <w:t>机关运行经费：行政单位和参照公务员法管理的事业单位财政拨款基本支出中的公用经费支出。</w:t>
      </w:r>
    </w:p>
    <w:p>
      <w:pPr>
        <w:shd w:val="clear" w:color="auto" w:fill="FFFFFF"/>
        <w:spacing w:beforeLines="0" w:afterLines="0" w:line="360" w:lineRule="auto"/>
        <w:ind w:firstLine="640"/>
        <w:rPr>
          <w:rFonts w:hint="default" w:eastAsia="Times New Roman"/>
          <w:kern w:val="0"/>
          <w:sz w:val="32"/>
          <w:szCs w:val="24"/>
        </w:rPr>
      </w:pPr>
    </w:p>
    <w:p>
      <w:pPr>
        <w:shd w:val="clear" w:color="auto" w:fill="FFFFFF"/>
        <w:spacing w:before="100" w:beforeLines="0" w:after="240" w:afterLines="0"/>
        <w:jc w:val="center"/>
        <w:rPr>
          <w:rFonts w:hint="default" w:eastAsia="Times New Roman"/>
          <w:kern w:val="0"/>
          <w:sz w:val="32"/>
          <w:szCs w:val="24"/>
        </w:rPr>
      </w:pPr>
      <w:r>
        <w:rPr>
          <w:rFonts w:hint="default" w:ascii="黑体" w:hAnsi="黑体" w:eastAsia="黑体"/>
          <w:kern w:val="0"/>
          <w:sz w:val="32"/>
          <w:szCs w:val="24"/>
        </w:rPr>
        <w:br w:type="page"/>
      </w:r>
      <w:r>
        <w:rPr>
          <w:rFonts w:hint="eastAsia" w:ascii="黑体" w:hAnsi="黑体" w:eastAsia="黑体"/>
          <w:kern w:val="0"/>
          <w:sz w:val="32"/>
          <w:szCs w:val="24"/>
        </w:rPr>
        <w:t>第四部分 部门决算报表（见附表）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一、《收入支出决算总表》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二、《收入决算表》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三、《支出决算表》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四、《财政拨款收入支出决算总表》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五、《一般公共预算财政拨款支出决算表》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六、《一般公共预算财政拨款基本支出决算表》</w:t>
      </w:r>
    </w:p>
    <w:p>
      <w:pPr>
        <w:spacing w:beforeLines="0" w:afterLines="0" w:line="540" w:lineRule="exact"/>
        <w:ind w:firstLine="640"/>
        <w:rPr>
          <w:rFonts w:hint="default" w:eastAsia="Times New Roman"/>
          <w:sz w:val="32"/>
          <w:szCs w:val="24"/>
        </w:rPr>
      </w:pPr>
      <w:r>
        <w:rPr>
          <w:rFonts w:hint="eastAsia" w:ascii="黑体" w:hAnsi="黑体" w:eastAsia="黑体"/>
          <w:sz w:val="32"/>
          <w:szCs w:val="24"/>
        </w:rPr>
        <w:t>七、《财政拨款“三公”经费支出决算表》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rPr>
        <w:t>八、《政府性基金预算财政拨款收入支出决算表》</w:t>
      </w:r>
    </w:p>
    <w:p>
      <w:pPr>
        <w:spacing w:beforeLines="0" w:afterLines="0" w:line="540" w:lineRule="exact"/>
        <w:ind w:firstLine="640"/>
        <w:rPr>
          <w:rFonts w:hint="default" w:eastAsia="Times New Roman"/>
          <w:kern w:val="0"/>
          <w:sz w:val="32"/>
          <w:szCs w:val="24"/>
        </w:rPr>
      </w:pPr>
      <w:r>
        <w:rPr>
          <w:rFonts w:hint="eastAsia" w:ascii="黑体" w:hAnsi="黑体" w:eastAsia="黑体"/>
          <w:sz w:val="32"/>
          <w:szCs w:val="24"/>
          <w:lang w:val="zh-CN"/>
        </w:rPr>
        <w:t>九</w:t>
      </w:r>
      <w:r>
        <w:rPr>
          <w:rFonts w:hint="eastAsia" w:ascii="黑体" w:hAnsi="黑体" w:eastAsia="黑体"/>
          <w:sz w:val="32"/>
          <w:szCs w:val="24"/>
        </w:rPr>
        <w:t>、《国有资本经营预算财政拨款收入支出决算表》</w:t>
      </w: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p>
      <w:pPr>
        <w:spacing w:beforeLines="0" w:afterLines="0"/>
        <w:rPr>
          <w:rFonts w:hint="default" w:eastAsia="Times New Roman"/>
          <w:sz w:val="21"/>
          <w:szCs w:val="24"/>
        </w:rPr>
      </w:pPr>
    </w:p>
    <w:p>
      <w:pPr>
        <w:spacing w:beforeLines="0" w:afterLines="0"/>
        <w:jc w:val="left"/>
        <w:rPr>
          <w:rFonts w:hint="default" w:eastAsia="Times New Roman"/>
          <w:kern w:val="36"/>
          <w:sz w:val="40"/>
          <w:szCs w:val="24"/>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0"/>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417F3485"/>
    <w:rsid w:val="50CB64EB"/>
    <w:rsid w:val="514166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iPriority="99" w:name="heading 1"/>
    <w:lsdException w:qFormat="1" w:uiPriority="99" w:name="heading 2"/>
    <w:lsdException w:qFormat="1" w:uiPriority="99"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99" w:name="toc 1"/>
    <w:lsdException w:qFormat="1" w:uiPriority="99" w:name="toc 2"/>
    <w:lsdException w:qFormat="1" w:uiPriority="99" w:name="toc 3"/>
    <w:lsdException w:qFormat="1" w:uiPriority="99" w:name="toc 4"/>
    <w:lsdException w:qFormat="1" w:uiPriority="99" w:name="toc 5"/>
    <w:lsdException w:qFormat="1" w:uiPriority="99" w:name="toc 6"/>
    <w:lsdException w:qFormat="1" w:uiPriority="99" w:name="toc 7"/>
    <w:lsdException w:qFormat="1" w:uiPriority="99" w:name="toc 8"/>
    <w:lsdException w:qFormat="1" w:uiPriority="99" w:name="toc 9"/>
    <w:lsdException w:qFormat="1"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qFormat="1" w:uiPriority="99" w:name="index heading"/>
    <w:lsdException w:qFormat="1" w:uiPriority="99" w:name="caption"/>
    <w:lsdException w:qFormat="1" w:uiPriority="99" w:name="table of figures"/>
    <w:lsdException w:qFormat="1" w:uiPriority="99" w:name="envelope address"/>
    <w:lsdException w:qFormat="1" w:uiPriority="99" w:name="envelope return"/>
    <w:lsdException w:qFormat="1" w:uiPriority="99" w:name="footnote reference"/>
    <w:lsdException w:qFormat="1" w:uiPriority="99" w:name="annotation reference"/>
    <w:lsdException w:qFormat="1" w:uiPriority="99" w:name="line number"/>
    <w:lsdException w:qFormat="1" w:uiPriority="99"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iPriority="99" w:name="Title"/>
    <w:lsdException w:qFormat="1" w:uiPriority="99" w:name="Closing"/>
    <w:lsdException w:qFormat="1" w:uiPriority="99" w:name="Signature"/>
    <w:lsdException w:uiPriority="99"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iPriority="99"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name="Hyperlink"/>
    <w:lsdException w:qFormat="1" w:uiPriority="99" w:name="FollowedHyperlink"/>
    <w:lsdException w:qFormat="1" w:uiPriority="99" w:name="Strong"/>
    <w:lsdException w:qFormat="1" w:uiPriority="99" w:name="Emphasis"/>
    <w:lsdException w:qFormat="1" w:uiPriority="99" w:name="Document Map"/>
    <w:lsdException w:qFormat="1" w:uiPriority="99" w:name="Plain Text"/>
    <w:lsdException w:qFormat="1" w:uiPriority="99" w:name="E-mail Signature"/>
    <w:lsdException w:qFormat="1" w:uiPriority="99" w:name="Normal (Web)"/>
    <w:lsdException w:qFormat="1" w:uiPriority="99" w:name="HTML Acronym"/>
    <w:lsdException w:qFormat="1"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name="HTML Preformatted"/>
    <w:lsdException w:qFormat="1" w:uiPriority="99" w:name="HTML Sample"/>
    <w:lsdException w:qFormat="1" w:uiPriority="99" w:name="HTML Typewriter"/>
    <w:lsdException w:qFormat="1" w:uiPriority="99" w:name="HTML Variable"/>
    <w:lsdException w:qFormat="1" w:unhideWhenUsed="0" w:uiPriority="99" w:semiHidden="0" w:name="Normal Table"/>
    <w:lsdException w:qFormat="1" w:uiPriority="99"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spacing w:beforeLines="0" w:afterLines="0"/>
      <w:jc w:val="both"/>
    </w:pPr>
    <w:rPr>
      <w:rFonts w:hint="eastAsia" w:ascii="Times New Roman" w:hAnsi="Times New Roman" w:eastAsia="宋体" w:cs="Times New Roman"/>
      <w:kern w:val="2"/>
      <w:sz w:val="21"/>
      <w:szCs w:val="21"/>
      <w:lang w:val="en-US" w:eastAsia="zh-CN" w:bidi="ar-SA"/>
    </w:rPr>
  </w:style>
  <w:style w:type="character" w:default="1" w:styleId="5">
    <w:name w:val="Default Paragraph Font"/>
    <w:unhideWhenUsed/>
    <w:uiPriority w:val="99"/>
    <w:rPr>
      <w:rFonts w:hint="default"/>
      <w:sz w:val="24"/>
      <w:szCs w:val="24"/>
    </w:rPr>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beforeLines="0" w:afterLines="0"/>
      <w:jc w:val="left"/>
    </w:pPr>
    <w:rPr>
      <w:rFonts w:hint="eastAsia"/>
      <w:sz w:val="18"/>
      <w:szCs w:val="18"/>
    </w:rPr>
  </w:style>
  <w:style w:type="paragraph" w:styleId="3">
    <w:name w:val="header"/>
    <w:basedOn w:val="1"/>
    <w:link w:val="6"/>
    <w:unhideWhenUsed/>
    <w:qFormat/>
    <w:uiPriority w:val="99"/>
    <w:pPr>
      <w:tabs>
        <w:tab w:val="center" w:pos="4153"/>
        <w:tab w:val="right" w:pos="8306"/>
      </w:tabs>
      <w:snapToGrid w:val="0"/>
      <w:spacing w:beforeLines="0" w:afterLines="0"/>
      <w:jc w:val="center"/>
    </w:pPr>
    <w:rPr>
      <w:rFonts w:hint="eastAsia"/>
      <w:sz w:val="18"/>
      <w:szCs w:val="18"/>
    </w:rPr>
  </w:style>
  <w:style w:type="character" w:customStyle="1" w:styleId="6">
    <w:name w:val="页眉 字符"/>
    <w:basedOn w:val="5"/>
    <w:link w:val="3"/>
    <w:unhideWhenUsed/>
    <w:qFormat/>
    <w:uiPriority w:val="99"/>
    <w:rPr>
      <w:rFonts w:hint="default" w:cs="Times New Roman"/>
      <w:sz w:val="18"/>
      <w:szCs w:val="18"/>
    </w:rPr>
  </w:style>
  <w:style w:type="character" w:customStyle="1" w:styleId="7">
    <w:name w:val="页脚 字符"/>
    <w:basedOn w:val="5"/>
    <w:link w:val="2"/>
    <w:unhideWhenUsed/>
    <w:uiPriority w:val="99"/>
    <w:rPr>
      <w:rFonts w:hint="default"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7602</Words>
  <Characters>8468</Characters>
  <TotalTime>5</TotalTime>
  <ScaleCrop>false</ScaleCrop>
  <LinksUpToDate>false</LinksUpToDate>
  <CharactersWithSpaces>8481</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2023-08-24T04:33:00Z</dcterms:created>
  <dc:creator>asus</dc:creator>
  <cp:lastModifiedBy>逐梦令</cp:lastModifiedBy>
  <dcterms:modified xsi:type="dcterms:W3CDTF">2023-09-01T02:37:14Z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A2B0502D9AE44A1285EBFCF61137C881_13</vt:lpwstr>
  </property>
</Properties>
</file>