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乌鲁木齐市米东区第109小学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依据《中华人民共和国教育法》《中华人民共和国义务教育法》《中华人民共和国教师法》，学校应履行以下职责：</w:t>
      </w:r>
      <w:bookmarkStart w:id="3" w:name="_GoBack"/>
      <w:bookmarkEnd w:id="3"/>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1、全面贯彻党和国家的路线、方针、政策、法规，全面实施素质教育，认真执行上级党委和教育行政部门的指示，依法治校，努力提高学校的办学水平和办学效益；</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2、全面规划，统一安排学校的各项工作，组织制定和实施学校发展规划、工作计划；</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3、负责健全学校行政指挥系统，健全各项规章制度，保证学校正常的工作秩序；</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4按照学校经费使用计划，负责教育教学及办公用品、维修设备的采购、发放和管理工作；</w:t>
      </w:r>
    </w:p>
    <w:p>
      <w:pPr>
        <w:shd w:val="clear" w:color="auto" w:fill="FFFFFF"/>
        <w:spacing w:beforeLines="0" w:afterLines="0"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5、根据预算安排，拟定收支计划，并组织实施、管理和监督；</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6、规范会计行为；组织执行国家统一的会计制度和自治区相关补充规定；组织管理会计人员的业务培训；</w:t>
      </w:r>
    </w:p>
    <w:p>
      <w:pPr>
        <w:shd w:val="clear" w:color="auto" w:fill="FFFFFF"/>
        <w:spacing w:beforeLines="0" w:afterLines="0" w:line="360" w:lineRule="auto"/>
        <w:ind w:firstLine="640"/>
        <w:rPr>
          <w:rFonts w:hint="default"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7、负责维护学校、师生的合法权益，有权拒绝任何组织和个人对教育教学活动进行非法干涉；</w:t>
      </w:r>
    </w:p>
    <w:p>
      <w:pPr>
        <w:shd w:val="clear" w:color="auto" w:fill="FFFFFF"/>
        <w:spacing w:beforeLines="0" w:afterLines="0"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8、依法接受各级教育行政部门的检查指导和人民群众的监督；</w:t>
      </w:r>
    </w:p>
    <w:p>
      <w:pPr>
        <w:shd w:val="clear" w:color="auto" w:fill="FFFFFF"/>
        <w:spacing w:beforeLines="0" w:afterLines="0" w:line="360" w:lineRule="auto"/>
        <w:ind w:firstLine="640"/>
        <w:rPr>
          <w:rFonts w:hint="default" w:ascii="仿宋_GB2312" w:hAnsi="仿宋_GB2312" w:eastAsia="仿宋_GB2312"/>
          <w:kern w:val="0"/>
          <w:sz w:val="32"/>
          <w:szCs w:val="24"/>
          <w:lang w:val="zh-CN" w:eastAsia="zh-CN"/>
        </w:rPr>
      </w:pPr>
      <w:r>
        <w:rPr>
          <w:rFonts w:hint="eastAsia" w:ascii="仿宋_GB2312" w:hAnsi="仿宋_GB2312" w:eastAsia="仿宋_GB2312"/>
          <w:kern w:val="0"/>
          <w:sz w:val="32"/>
          <w:szCs w:val="24"/>
          <w:lang w:val="en-US" w:eastAsia="zh-CN"/>
        </w:rPr>
        <w:t>9、提供社会服务。现代学校着眼于社会的需要，为社会的发展与进步提供各种可能的服务。</w:t>
      </w:r>
    </w:p>
    <w:p>
      <w:pPr>
        <w:spacing w:beforeLines="0" w:afterLines="0" w:line="360" w:lineRule="auto"/>
        <w:ind w:firstLine="20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乌鲁木齐市米东区第109小学2022年度，实有人数23人，其中：在职人员17人，离休人员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人，退休人员6人。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从部门决算单位构成看，乌鲁木齐市米东区第109小学部门决算包括：乌鲁木齐市米东区第109小学</w:t>
      </w:r>
      <w:r>
        <w:rPr>
          <w:rFonts w:hint="eastAsia" w:ascii="仿宋_GB2312" w:hAnsi="仿宋_GB2312" w:eastAsia="仿宋_GB2312"/>
          <w:kern w:val="0"/>
          <w:sz w:val="32"/>
          <w:szCs w:val="24"/>
          <w:lang w:val="zh-CN"/>
        </w:rPr>
        <w:t>决算。单位无下属预算单位，下设13个科室，分别是</w:t>
      </w:r>
      <w:r>
        <w:rPr>
          <w:rFonts w:hint="eastAsia" w:ascii="仿宋_GB2312" w:hAnsi="仿宋_GB2312" w:eastAsia="仿宋_GB2312"/>
          <w:kern w:val="0"/>
          <w:sz w:val="32"/>
          <w:szCs w:val="24"/>
          <w:highlight w:val="white"/>
          <w:lang w:val="zh-CN"/>
        </w:rPr>
        <w:t>：</w:t>
      </w:r>
      <w:r>
        <w:rPr>
          <w:rFonts w:hint="eastAsia" w:ascii="仿宋_GB2312" w:hAnsi="仿宋_GB2312" w:eastAsia="仿宋_GB2312"/>
          <w:kern w:val="0"/>
          <w:sz w:val="32"/>
          <w:szCs w:val="24"/>
          <w:highlight w:val="white"/>
        </w:rPr>
        <w:t>办公室、总务室、</w:t>
      </w:r>
      <w:r>
        <w:rPr>
          <w:rFonts w:hint="eastAsia" w:ascii="仿宋_GB2312" w:eastAsia="仿宋_GB2312"/>
          <w:kern w:val="0"/>
          <w:sz w:val="32"/>
          <w:szCs w:val="24"/>
          <w:highlight w:val="white"/>
        </w:rPr>
        <w:t>教研室、美术室、音乐室、舞蹈室、体育器材室、计算机室、图书室、阅览室、广播室、多媒体教室、财务室</w:t>
      </w:r>
      <w:r>
        <w:rPr>
          <w:rFonts w:hint="eastAsia" w:ascii="仿宋_GB2312" w:hAnsi="仿宋_GB2312" w:eastAsia="仿宋_GB2312"/>
          <w:kern w:val="0"/>
          <w:sz w:val="32"/>
          <w:szCs w:val="24"/>
          <w:highlight w:val="white"/>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356.78万元，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354.46</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2.32</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与上年相比，增加47.70万元，增长15.43%，主要原因是：绩效工资、考核奖金、调标工资，增收学生课后托管费增加。</w:t>
      </w:r>
    </w:p>
    <w:p>
      <w:pPr>
        <w:shd w:val="clear" w:color="auto" w:fill="FFFFFF"/>
        <w:spacing w:beforeLines="0" w:afterLines="0" w:line="360" w:lineRule="auto"/>
        <w:ind w:firstLine="640"/>
        <w:rPr>
          <w:rFonts w:hint="default" w:eastAsia="Times New Roman"/>
          <w:kern w:val="0"/>
          <w:sz w:val="32"/>
          <w:szCs w:val="24"/>
          <w:highlight w:val="yellow"/>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356.78万元，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354.75</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2.03</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与上年相比，增加47.70万元，增长15.43%，主要原因是：绩效工资、考核奖金、调标工资，增收学生课后托管费增加。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2022年度本年收入354.46万元，其中：财政拨款收入338.99万元，占95.64%；上级补助收入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万元，占0.00%；其他收入15.47万元，占4.36%。</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2022年度本年支出354.75万元，其中：基本支出328.74万元，占92.67%；项目支出26.01万元，占7.33%；上缴上级支出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341.31万元，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2.32</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338.99</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与上年相比，增加32.23万元，增长10.43%，主要原因是：增加绩效工资、考核奖金、调标工资。</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341.31万元，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1.83</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339.48</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与上年相比，增加32.23万元，增长10.43%，主要原因是：增加绩效工资、考核奖金、调标工资。</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年初预算数357.23万元，决算数341.31万元，预决算差异率-4.46%，主要原因是：增加绩效工资、考核奖金、调标工资</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追加人员经费，导致预决算有差异</w:t>
      </w: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年初预算数357.23万元，决算数341.31万元，预决算差异率-4.46%，主要原因是：增加绩效工资、考核奖金、调标工资</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支出增加，导致预决算有差异</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339.48</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增加32.73万元，增长10.67%，主要原因是：增加绩效工资、考核奖金、调标工资。</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1.教育支出（类）338.99万元，占99.86%；</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kern w:val="0"/>
          <w:sz w:val="32"/>
          <w:szCs w:val="24"/>
        </w:rPr>
        <w:t>2.社会保障和就业支出（类）0.49万元，占0.14%。</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hd w:val="clear" w:color="auto" w:fill="FFFFFF"/>
        <w:spacing w:beforeLines="0" w:afterLines="0" w:line="360" w:lineRule="auto"/>
        <w:ind w:firstLine="640" w:firstLineChars="20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1.教育支出（类）普通教育（款）小学教育（项）:支出决算数为338.99万元，比上年决算增加53.85万元，增长18.89%，主要原因是：增加绩效工资、考核奖金、调标工资</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firstLineChars="20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万元，比上年决算减少0.36万元，下降100.00%，主要原因是：</w:t>
      </w:r>
      <w:bookmarkStart w:id="0" w:name="_Hlk143712814"/>
      <w:bookmarkStart w:id="1" w:name="_Hlk143727405"/>
      <w:r>
        <w:rPr>
          <w:rFonts w:hint="eastAsia" w:ascii="仿宋_GB2312" w:hAnsi="仿宋_GB2312" w:eastAsia="仿宋_GB2312"/>
          <w:kern w:val="0"/>
          <w:sz w:val="32"/>
          <w:szCs w:val="24"/>
        </w:rPr>
        <w:t>2022年社会保障和就业支出（类）民政管理事务（款）基层政权建设和社区治理（项）支出调整至教育支出（类）普通教育（款）小学教育（项）</w:t>
      </w:r>
      <w:bookmarkEnd w:id="0"/>
      <w:r>
        <w:rPr>
          <w:rFonts w:hint="eastAsia" w:ascii="仿宋_GB2312" w:hAnsi="仿宋_GB2312" w:eastAsia="仿宋_GB2312"/>
          <w:kern w:val="0"/>
          <w:sz w:val="32"/>
          <w:szCs w:val="24"/>
          <w:lang w:eastAsia="zh-CN"/>
        </w:rPr>
        <w:t>；</w:t>
      </w:r>
    </w:p>
    <w:bookmarkEnd w:id="1"/>
    <w:p>
      <w:pPr>
        <w:spacing w:beforeLines="0" w:afterLines="0" w:line="360" w:lineRule="auto"/>
        <w:ind w:firstLine="640" w:firstLineChars="200"/>
        <w:rPr>
          <w:rFonts w:hint="default" w:eastAsia="Times New Roman"/>
          <w:sz w:val="32"/>
          <w:szCs w:val="24"/>
        </w:rPr>
      </w:pPr>
      <w:r>
        <w:rPr>
          <w:rFonts w:hint="eastAsia" w:ascii="仿宋_GB2312" w:hAnsi="仿宋_GB2312" w:eastAsia="仿宋_GB2312"/>
          <w:kern w:val="0"/>
          <w:sz w:val="32"/>
          <w:szCs w:val="24"/>
        </w:rPr>
        <w:t>3.社会保障和就业支出（类）行政事业单位养老支出（款）机关事业单位基本养老保险缴费支出（项）:支出决算数为0.49万元，比上年决算减少20.76万元，下降97.69%，主要原因是：社会保障和就业支出（类）行政事业单位养老支出（款）机关事业单位基本养老保险缴费支出（项）支出调整至教育支出（类）普通教育（款）小学教育（项）。</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highlight w:val="yellow"/>
        </w:rPr>
      </w:pPr>
      <w:r>
        <w:rPr>
          <w:rFonts w:hint="eastAsia" w:ascii="仿宋_GB2312" w:hAnsi="仿宋_GB2312" w:eastAsia="仿宋_GB2312"/>
          <w:kern w:val="0"/>
          <w:sz w:val="32"/>
          <w:szCs w:val="24"/>
        </w:rPr>
        <w:t>2022年度一般公共预算财政拨款基本支出328.74万元，其中：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292.24万元，包括：基本工资、津贴补贴、奖金、绩效工资、机关事业单位基本养老保险缴费、职业年金缴费、职工基本医疗保险缴费、公务员医疗补助缴费、其他社会保障缴费、住房公积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公用经费36.50万元，包括：电费、取暖费、专用材料费、劳务费、其他交通费用。</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bookmarkStart w:id="2" w:name="_Hlk142313279"/>
      <w:r>
        <w:rPr>
          <w:rFonts w:hint="eastAsia" w:ascii="仿宋_GB2312" w:eastAsia="仿宋_GB2312" w:cs="仿宋_GB2312"/>
          <w:kern w:val="0"/>
          <w:sz w:val="32"/>
          <w:szCs w:val="32"/>
        </w:rPr>
        <w:t>本年单位无此项支出</w:t>
      </w:r>
      <w:bookmarkEnd w:id="2"/>
      <w:r>
        <w:rPr>
          <w:rFonts w:hint="eastAsia" w:ascii="仿宋_GB2312" w:hAnsi="仿宋_GB2312" w:eastAsia="仿宋_GB2312"/>
          <w:kern w:val="0"/>
          <w:sz w:val="32"/>
          <w:szCs w:val="24"/>
        </w:rPr>
        <w:t>。其中：因公出国（境）费支出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本年单位无因公出国（境）费支出；</w:t>
      </w:r>
      <w:r>
        <w:rPr>
          <w:rFonts w:hint="eastAsia" w:ascii="仿宋_GB2312" w:hAnsi="仿宋_GB2312" w:eastAsia="仿宋_GB2312"/>
          <w:kern w:val="0"/>
          <w:sz w:val="32"/>
          <w:szCs w:val="24"/>
        </w:rPr>
        <w:t>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。具体情况如下：</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eastAsia" w:ascii="仿宋_GB2312" w:eastAsia="仿宋_GB2312"/>
          <w:kern w:val="0"/>
          <w:sz w:val="32"/>
          <w:szCs w:val="24"/>
        </w:rPr>
        <w:t>“</w:t>
      </w:r>
      <w:r>
        <w:rPr>
          <w:rFonts w:hint="eastAsia" w:ascii="仿宋_GB2312" w:hAnsi="仿宋_GB2312" w:eastAsia="仿宋_GB2312"/>
          <w:kern w:val="0"/>
          <w:sz w:val="32"/>
          <w:szCs w:val="24"/>
        </w:rPr>
        <w:t>三公</w:t>
      </w:r>
      <w:r>
        <w:rPr>
          <w:rFonts w:hint="eastAsia" w:ascii="仿宋_GB2312" w:eastAsia="仿宋_GB2312"/>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highlight w:val="yellow"/>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2022年度乌鲁木齐市米东区第109小学单位公用经费36.50万元，比上年增加7.86万元，增长27.44%，主要原因是：增加师生接送费、教学楼公用取暖费开支。</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1,523.93</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房屋4,484.00平方米，价值874.06万元。车辆2辆，价值30.87万元，其中：副部（省）级及以上领导用车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辆、其他用车2辆，其他用车主要是：单位业务用车；单价100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eastAsia="仿宋_GB2312"/>
          <w:kern w:val="0"/>
          <w:sz w:val="32"/>
          <w:szCs w:val="32"/>
        </w:rPr>
      </w:pPr>
      <w:r>
        <w:rPr>
          <w:rFonts w:hint="eastAsia" w:ascii="仿宋_GB2312" w:hAnsi="仿宋_GB2312" w:eastAsia="仿宋_GB2312"/>
          <w:kern w:val="0"/>
          <w:sz w:val="32"/>
          <w:szCs w:val="32"/>
        </w:rPr>
        <w:t>根据预算绩效管理要求，我单位2022年度开展预算绩效评价项目2个，</w:t>
      </w:r>
      <w:r>
        <w:rPr>
          <w:rFonts w:hint="eastAsia" w:ascii="仿宋_GB2312" w:hAnsi="仿宋_GB2312" w:eastAsia="仿宋_GB2312"/>
          <w:sz w:val="32"/>
          <w:szCs w:val="32"/>
        </w:rPr>
        <w:t>全年预算数10.91万元，全年执行数9.81万元。</w:t>
      </w:r>
      <w:r>
        <w:rPr>
          <w:rFonts w:hint="eastAsia" w:ascii="仿宋_GB2312" w:hAnsi="仿宋_GB2312" w:eastAsia="仿宋_GB2312"/>
          <w:kern w:val="0"/>
          <w:sz w:val="32"/>
          <w:szCs w:val="32"/>
        </w:rPr>
        <w:t>预算绩效管理取得的成效：一</w:t>
      </w:r>
      <w:r>
        <w:rPr>
          <w:rFonts w:hint="eastAsia" w:ascii="仿宋_GB2312" w:hAnsi="仿宋_GB2312" w:eastAsia="仿宋_GB2312"/>
          <w:kern w:val="0"/>
          <w:sz w:val="32"/>
          <w:szCs w:val="32"/>
          <w:lang w:val="en-US" w:eastAsia="zh-CN"/>
        </w:rPr>
        <w:t>是</w:t>
      </w:r>
      <w:r>
        <w:rPr>
          <w:rFonts w:hint="eastAsia" w:ascii="仿宋_GB2312" w:hAnsi="仿宋" w:eastAsia="仿宋_GB2312"/>
          <w:color w:val="000000"/>
          <w:sz w:val="32"/>
          <w:szCs w:val="32"/>
        </w:rPr>
        <w:t>使我校的各项教育教学工作能有序开展，保障教师的各项教学需要，提升了学校的社会影响力</w:t>
      </w:r>
      <w:r>
        <w:rPr>
          <w:rFonts w:hint="eastAsia" w:ascii="仿宋_GB2312" w:eastAsia="仿宋_GB2312"/>
          <w:kern w:val="0"/>
          <w:sz w:val="32"/>
          <w:szCs w:val="32"/>
        </w:rPr>
        <w:t>；二</w:t>
      </w:r>
      <w:r>
        <w:rPr>
          <w:rFonts w:hint="eastAsia" w:ascii="仿宋_GB2312" w:eastAsia="仿宋_GB2312"/>
          <w:kern w:val="0"/>
          <w:sz w:val="32"/>
          <w:szCs w:val="32"/>
          <w:lang w:val="en-US" w:eastAsia="zh-CN"/>
        </w:rPr>
        <w:t>是</w:t>
      </w:r>
      <w:r>
        <w:rPr>
          <w:rFonts w:hint="eastAsia" w:ascii="仿宋_GB2312" w:eastAsia="仿宋_GB2312"/>
          <w:kern w:val="0"/>
          <w:sz w:val="32"/>
          <w:szCs w:val="32"/>
        </w:rPr>
        <w:t>办学条件进一步改善，优化教育资源配置；三</w:t>
      </w:r>
      <w:r>
        <w:rPr>
          <w:rFonts w:hint="eastAsia" w:ascii="仿宋_GB2312" w:eastAsia="仿宋_GB2312"/>
          <w:kern w:val="0"/>
          <w:sz w:val="32"/>
          <w:szCs w:val="32"/>
          <w:lang w:val="en-US" w:eastAsia="zh-CN"/>
        </w:rPr>
        <w:t>是</w:t>
      </w:r>
      <w:r>
        <w:rPr>
          <w:rFonts w:hint="eastAsia" w:ascii="仿宋_GB2312" w:eastAsia="仿宋_GB2312"/>
          <w:kern w:val="0"/>
          <w:sz w:val="32"/>
          <w:szCs w:val="32"/>
        </w:rPr>
        <w:t>教师业务水平进一步提升；四</w:t>
      </w:r>
      <w:r>
        <w:rPr>
          <w:rFonts w:hint="eastAsia" w:ascii="仿宋_GB2312" w:eastAsia="仿宋_GB2312"/>
          <w:kern w:val="0"/>
          <w:sz w:val="32"/>
          <w:szCs w:val="32"/>
          <w:lang w:val="en-US" w:eastAsia="zh-CN"/>
        </w:rPr>
        <w:t>是</w:t>
      </w:r>
      <w:r>
        <w:rPr>
          <w:rFonts w:hint="eastAsia" w:ascii="仿宋_GB2312" w:eastAsia="仿宋_GB2312"/>
          <w:kern w:val="0"/>
          <w:sz w:val="32"/>
          <w:szCs w:val="32"/>
        </w:rPr>
        <w:t>群众满意度进一步提高</w:t>
      </w:r>
      <w:r>
        <w:rPr>
          <w:rFonts w:hint="eastAsia" w:ascii="仿宋_GB2312" w:hAnsi="仿宋_GB2312" w:eastAsia="仿宋_GB2312"/>
          <w:kern w:val="0"/>
          <w:sz w:val="32"/>
          <w:szCs w:val="32"/>
        </w:rPr>
        <w:t>。发现的问题及原因：一是</w:t>
      </w:r>
      <w:r>
        <w:rPr>
          <w:rFonts w:hint="eastAsia" w:ascii="仿宋_GB2312" w:eastAsia="仿宋_GB2312"/>
          <w:kern w:val="0"/>
          <w:sz w:val="32"/>
          <w:szCs w:val="32"/>
        </w:rPr>
        <w:t>义务教育薄弱学校改造地方资金配套存在困难；二是学校无任何收费同时公用经费用途明确不能用于人员经费支出，教师值班加班相关支出没有明确支出渠道，既要满足实际需要同时又要避开政策红线，导致学校工作开展十分困难。</w:t>
      </w:r>
      <w:r>
        <w:rPr>
          <w:rFonts w:hint="eastAsia" w:ascii="仿宋_GB2312" w:hAnsi="仿宋_GB2312" w:eastAsia="仿宋_GB2312"/>
          <w:kern w:val="0"/>
          <w:sz w:val="32"/>
          <w:szCs w:val="32"/>
        </w:rPr>
        <w:t>下一步改进措施：一是</w:t>
      </w:r>
      <w:r>
        <w:rPr>
          <w:rStyle w:val="7"/>
          <w:rFonts w:hint="eastAsia" w:ascii="仿宋_GB2312" w:hAnsi="仿宋" w:eastAsia="仿宋_GB2312"/>
          <w:b w:val="0"/>
          <w:spacing w:val="-4"/>
          <w:sz w:val="32"/>
          <w:szCs w:val="32"/>
        </w:rPr>
        <w:t>加强预算管理，严格执行《预算法》。应严格《预算法》执行部门预算，按照财政批复的部门预算和绩效目标的项目和用途使用资金，不得擅自调剂使用</w:t>
      </w:r>
      <w:r>
        <w:rPr>
          <w:rFonts w:hint="eastAsia" w:ascii="仿宋_GB2312" w:eastAsia="仿宋_GB2312"/>
          <w:kern w:val="0"/>
          <w:sz w:val="32"/>
          <w:szCs w:val="32"/>
        </w:rPr>
        <w:t>；二是</w:t>
      </w:r>
      <w:r>
        <w:rPr>
          <w:rStyle w:val="7"/>
          <w:rFonts w:hint="eastAsia" w:ascii="仿宋_GB2312" w:hAnsi="仿宋" w:eastAsia="仿宋_GB2312"/>
          <w:b w:val="0"/>
          <w:spacing w:val="-4"/>
          <w:sz w:val="32"/>
          <w:szCs w:val="32"/>
        </w:rPr>
        <w:t>加强项目资金管理，严格规范项目资金使用。严格规范专项资金的审批程序，切实做好专项资金专款专用，严禁专项资金挪作他用。设置专项资金科目进行核算，真实反馈专项资金使用情况，严禁专项资金在项目间自行调剂</w:t>
      </w:r>
      <w:r>
        <w:rPr>
          <w:rStyle w:val="7"/>
          <w:rFonts w:hint="eastAsia" w:ascii="仿宋_GB2312" w:hAnsi="仿宋" w:eastAsia="仿宋_GB2312"/>
          <w:b w:val="0"/>
          <w:spacing w:val="-4"/>
          <w:sz w:val="32"/>
          <w:szCs w:val="32"/>
          <w:lang w:eastAsia="zh-CN"/>
        </w:rPr>
        <w:t>，</w:t>
      </w:r>
      <w:r>
        <w:rPr>
          <w:rStyle w:val="7"/>
          <w:rFonts w:hint="eastAsia" w:ascii="仿宋_GB2312" w:hAnsi="仿宋" w:eastAsia="仿宋_GB2312"/>
          <w:b w:val="0"/>
          <w:spacing w:val="-4"/>
          <w:sz w:val="32"/>
          <w:szCs w:val="32"/>
        </w:rPr>
        <w:t>规范账务处理，提高财务信息质量</w:t>
      </w:r>
      <w:r>
        <w:rPr>
          <w:rFonts w:hint="eastAsia" w:ascii="仿宋_GB2312" w:hAnsi="仿宋_GB2312" w:eastAsia="仿宋_GB2312"/>
          <w:kern w:val="0"/>
          <w:sz w:val="32"/>
          <w:szCs w:val="32"/>
        </w:rPr>
        <w:t>。具体项目自评情况附项目支出绩效自评表。</w:t>
      </w:r>
    </w:p>
    <w:tbl>
      <w:tblPr>
        <w:tblStyle w:val="5"/>
        <w:tblW w:w="4892" w:type="pct"/>
        <w:jc w:val="center"/>
        <w:tblLayout w:type="fixed"/>
        <w:tblCellMar>
          <w:top w:w="0" w:type="dxa"/>
          <w:left w:w="108" w:type="dxa"/>
          <w:bottom w:w="0" w:type="dxa"/>
          <w:right w:w="108" w:type="dxa"/>
        </w:tblCellMar>
      </w:tblPr>
      <w:tblGrid>
        <w:gridCol w:w="975"/>
        <w:gridCol w:w="817"/>
        <w:gridCol w:w="831"/>
        <w:gridCol w:w="1054"/>
        <w:gridCol w:w="900"/>
        <w:gridCol w:w="1012"/>
        <w:gridCol w:w="790"/>
        <w:gridCol w:w="1191"/>
        <w:gridCol w:w="1095"/>
      </w:tblGrid>
      <w:tr>
        <w:tblPrEx>
          <w:tblCellMar>
            <w:top w:w="0" w:type="dxa"/>
            <w:left w:w="108" w:type="dxa"/>
            <w:bottom w:w="0" w:type="dxa"/>
            <w:right w:w="108" w:type="dxa"/>
          </w:tblCellMar>
        </w:tblPrEx>
        <w:trPr>
          <w:trHeight w:val="405" w:hRule="atLeast"/>
          <w:jc w:val="center"/>
        </w:trPr>
        <w:tc>
          <w:tcPr>
            <w:tcW w:w="8665" w:type="dxa"/>
            <w:gridSpan w:val="9"/>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665" w:type="dxa"/>
            <w:gridSpan w:val="9"/>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17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87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公用经费乌财科教【2021】96号-120号-23号关于提前下达2022年直达资金</w:t>
            </w:r>
          </w:p>
        </w:tc>
      </w:tr>
      <w:tr>
        <w:tblPrEx>
          <w:tblCellMar>
            <w:top w:w="0" w:type="dxa"/>
            <w:left w:w="108" w:type="dxa"/>
            <w:bottom w:w="0" w:type="dxa"/>
            <w:right w:w="108" w:type="dxa"/>
          </w:tblCellMar>
        </w:tblPrEx>
        <w:trPr>
          <w:trHeight w:val="398" w:hRule="atLeast"/>
          <w:jc w:val="center"/>
        </w:trPr>
        <w:tc>
          <w:tcPr>
            <w:tcW w:w="17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27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乌鲁木齐市109小学</w:t>
            </w:r>
          </w:p>
        </w:tc>
        <w:tc>
          <w:tcPr>
            <w:tcW w:w="10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30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乌鲁木齐市109小学</w:t>
            </w:r>
          </w:p>
        </w:tc>
      </w:tr>
      <w:tr>
        <w:tblPrEx>
          <w:tblCellMar>
            <w:top w:w="0" w:type="dxa"/>
            <w:left w:w="108" w:type="dxa"/>
            <w:bottom w:w="0" w:type="dxa"/>
            <w:right w:w="108" w:type="dxa"/>
          </w:tblCellMar>
        </w:tblPrEx>
        <w:trPr>
          <w:trHeight w:val="398" w:hRule="atLeast"/>
          <w:jc w:val="center"/>
        </w:trPr>
        <w:tc>
          <w:tcPr>
            <w:tcW w:w="17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项目资金</w:t>
            </w:r>
          </w:p>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8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10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7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1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15.70</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9.22</w:t>
            </w:r>
          </w:p>
        </w:tc>
        <w:tc>
          <w:tcPr>
            <w:tcW w:w="10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9.22</w:t>
            </w:r>
          </w:p>
        </w:tc>
        <w:tc>
          <w:tcPr>
            <w:tcW w:w="7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10.00分</w:t>
            </w:r>
          </w:p>
        </w:tc>
      </w:tr>
      <w:tr>
        <w:tblPrEx>
          <w:tblCellMar>
            <w:top w:w="0" w:type="dxa"/>
            <w:left w:w="108" w:type="dxa"/>
            <w:bottom w:w="0" w:type="dxa"/>
            <w:right w:w="108" w:type="dxa"/>
          </w:tblCellMar>
        </w:tblPrEx>
        <w:trPr>
          <w:trHeight w:val="398" w:hRule="atLeast"/>
          <w:jc w:val="center"/>
        </w:trPr>
        <w:tc>
          <w:tcPr>
            <w:tcW w:w="1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15.70</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9.22</w:t>
            </w:r>
          </w:p>
        </w:tc>
        <w:tc>
          <w:tcPr>
            <w:tcW w:w="10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9.22</w:t>
            </w:r>
          </w:p>
        </w:tc>
        <w:tc>
          <w:tcPr>
            <w:tcW w:w="7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10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10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360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408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360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该经费的具体开支范围是：确保学校3760平方米校舍的供暖，保障195名学生能够正常接受教育等开支。此项目可保障义务教育阶段学校正常运转，完成教育教学活动和其他日常工作任务等方面的支出.</w:t>
            </w:r>
          </w:p>
        </w:tc>
        <w:tc>
          <w:tcPr>
            <w:tcW w:w="408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该项目绩效目标设置横跨项目期一年，为总体绩效目标，本项目用于学校水电费缴纳、供排水管改造、增加教学设备、安保服务费等，保障学校正常运转，有效提升学校形象，提升学校教学质量。学生满意度95%；</w:t>
            </w:r>
          </w:p>
        </w:tc>
      </w:tr>
      <w:tr>
        <w:tblPrEx>
          <w:tblCellMar>
            <w:top w:w="0" w:type="dxa"/>
            <w:left w:w="108" w:type="dxa"/>
            <w:bottom w:w="0" w:type="dxa"/>
            <w:right w:w="108" w:type="dxa"/>
          </w:tblCellMar>
        </w:tblPrEx>
        <w:trPr>
          <w:trHeight w:val="398"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8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0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10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7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11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享受教学条件改善学生数</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=196人</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196人</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学校供暖面积</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=3760平方米</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3760平方米</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学校供暖覆盖率</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由于财政资金紧张，未拨付资金。</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学校全年正常运转率</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&gt;=98%</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由于财政资金紧张，未拨付资金。</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项目完成时间</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=12个月</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12个月</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提高社会服务发展能力提升学生综合素质</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有效保障</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学生满意度</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&gt;=98%</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558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99.80分</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hd w:val="clear" w:color="auto" w:fill="FFFFFF"/>
        <w:spacing w:before="100" w:beforeLines="0" w:afterLines="0" w:line="520" w:lineRule="exact"/>
        <w:ind w:left="118" w:firstLine="480"/>
        <w:rPr>
          <w:rFonts w:hint="default" w:eastAsia="Times New Roman"/>
          <w:kern w:val="0"/>
          <w:sz w:val="24"/>
          <w:szCs w:val="24"/>
          <w:highlight w:val="white"/>
        </w:rPr>
      </w:pPr>
    </w:p>
    <w:tbl>
      <w:tblPr>
        <w:tblStyle w:val="5"/>
        <w:tblW w:w="4892" w:type="pct"/>
        <w:jc w:val="center"/>
        <w:tblLayout w:type="fixed"/>
        <w:tblCellMar>
          <w:top w:w="0" w:type="dxa"/>
          <w:left w:w="108" w:type="dxa"/>
          <w:bottom w:w="0" w:type="dxa"/>
          <w:right w:w="108" w:type="dxa"/>
        </w:tblCellMar>
      </w:tblPr>
      <w:tblGrid>
        <w:gridCol w:w="1028"/>
        <w:gridCol w:w="1210"/>
        <w:gridCol w:w="1138"/>
        <w:gridCol w:w="950"/>
        <w:gridCol w:w="857"/>
        <w:gridCol w:w="763"/>
        <w:gridCol w:w="709"/>
        <w:gridCol w:w="913"/>
        <w:gridCol w:w="4"/>
        <w:gridCol w:w="1093"/>
      </w:tblGrid>
      <w:tr>
        <w:tblPrEx>
          <w:tblCellMar>
            <w:top w:w="0" w:type="dxa"/>
            <w:left w:w="108" w:type="dxa"/>
            <w:bottom w:w="0" w:type="dxa"/>
            <w:right w:w="108" w:type="dxa"/>
          </w:tblCellMar>
        </w:tblPrEx>
        <w:trPr>
          <w:trHeight w:val="405" w:hRule="atLeast"/>
          <w:jc w:val="center"/>
        </w:trPr>
        <w:tc>
          <w:tcPr>
            <w:tcW w:w="8633" w:type="dxa"/>
            <w:gridSpan w:val="10"/>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633" w:type="dxa"/>
            <w:gridSpan w:val="10"/>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22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403"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学生补助-乌财科教【2021】96号-120号关于提前下达2022城乡义务教育直达资金</w:t>
            </w:r>
          </w:p>
        </w:tc>
      </w:tr>
      <w:tr>
        <w:tblPrEx>
          <w:tblCellMar>
            <w:top w:w="0" w:type="dxa"/>
            <w:left w:w="108" w:type="dxa"/>
            <w:bottom w:w="0" w:type="dxa"/>
            <w:right w:w="108" w:type="dxa"/>
          </w:tblCellMar>
        </w:tblPrEx>
        <w:trPr>
          <w:trHeight w:val="398" w:hRule="atLeast"/>
          <w:jc w:val="center"/>
        </w:trPr>
        <w:tc>
          <w:tcPr>
            <w:tcW w:w="22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293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乌鲁木齐市109小学</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70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乌鲁木齐市109小学</w:t>
            </w:r>
          </w:p>
        </w:tc>
      </w:tr>
      <w:tr>
        <w:tblPrEx>
          <w:tblCellMar>
            <w:top w:w="0" w:type="dxa"/>
            <w:left w:w="108" w:type="dxa"/>
            <w:bottom w:w="0" w:type="dxa"/>
            <w:right w:w="108" w:type="dxa"/>
          </w:tblCellMar>
        </w:tblPrEx>
        <w:trPr>
          <w:trHeight w:val="398" w:hRule="atLeast"/>
          <w:jc w:val="center"/>
        </w:trPr>
        <w:tc>
          <w:tcPr>
            <w:tcW w:w="22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项目资金</w:t>
            </w:r>
          </w:p>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22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9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8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1.69</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0.59</w:t>
            </w:r>
          </w:p>
        </w:tc>
        <w:tc>
          <w:tcPr>
            <w:tcW w:w="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34.91%</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3.49分</w:t>
            </w:r>
          </w:p>
        </w:tc>
      </w:tr>
      <w:tr>
        <w:tblPrEx>
          <w:tblCellMar>
            <w:top w:w="0" w:type="dxa"/>
            <w:left w:w="108" w:type="dxa"/>
            <w:bottom w:w="0" w:type="dxa"/>
            <w:right w:w="108" w:type="dxa"/>
          </w:tblCellMar>
        </w:tblPrEx>
        <w:trPr>
          <w:trHeight w:val="398" w:hRule="atLeast"/>
          <w:jc w:val="center"/>
        </w:trPr>
        <w:tc>
          <w:tcPr>
            <w:tcW w:w="22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9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.00</w:t>
            </w:r>
          </w:p>
        </w:tc>
        <w:tc>
          <w:tcPr>
            <w:tcW w:w="8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1.69</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0.59</w:t>
            </w:r>
          </w:p>
        </w:tc>
        <w:tc>
          <w:tcPr>
            <w:tcW w:w="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22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9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22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9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414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46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1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本项目具体内容：发放19人贫困生生活补助资金。此项目可改善贫困生家庭条件，使学生可以享受平等的教学资源，帮助贫困生顺利完成学业。</w:t>
            </w:r>
          </w:p>
        </w:tc>
        <w:tc>
          <w:tcPr>
            <w:tcW w:w="346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该项目资金发放一学期的贫困生补助，共19人。</w:t>
            </w:r>
          </w:p>
        </w:tc>
      </w:tr>
      <w:tr>
        <w:tblPrEx>
          <w:tblCellMar>
            <w:top w:w="0" w:type="dxa"/>
            <w:left w:w="108" w:type="dxa"/>
            <w:bottom w:w="0" w:type="dxa"/>
            <w:right w:w="108" w:type="dxa"/>
          </w:tblCellMar>
        </w:tblPrEx>
        <w:trPr>
          <w:trHeight w:val="398" w:hRule="atLeast"/>
          <w:jc w:val="center"/>
        </w:trPr>
        <w:tc>
          <w:tcPr>
            <w:tcW w:w="1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2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9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10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1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12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发放贫困初中补助人数</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=19人</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19人</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财政资金紧张，未拨付到位</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贫困生补助发放率</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享受补助时长</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=2学期</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1学期</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财政资金紧张，未拨付到位</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发放中小学贫困生补助金额</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=312.50元</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312.5元</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财政资金紧张，未拨付到位</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提高贫困生生活水平</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有效提高</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基本达到预期效果</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11.25</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财政资金紧张，未拨付到位</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促进贫困生平等享受教育资源</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长期促进</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基本达到预期效果</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11.25</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财政资金紧张，未拨付到位</w:t>
            </w:r>
          </w:p>
        </w:tc>
      </w:tr>
      <w:tr>
        <w:tblPrEx>
          <w:tblCellMar>
            <w:top w:w="0" w:type="dxa"/>
            <w:left w:w="108" w:type="dxa"/>
            <w:bottom w:w="0" w:type="dxa"/>
            <w:right w:w="108" w:type="dxa"/>
          </w:tblCellMar>
        </w:tblPrEx>
        <w:trPr>
          <w:trHeight w:val="398"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学生满意度</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592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80.99分</w:t>
            </w:r>
          </w:p>
        </w:tc>
        <w:tc>
          <w:tcPr>
            <w:tcW w:w="10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BC757F6"/>
    <w:rsid w:val="12F91132"/>
    <w:rsid w:val="4F0C2B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22" w:semiHidden="0" w:name="Strong"/>
    <w:lsdException w:qFormat="1" w:uiPriority="99" w:name="Emphasis"/>
    <w:lsdException w:qFormat="1" w:uiPriority="99" w:name="Document Map"/>
    <w:lsdException w:qFormat="1" w:uiPriority="99" w:name="Plain Text"/>
    <w:lsdException w:qFormat="1" w:uiPriority="99" w:name="E-mail Signature"/>
    <w:lsdException w:qFormat="1" w:uiPriority="99" w:semiHidden="0"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6">
    <w:name w:val="Default Paragraph Font"/>
    <w:unhideWhenUsed/>
    <w:uiPriority w:val="99"/>
    <w:rPr>
      <w:rFonts w:hint="default"/>
      <w:sz w:val="24"/>
      <w:szCs w:val="24"/>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8"/>
    <w:unhideWhenUsed/>
    <w:qFormat/>
    <w:uiPriority w:val="99"/>
    <w:pPr>
      <w:tabs>
        <w:tab w:val="center" w:pos="4153"/>
        <w:tab w:val="right" w:pos="8306"/>
      </w:tabs>
      <w:snapToGrid w:val="0"/>
      <w:spacing w:beforeLines="0" w:afterLines="0"/>
      <w:jc w:val="center"/>
    </w:pPr>
    <w:rPr>
      <w:rFonts w:hint="eastAsia"/>
      <w:sz w:val="18"/>
      <w:szCs w:val="18"/>
    </w:rPr>
  </w:style>
  <w:style w:type="paragraph" w:styleId="4">
    <w:name w:val="Normal (Web)"/>
    <w:basedOn w:val="1"/>
    <w:unhideWhenUsed/>
    <w:qFormat/>
    <w:uiPriority w:val="99"/>
    <w:pPr>
      <w:spacing w:before="100" w:beforeLines="0" w:beforeAutospacing="1" w:after="240" w:afterLines="0"/>
      <w:jc w:val="left"/>
    </w:pPr>
    <w:rPr>
      <w:rFonts w:hint="eastAsia" w:ascii="宋体" w:hAnsi="宋体"/>
      <w:sz w:val="24"/>
      <w:szCs w:val="24"/>
    </w:rPr>
  </w:style>
  <w:style w:type="character" w:styleId="7">
    <w:name w:val="Strong"/>
    <w:basedOn w:val="6"/>
    <w:unhideWhenUsed/>
    <w:qFormat/>
    <w:uiPriority w:val="22"/>
    <w:rPr>
      <w:rFonts w:hint="default" w:cs="Times New Roman"/>
      <w:b/>
      <w:sz w:val="24"/>
      <w:szCs w:val="24"/>
    </w:rPr>
  </w:style>
  <w:style w:type="character" w:customStyle="1" w:styleId="8">
    <w:name w:val="页眉 字符"/>
    <w:basedOn w:val="6"/>
    <w:link w:val="3"/>
    <w:unhideWhenUsed/>
    <w:uiPriority w:val="99"/>
    <w:rPr>
      <w:rFonts w:hint="default" w:cs="Times New Roman"/>
      <w:sz w:val="18"/>
      <w:szCs w:val="18"/>
    </w:rPr>
  </w:style>
  <w:style w:type="character" w:customStyle="1" w:styleId="9">
    <w:name w:val="页脚 字符"/>
    <w:basedOn w:val="6"/>
    <w:link w:val="2"/>
    <w:unhideWhenUsed/>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6679</Words>
  <Characters>7468</Characters>
  <TotalTime>4</TotalTime>
  <ScaleCrop>false</ScaleCrop>
  <LinksUpToDate>false</LinksUpToDate>
  <CharactersWithSpaces>7529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2023-08-24T04:13:00Z</dcterms:created>
  <dc:creator>asus</dc:creator>
  <cp:lastModifiedBy>逐梦令</cp:lastModifiedBy>
  <dcterms:modified xsi:type="dcterms:W3CDTF">2023-09-01T06:03:31Z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EB34D120C4874B67B54ADB5196BE799A_13</vt:lpwstr>
  </property>
</Properties>
</file>