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乌鲁木齐市米东区第121中学</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1.全面贯彻党和国家的路线、方针、政策、法规，全面实施素质教育，认真执行上级党委和教育行政部门的指示，依法治校，努力提高学校的办学水平和办学效益。</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2.全面规划，统一安排学校的各项工作，组织制定和实施学校发展规划、工作计划。</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3.负责健全学校行政指挥系统，健全各项规章制度，保证学校正常的工作秩序。</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w:t>
      </w:r>
      <w:r>
        <w:rPr>
          <w:rFonts w:ascii="仿宋_GB2312" w:hAnsi="仿宋_GB2312" w:eastAsia="仿宋_GB2312"/>
          <w:kern w:val="0"/>
          <w:sz w:val="32"/>
        </w:rPr>
        <w:t>.</w:t>
      </w:r>
      <w:r>
        <w:rPr>
          <w:rFonts w:hint="eastAsia" w:ascii="仿宋_GB2312" w:hAnsi="仿宋_GB2312" w:eastAsia="仿宋_GB2312"/>
          <w:kern w:val="0"/>
          <w:sz w:val="32"/>
        </w:rPr>
        <w:t>按照学校经费使用计划，负责教育教学及办公用品、维修设备的采购、发放和管理工作。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5.根据预算安排，拟定收支计划，并组织实施、管理和监督。</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6.规范会计行为；组织执行国家统一的会计制度和自治区相关补充规定；组织管理会计人员的业务培训。</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乌鲁木齐市米东区第121中学2022年度，实有人数74人，其中：在职人员74人，离休人员0人，退休人员0人。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从部门决算单位构成看，乌鲁木齐市米东区第121中学部门决算包括：乌鲁木齐市米东区第121中学</w:t>
      </w:r>
      <w:r>
        <w:rPr>
          <w:rFonts w:hint="eastAsia" w:ascii="仿宋_GB2312" w:hAnsi="仿宋_GB2312" w:eastAsia="仿宋_GB2312"/>
          <w:kern w:val="0"/>
          <w:sz w:val="32"/>
          <w:lang w:val="zh-CN"/>
        </w:rPr>
        <w:t>决算。单位无下属预算单位，下设</w:t>
      </w:r>
      <w:r>
        <w:rPr>
          <w:rFonts w:ascii="仿宋_GB2312" w:hAnsi="仿宋_GB2312" w:eastAsia="仿宋_GB2312"/>
          <w:kern w:val="0"/>
          <w:sz w:val="32"/>
        </w:rPr>
        <w:t>11</w:t>
      </w:r>
      <w:r>
        <w:rPr>
          <w:rFonts w:hint="eastAsia" w:ascii="仿宋_GB2312" w:hAnsi="仿宋_GB2312" w:eastAsia="仿宋_GB2312"/>
          <w:kern w:val="0"/>
          <w:sz w:val="32"/>
          <w:lang w:val="zh-CN"/>
        </w:rPr>
        <w:t>个科室，分别是：小学教务处、中学教务处、小学教研室、中学教研室、德育处、党政办、总务处、安全办、财务室、信息办、工会处。</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1,668.90万元，</w:t>
      </w:r>
      <w:r>
        <w:rPr>
          <w:rFonts w:hint="eastAsia" w:ascii="仿宋_GB2312" w:hAnsi="仿宋_GB2312" w:eastAsia="仿宋_GB2312"/>
          <w:sz w:val="32"/>
        </w:rPr>
        <w:t>其中：本年收入合计</w:t>
      </w:r>
      <w:r>
        <w:rPr>
          <w:rFonts w:hint="eastAsia" w:ascii="仿宋_GB2312" w:hAnsi="仿宋_GB2312" w:eastAsia="仿宋_GB2312"/>
          <w:kern w:val="0"/>
          <w:sz w:val="32"/>
        </w:rPr>
        <w:t>1,647.95</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20.95</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与上年相比，增加841.84万元，增长101.79%，主要原因是：</w:t>
      </w:r>
      <w:r>
        <w:rPr>
          <w:rFonts w:ascii="仿宋_GB2312" w:hAnsi="仿宋_GB2312" w:eastAsia="仿宋_GB2312"/>
          <w:kern w:val="0"/>
          <w:sz w:val="32"/>
        </w:rPr>
        <w:t>2021</w:t>
      </w:r>
      <w:r>
        <w:rPr>
          <w:rFonts w:hint="eastAsia" w:ascii="仿宋_GB2312" w:hAnsi="仿宋_GB2312" w:eastAsia="仿宋_GB2312"/>
          <w:kern w:val="0"/>
          <w:sz w:val="32"/>
        </w:rPr>
        <w:t>年年底我校新调入在职在编教师42人，本年较上年多出42人1-10月基本工资及社保医疗缴费，故收入较上年有所增加。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1,668.90万元，</w:t>
      </w:r>
      <w:r>
        <w:rPr>
          <w:rFonts w:hint="eastAsia" w:ascii="仿宋_GB2312" w:hAnsi="仿宋_GB2312" w:eastAsia="仿宋_GB2312"/>
          <w:sz w:val="32"/>
        </w:rPr>
        <w:t>其中：本年支出合计</w:t>
      </w:r>
      <w:r>
        <w:rPr>
          <w:rFonts w:hint="eastAsia" w:ascii="仿宋_GB2312" w:hAnsi="仿宋_GB2312" w:eastAsia="仿宋_GB2312"/>
          <w:kern w:val="0"/>
          <w:sz w:val="32"/>
        </w:rPr>
        <w:t>1,533.04</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135.86</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与上年相比，增加841.84万元，增长101.79%，主要原因是：</w:t>
      </w:r>
      <w:r>
        <w:rPr>
          <w:rFonts w:ascii="仿宋_GB2312" w:hAnsi="仿宋_GB2312" w:eastAsia="仿宋_GB2312"/>
          <w:kern w:val="0"/>
          <w:sz w:val="32"/>
        </w:rPr>
        <w:t>2021</w:t>
      </w:r>
      <w:r>
        <w:rPr>
          <w:rFonts w:hint="eastAsia" w:ascii="仿宋_GB2312" w:hAnsi="仿宋_GB2312" w:eastAsia="仿宋_GB2312"/>
          <w:kern w:val="0"/>
          <w:sz w:val="32"/>
        </w:rPr>
        <w:t>年年底我校新调入在职在编教师42人，本年较上年多出42人1-10月基本工资及社保医疗缴费，故支出较上年有所增加。</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1,647.95万元，其中：财政拨款收入1,502.45万元，占91.17%；上级补助收入0.00万元，占0.00%；事业收入0.00万元，占0.00%；经营收入0.00万元，占0.00%；附属单位上缴收入0.00万元，占0.00%；其他收入145.50万元，占8.83%。</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2022年度本年支出1,533.04万元，其中：基本支出1,397.29万元，占91.15%；项目支出135.75万元，占8.85%；上缴上级支出0.00万元，占0.00%；经营支出0.00万元，占0.00%；对附属单位补助支出0.00万元，占0.00%。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1,523.40万元，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20.95</w:t>
      </w:r>
      <w:r>
        <w:rPr>
          <w:rFonts w:hint="eastAsia" w:ascii="仿宋_GB2312" w:hAnsi="仿宋_GB2312" w:eastAsia="仿宋_GB2312"/>
          <w:sz w:val="32"/>
        </w:rPr>
        <w:t>万元，财政拨款本年收入</w:t>
      </w:r>
      <w:r>
        <w:rPr>
          <w:rFonts w:hint="eastAsia" w:ascii="仿宋_GB2312" w:hAnsi="仿宋_GB2312" w:eastAsia="仿宋_GB2312"/>
          <w:kern w:val="0"/>
          <w:sz w:val="32"/>
        </w:rPr>
        <w:t>1,502.45</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与上年相比，增加696.34万元，增长84.19%，主要原因是：</w:t>
      </w:r>
      <w:r>
        <w:rPr>
          <w:rFonts w:ascii="仿宋_GB2312" w:hAnsi="仿宋_GB2312" w:eastAsia="仿宋_GB2312"/>
          <w:kern w:val="0"/>
          <w:sz w:val="32"/>
        </w:rPr>
        <w:t>2021</w:t>
      </w:r>
      <w:r>
        <w:rPr>
          <w:rFonts w:hint="eastAsia" w:ascii="仿宋_GB2312" w:hAnsi="仿宋_GB2312" w:eastAsia="仿宋_GB2312"/>
          <w:kern w:val="0"/>
          <w:sz w:val="32"/>
        </w:rPr>
        <w:t>年年底我校新调入在职在编教师42人，本年较上年多出42人1-10月基本工资及社保医疗缴费，故收入较上年有所增加。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1,523.40万元，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58.95</w:t>
      </w:r>
      <w:r>
        <w:rPr>
          <w:rFonts w:hint="eastAsia" w:ascii="仿宋_GB2312" w:hAnsi="仿宋_GB2312" w:eastAsia="仿宋_GB2312"/>
          <w:sz w:val="32"/>
        </w:rPr>
        <w:t>万元，财政拨款本年支出</w:t>
      </w:r>
      <w:r>
        <w:rPr>
          <w:rFonts w:hint="eastAsia" w:ascii="仿宋_GB2312" w:hAnsi="仿宋_GB2312" w:eastAsia="仿宋_GB2312"/>
          <w:kern w:val="0"/>
          <w:sz w:val="32"/>
        </w:rPr>
        <w:t>1,464.45</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与上年相比，增加696.34万元，增长84.19%，主要原因是：</w:t>
      </w:r>
      <w:r>
        <w:rPr>
          <w:rFonts w:ascii="仿宋_GB2312" w:hAnsi="仿宋_GB2312" w:eastAsia="仿宋_GB2312"/>
          <w:kern w:val="0"/>
          <w:sz w:val="32"/>
        </w:rPr>
        <w:t>2021</w:t>
      </w:r>
      <w:r>
        <w:rPr>
          <w:rFonts w:hint="eastAsia" w:ascii="仿宋_GB2312" w:hAnsi="仿宋_GB2312" w:eastAsia="仿宋_GB2312"/>
          <w:kern w:val="0"/>
          <w:sz w:val="32"/>
        </w:rPr>
        <w:t>年年底我校新调入在职在编教师42人，本年较上年多出42人1-10月基本工资及社保医疗缴费，故支出较上年有所增加。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年初预算数792.03万元，决算数1,523.40万元，预决算差异率92.34%，主要原因是：年中追加新调入在职在编教师基本工资及医疗、社保缴费，追加年中追加城乡义务教育经费</w:t>
      </w:r>
      <w:r>
        <w:rPr>
          <w:rFonts w:ascii="仿宋_GB2312" w:hAnsi="仿宋_GB2312" w:eastAsia="仿宋_GB2312"/>
          <w:kern w:val="0"/>
          <w:sz w:val="32"/>
        </w:rPr>
        <w:t>-</w:t>
      </w:r>
      <w:r>
        <w:rPr>
          <w:rFonts w:hint="eastAsia" w:ascii="仿宋_GB2312" w:hAnsi="仿宋_GB2312" w:eastAsia="仿宋_GB2312"/>
          <w:kern w:val="0"/>
          <w:sz w:val="32"/>
        </w:rPr>
        <w:t>公用经费、城乡义务教育经费</w:t>
      </w:r>
      <w:r>
        <w:rPr>
          <w:rFonts w:ascii="仿宋_GB2312" w:hAnsi="仿宋_GB2312" w:eastAsia="仿宋_GB2312"/>
          <w:kern w:val="0"/>
          <w:sz w:val="32"/>
        </w:rPr>
        <w:t>-</w:t>
      </w:r>
      <w:r>
        <w:rPr>
          <w:rFonts w:hint="eastAsia" w:ascii="仿宋_GB2312" w:hAnsi="仿宋_GB2312" w:eastAsia="仿宋_GB2312"/>
          <w:kern w:val="0"/>
          <w:sz w:val="32"/>
        </w:rPr>
        <w:t>非寄宿生生活补助、代课教师补助项目收入，导致预决算产生差异。财政拨款支出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年初预算数792.03万元，决算数1,523.40万元，预决算差异率92.34%，主要原因是：年中追加新调入在职在编教师基本工资及医疗、社保缴费，追加年中追加城乡义务教育经费</w:t>
      </w:r>
      <w:r>
        <w:rPr>
          <w:rFonts w:ascii="仿宋_GB2312" w:hAnsi="仿宋_GB2312" w:eastAsia="仿宋_GB2312"/>
          <w:kern w:val="0"/>
          <w:sz w:val="32"/>
        </w:rPr>
        <w:t>-</w:t>
      </w:r>
      <w:r>
        <w:rPr>
          <w:rFonts w:hint="eastAsia" w:ascii="仿宋_GB2312" w:hAnsi="仿宋_GB2312" w:eastAsia="仿宋_GB2312"/>
          <w:kern w:val="0"/>
          <w:sz w:val="32"/>
        </w:rPr>
        <w:t>公用经费、城乡义务教育经费</w:t>
      </w:r>
      <w:r>
        <w:rPr>
          <w:rFonts w:ascii="仿宋_GB2312" w:hAnsi="仿宋_GB2312" w:eastAsia="仿宋_GB2312"/>
          <w:kern w:val="0"/>
          <w:sz w:val="32"/>
        </w:rPr>
        <w:t>-</w:t>
      </w:r>
      <w:r>
        <w:rPr>
          <w:rFonts w:hint="eastAsia" w:ascii="仿宋_GB2312" w:hAnsi="仿宋_GB2312" w:eastAsia="仿宋_GB2312"/>
          <w:kern w:val="0"/>
          <w:sz w:val="32"/>
        </w:rPr>
        <w:t>非寄宿生生活补助、代课教师补助项目支出，导致预决算产生差异。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1,464.45</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增加658.34万元，增长81.67%，主要原因是：</w:t>
      </w:r>
      <w:r>
        <w:rPr>
          <w:rFonts w:ascii="仿宋_GB2312" w:hAnsi="仿宋_GB2312" w:eastAsia="仿宋_GB2312"/>
          <w:kern w:val="0"/>
          <w:sz w:val="32"/>
        </w:rPr>
        <w:t>2021</w:t>
      </w:r>
      <w:r>
        <w:rPr>
          <w:rFonts w:hint="eastAsia" w:ascii="仿宋_GB2312" w:hAnsi="仿宋_GB2312" w:eastAsia="仿宋_GB2312"/>
          <w:kern w:val="0"/>
          <w:sz w:val="32"/>
        </w:rPr>
        <w:t>年年底我校新调入在职在编教师42人，本年较上年多出42人1-10月基本工资及社保医疗缴费，故支出较上年有所增加。</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eastAsia="仿宋_GB2312"/>
          <w:kern w:val="0"/>
          <w:sz w:val="32"/>
        </w:rPr>
      </w:pPr>
      <w:r>
        <w:rPr>
          <w:rFonts w:hint="eastAsia" w:ascii="仿宋_GB2312" w:hAnsi="仿宋_GB2312" w:eastAsia="仿宋_GB2312"/>
          <w:sz w:val="32"/>
        </w:rPr>
        <w:t>1.教育支出（类）1,464.45万元，占100.00%。</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1.教育支出（类）普通教育（款）小学教育（项）:支出决算数为809.47万元，比上年决算增加339.80万元，增长72.35%，主要原因是：小学调入教师增加，教师工资社保支出增加，故支出较上年有所增长</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2.教育支出（类）普通教育（款）初中教育（项）:支出决算数为654.98万元，比上年决算增加347.38万元，增长112.93%，主要原因是：初中调入教师增加，教师工资社保支出增加，故支出较上年有所增长</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3.社会保障和就业支出（类）民政管理事务（款）基层政权建设和社区治理（项）:支出决算数为0.00万元，比上年决算减少0.36万元，下降100.00%，主要原因是：</w:t>
      </w:r>
      <w:r>
        <w:rPr>
          <w:rFonts w:hint="eastAsia" w:ascii="仿宋_GB2312" w:eastAsia="仿宋_GB2312" w:cs="仿宋_GB2312"/>
          <w:kern w:val="0"/>
          <w:sz w:val="32"/>
          <w:szCs w:val="32"/>
        </w:rPr>
        <w:t>本年此功能科目未支出</w:t>
      </w:r>
      <w:r>
        <w:rPr>
          <w:rFonts w:hint="eastAsia" w:ascii="仿宋_GB2312" w:eastAsia="仿宋_GB2312" w:cs="仿宋_GB2312"/>
          <w:kern w:val="0"/>
          <w:sz w:val="32"/>
          <w:szCs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4.社会保障和就业支出（类）行政事业单位养老支出（款）机关事业单位基本养老保险缴费支出（项）:支出决算数为0.00万元，比上年决算减少28.48万元，下降100.00%，主要原因是：</w:t>
      </w:r>
      <w:bookmarkStart w:id="0" w:name="_Hlk143783239"/>
      <w:r>
        <w:rPr>
          <w:rFonts w:hint="eastAsia" w:ascii="仿宋_GB2312" w:eastAsia="仿宋_GB2312" w:cs="仿宋_GB2312"/>
          <w:kern w:val="0"/>
          <w:sz w:val="32"/>
          <w:szCs w:val="32"/>
        </w:rPr>
        <w:t>本年此功能科目</w:t>
      </w:r>
      <w:bookmarkEnd w:id="0"/>
      <w:r>
        <w:rPr>
          <w:rFonts w:hint="eastAsia" w:ascii="仿宋_GB2312" w:eastAsia="仿宋_GB2312" w:cs="仿宋_GB2312"/>
          <w:kern w:val="0"/>
          <w:sz w:val="32"/>
          <w:szCs w:val="32"/>
          <w:lang w:val="en-US" w:eastAsia="zh-CN"/>
        </w:rPr>
        <w:t>调至</w:t>
      </w:r>
      <w:r>
        <w:rPr>
          <w:rFonts w:hint="eastAsia" w:ascii="仿宋_GB2312" w:hAnsi="仿宋_GB2312" w:eastAsia="仿宋_GB2312"/>
          <w:kern w:val="0"/>
          <w:sz w:val="32"/>
        </w:rPr>
        <w:t>教育支出（类）普通教育（款）小学教育（项）</w:t>
      </w:r>
      <w:r>
        <w:rPr>
          <w:rFonts w:hint="eastAsia" w:ascii="仿宋_GB2312" w:hAnsi="仿宋_GB2312" w:eastAsia="仿宋_GB2312"/>
          <w:kern w:val="0"/>
          <w:sz w:val="32"/>
          <w:lang w:val="en-US" w:eastAsia="zh-CN"/>
        </w:rPr>
        <w:t>列支</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2022年度一般公共预算财政拨款基本支出1,397.29万元，其中：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人员经费1,156.25万元，包括：基本工资、津贴补贴、奖金、绩效工资、机关事业单位基本养老保险缴费、职工基本医疗保险缴费、公务员医疗补助缴费、其他社会保障缴费、住房公积金、生活补助。</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公用经费241.04万元，包括：劳务费。</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w:t>
      </w:r>
      <w:bookmarkStart w:id="2" w:name="_Hlk143782590"/>
      <w:r>
        <w:rPr>
          <w:rFonts w:hint="eastAsia" w:ascii="仿宋_GB2312" w:eastAsia="仿宋_GB2312" w:cs="仿宋_GB2312"/>
          <w:kern w:val="0"/>
          <w:sz w:val="32"/>
          <w:szCs w:val="32"/>
        </w:rPr>
        <w:t>公务用车运行维护费开支内容包括</w:t>
      </w:r>
      <w:bookmarkEnd w:id="2"/>
      <w:r>
        <w:rPr>
          <w:rFonts w:hint="eastAsia" w:ascii="仿宋_GB2312" w:eastAsia="仿宋_GB2312" w:cs="仿宋_GB2312"/>
          <w:kern w:val="0"/>
          <w:sz w:val="32"/>
          <w:szCs w:val="32"/>
          <w:lang w:val="en-US" w:eastAsia="zh-CN"/>
        </w:rPr>
        <w:t>本年单位无此项支出</w:t>
      </w:r>
      <w:r>
        <w:rPr>
          <w:rFonts w:hint="eastAsia" w:ascii="仿宋_GB2312" w:hAnsi="仿宋_GB2312" w:eastAsia="仿宋_GB2312"/>
          <w:kern w:val="0"/>
          <w:sz w:val="32"/>
        </w:rPr>
        <w:t>。公务用车购置数0辆，公务用车保有量0辆。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2022年度乌鲁木齐市米东区第121中学单位公用经费241.04万元，比上年增加99.44万元，增长70.23%，主要原因是：本年单位</w:t>
      </w:r>
      <w:r>
        <w:rPr>
          <w:rFonts w:hint="eastAsia" w:ascii="仿宋_GB2312" w:hAnsi="仿宋_GB2312" w:eastAsia="仿宋_GB2312"/>
          <w:kern w:val="0"/>
          <w:sz w:val="32"/>
          <w:lang w:val="en-US" w:eastAsia="zh-CN"/>
        </w:rPr>
        <w:t>临聘人员增加，</w:t>
      </w:r>
      <w:r>
        <w:rPr>
          <w:rFonts w:hint="eastAsia" w:ascii="仿宋_GB2312" w:hAnsi="仿宋_GB2312" w:eastAsia="仿宋_GB2312"/>
          <w:kern w:val="0"/>
          <w:sz w:val="32"/>
        </w:rPr>
        <w:t>劳务费</w:t>
      </w:r>
      <w:r>
        <w:rPr>
          <w:rFonts w:hint="eastAsia" w:ascii="仿宋_GB2312" w:hAnsi="仿宋_GB2312" w:eastAsia="仿宋_GB2312"/>
          <w:kern w:val="0"/>
          <w:sz w:val="32"/>
          <w:lang w:val="en-US" w:eastAsia="zh-CN"/>
        </w:rPr>
        <w:t>增加</w:t>
      </w:r>
      <w:r>
        <w:rPr>
          <w:rFonts w:hint="eastAsia" w:ascii="仿宋_GB2312" w:hAnsi="仿宋_GB2312" w:eastAsia="仿宋_GB2312"/>
          <w:kern w:val="0"/>
          <w:sz w:val="32"/>
        </w:rPr>
        <w:t>，故较上年有所增长。</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2022年度政府采购支出总额0.00万元，其中：政府采购货物支出0.00万元、政府采购工程支出0.00万元、政府采购服务支出0.00万元。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授予中小企业合同金额0.00万元，占政府采购支出总额的0.00%，其中：授予小微企业合同金额0.00万元，占政府采购支出总额的0.00%。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4,863.92</w:t>
      </w:r>
      <w:r>
        <w:rPr>
          <w:rFonts w:hint="eastAsia" w:ascii="仿宋_GB2312" w:hAnsi="仿宋_GB2312" w:eastAsia="仿宋_GB2312"/>
          <w:sz w:val="32"/>
        </w:rPr>
        <w:t>万元，</w:t>
      </w:r>
      <w:r>
        <w:rPr>
          <w:rFonts w:hint="eastAsia" w:ascii="仿宋_GB2312" w:hAnsi="仿宋_GB2312" w:eastAsia="仿宋_GB2312"/>
          <w:kern w:val="0"/>
          <w:sz w:val="32"/>
        </w:rPr>
        <w:t>房屋13,412.90平方米，价值4,386.98万元。车辆0辆，价值0.00万元，其中：副部（省）级及以上领导用车0辆、主要领导干部用车0辆、机要通信用车0辆、应急保障用车0辆、执法执勤用车0辆、特种专业技术用车0辆、离退休干部用车0辆、其他用车0辆，其他用车主要是：</w:t>
      </w:r>
      <w:bookmarkStart w:id="3" w:name="_Hlk143772663"/>
      <w:r>
        <w:rPr>
          <w:rFonts w:hint="eastAsia" w:ascii="仿宋_GB2312" w:eastAsia="仿宋_GB2312" w:cs="仿宋_GB2312"/>
          <w:kern w:val="0"/>
          <w:sz w:val="32"/>
          <w:szCs w:val="32"/>
        </w:rPr>
        <w:t>单位无其他车辆</w:t>
      </w:r>
      <w:bookmarkEnd w:id="3"/>
      <w:r>
        <w:rPr>
          <w:rFonts w:hint="eastAsia" w:ascii="仿宋_GB2312" w:hAnsi="仿宋_GB2312" w:eastAsia="仿宋_GB2312"/>
          <w:kern w:val="0"/>
          <w:sz w:val="32"/>
        </w:rPr>
        <w:t>；单价100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根据预算绩效管理要求，我单位2022年度开展预算绩效评价项目3个，</w:t>
      </w:r>
      <w:r>
        <w:rPr>
          <w:rFonts w:hint="eastAsia" w:ascii="仿宋_GB2312" w:hAnsi="仿宋_GB2312" w:eastAsia="仿宋_GB2312"/>
          <w:sz w:val="32"/>
        </w:rPr>
        <w:t>全年预算数</w:t>
      </w:r>
      <w:r>
        <w:rPr>
          <w:rFonts w:hint="eastAsia" w:ascii="仿宋_GB2312" w:hAnsi="仿宋_GB2312" w:eastAsia="仿宋_GB2312"/>
          <w:kern w:val="0"/>
          <w:sz w:val="32"/>
        </w:rPr>
        <w:t>255.51</w:t>
      </w:r>
      <w:r>
        <w:rPr>
          <w:rFonts w:hint="eastAsia" w:ascii="仿宋_GB2312" w:hAnsi="仿宋_GB2312" w:eastAsia="仿宋_GB2312"/>
          <w:sz w:val="32"/>
        </w:rPr>
        <w:t>万元，全年执行数</w:t>
      </w:r>
      <w:r>
        <w:rPr>
          <w:rFonts w:hint="eastAsia" w:ascii="仿宋_GB2312" w:hAnsi="仿宋_GB2312" w:eastAsia="仿宋_GB2312"/>
          <w:kern w:val="0"/>
          <w:sz w:val="32"/>
        </w:rPr>
        <w:t>54.43</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w:t>
      </w:r>
      <w:r>
        <w:rPr>
          <w:rFonts w:hint="eastAsia" w:ascii="仿宋_GB2312" w:hAnsi="仿宋_GB2312" w:eastAsia="仿宋_GB2312"/>
          <w:sz w:val="32"/>
        </w:rPr>
        <w:t>上级资金补助公用经费用于支付学生试卷印刷费，帮助减轻学生家庭经济负担</w:t>
      </w:r>
      <w:r>
        <w:rPr>
          <w:rFonts w:hint="eastAsia" w:ascii="仿宋_GB2312" w:hAnsi="仿宋_GB2312" w:eastAsia="仿宋_GB2312"/>
          <w:kern w:val="0"/>
          <w:sz w:val="32"/>
        </w:rPr>
        <w:t>；二是</w:t>
      </w:r>
      <w:r>
        <w:rPr>
          <w:rFonts w:hint="eastAsia" w:ascii="仿宋_GB2312" w:hAnsi="仿宋_GB2312" w:eastAsia="仿宋_GB2312"/>
          <w:sz w:val="32"/>
        </w:rPr>
        <w:t>有助于提高学生学习能力，帮助学生提高成绩</w:t>
      </w:r>
      <w:r>
        <w:rPr>
          <w:rFonts w:hint="eastAsia" w:ascii="仿宋_GB2312" w:hAnsi="仿宋_GB2312" w:eastAsia="仿宋_GB2312"/>
          <w:kern w:val="0"/>
          <w:sz w:val="32"/>
        </w:rPr>
        <w:t>。发现的问题及原因：一是</w:t>
      </w:r>
      <w:r>
        <w:rPr>
          <w:rFonts w:hint="eastAsia" w:ascii="仿宋_GB2312" w:hAnsi="仿宋_GB2312" w:eastAsia="仿宋_GB2312" w:cs="仿宋_GB2312"/>
          <w:sz w:val="32"/>
          <w:szCs w:val="32"/>
        </w:rPr>
        <w:t>对个别项目资金使用方面预算不够细致</w:t>
      </w:r>
      <w:r>
        <w:rPr>
          <w:rFonts w:hint="eastAsia" w:ascii="仿宋_GB2312" w:hAnsi="仿宋_GB2312" w:eastAsia="仿宋_GB2312"/>
          <w:kern w:val="0"/>
          <w:sz w:val="32"/>
        </w:rPr>
        <w:t>；二是</w:t>
      </w:r>
      <w:r>
        <w:rPr>
          <w:rFonts w:hint="eastAsia" w:ascii="仿宋_GB2312" w:hAnsi="仿宋_GB2312" w:eastAsia="仿宋_GB2312" w:cs="仿宋_GB2312"/>
          <w:sz w:val="32"/>
          <w:szCs w:val="32"/>
        </w:rPr>
        <w:t>预算绩效管理水平仍有欠缺</w:t>
      </w:r>
      <w:r>
        <w:rPr>
          <w:rFonts w:hint="eastAsia" w:ascii="仿宋_GB2312" w:hAnsi="仿宋_GB2312" w:eastAsia="仿宋_GB2312"/>
          <w:kern w:val="0"/>
          <w:sz w:val="32"/>
        </w:rPr>
        <w:t>。下一步改进措施：一是</w:t>
      </w:r>
      <w:r>
        <w:rPr>
          <w:rFonts w:hint="eastAsia" w:ascii="仿宋_GB2312" w:hAnsi="仿宋_GB2312" w:eastAsia="仿宋_GB2312"/>
          <w:sz w:val="32"/>
        </w:rPr>
        <w:t>落实主体责任，明确预算单位各部门是绩效运行监控的主体，定期对绩效监控信息进行收集、汇总、分析等。各主管部门加强监督，及时审核、汇总、报告本部门及所属预算单位项目跟踪监控情况</w:t>
      </w:r>
      <w:r>
        <w:rPr>
          <w:rFonts w:hint="eastAsia" w:ascii="仿宋_GB2312" w:hAnsi="仿宋_GB2312" w:eastAsia="仿宋_GB2312"/>
          <w:kern w:val="0"/>
          <w:sz w:val="32"/>
        </w:rPr>
        <w:t>；二是</w:t>
      </w:r>
      <w:r>
        <w:rPr>
          <w:rFonts w:hint="eastAsia" w:ascii="仿宋_GB2312" w:hAnsi="仿宋_GB2312" w:eastAsia="仿宋_GB2312"/>
          <w:sz w:val="32"/>
        </w:rPr>
        <w:t>加强对项目实施的风险管控意识，加强对项目实施的过程控制</w:t>
      </w:r>
      <w:r>
        <w:rPr>
          <w:rFonts w:hint="eastAsia" w:ascii="仿宋_GB2312" w:hAnsi="仿宋_GB2312" w:eastAsia="仿宋_GB2312"/>
          <w:kern w:val="0"/>
          <w:sz w:val="32"/>
        </w:rPr>
        <w:t>。具体项目自评情况附项目支出绩效自评表。</w:t>
      </w:r>
    </w:p>
    <w:tbl>
      <w:tblPr>
        <w:tblStyle w:val="4"/>
        <w:tblW w:w="5000" w:type="pct"/>
        <w:tblInd w:w="0" w:type="dxa"/>
        <w:tblLayout w:type="fixed"/>
        <w:tblCellMar>
          <w:top w:w="0" w:type="dxa"/>
          <w:left w:w="108" w:type="dxa"/>
          <w:bottom w:w="0" w:type="dxa"/>
          <w:right w:w="108" w:type="dxa"/>
        </w:tblCellMar>
      </w:tblPr>
      <w:tblGrid>
        <w:gridCol w:w="469"/>
        <w:gridCol w:w="636"/>
        <w:gridCol w:w="615"/>
        <w:gridCol w:w="965"/>
        <w:gridCol w:w="1011"/>
        <w:gridCol w:w="202"/>
        <w:gridCol w:w="1151"/>
        <w:gridCol w:w="1185"/>
        <w:gridCol w:w="615"/>
        <w:gridCol w:w="760"/>
        <w:gridCol w:w="1247"/>
      </w:tblGrid>
      <w:tr>
        <w:tblPrEx>
          <w:tblCellMar>
            <w:top w:w="0" w:type="dxa"/>
            <w:left w:w="108" w:type="dxa"/>
            <w:bottom w:w="0" w:type="dxa"/>
            <w:right w:w="108" w:type="dxa"/>
          </w:tblCellMar>
        </w:tblPrEx>
        <w:trPr>
          <w:trHeight w:val="405"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75" w:type="pct"/>
            <w:gridSpan w:val="9"/>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公用经费-关于下达2022年城乡义务教育项目直达资金（乌财教科【2022】23号、乌财教科【2021】96号、乌财教科【2021】120号）</w:t>
            </w:r>
          </w:p>
        </w:tc>
      </w:tr>
      <w:tr>
        <w:tblPrEx>
          <w:tblCellMar>
            <w:top w:w="0" w:type="dxa"/>
            <w:left w:w="108" w:type="dxa"/>
            <w:bottom w:w="0" w:type="dxa"/>
            <w:right w:w="108" w:type="dxa"/>
          </w:tblCellMar>
        </w:tblPrEx>
        <w:trPr>
          <w:trHeight w:val="396" w:hRule="atLeast"/>
        </w:trPr>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27"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79"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r>
      <w:tr>
        <w:tblPrEx>
          <w:tblCellMar>
            <w:top w:w="0" w:type="dxa"/>
            <w:left w:w="108" w:type="dxa"/>
            <w:bottom w:w="0" w:type="dxa"/>
            <w:right w:w="108" w:type="dxa"/>
          </w:tblCellMar>
        </w:tblPrEx>
        <w:trPr>
          <w:trHeight w:val="396" w:hRule="atLeast"/>
        </w:trPr>
        <w:tc>
          <w:tcPr>
            <w:tcW w:w="62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145.51</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30.95</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21.27%</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2.13分</w:t>
            </w:r>
          </w:p>
        </w:tc>
      </w:tr>
      <w:tr>
        <w:tblPrEx>
          <w:tblCellMar>
            <w:top w:w="0" w:type="dxa"/>
            <w:left w:w="108" w:type="dxa"/>
            <w:bottom w:w="0" w:type="dxa"/>
            <w:right w:w="108" w:type="dxa"/>
          </w:tblCellMar>
        </w:tblPrEx>
        <w:trPr>
          <w:trHeight w:val="396" w:hRule="atLeast"/>
        </w:trPr>
        <w:tc>
          <w:tcPr>
            <w:tcW w:w="6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145.51</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30.95</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586"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148"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586"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本项目通过缴纳本年度水电费支出，支付学校安保服务费，维修学校设施，可改善我校办学硬件设施，有效改善校园环境，明显提高办学条件，推动义务教育均衡化发展。</w:t>
            </w:r>
          </w:p>
        </w:tc>
        <w:tc>
          <w:tcPr>
            <w:tcW w:w="2148" w:type="pct"/>
            <w:gridSpan w:val="4"/>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学校本年度水电费的正常支出，学校安保服务费的正常支付，定期维修学校公共设施，改善了学校办学条件的硬件设施，有效改善校园环境，提高办学条件，财政资金紧张，未全部拨付到位，影响支付等工作。</w:t>
            </w:r>
          </w:p>
        </w:tc>
      </w:tr>
      <w:tr>
        <w:tblPrEx>
          <w:tblCellMar>
            <w:top w:w="0" w:type="dxa"/>
            <w:left w:w="108" w:type="dxa"/>
            <w:bottom w:w="0" w:type="dxa"/>
            <w:right w:w="108" w:type="dxa"/>
          </w:tblCellMar>
        </w:tblPrEx>
        <w:trPr>
          <w:trHeight w:val="396" w:hRule="atLeast"/>
        </w:trPr>
        <w:tc>
          <w:tcPr>
            <w:tcW w:w="2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11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76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66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4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0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1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5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在校学生人数</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&gt;=2009人</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2009人</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学校校舍、公共设施日常维修次数</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=1次</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学校校舍、公共设施日常维修质量达标率</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用水用电质量保障率</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公用经费使用合规率</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公用经费支付及时率</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21.27%</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1.06</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财政资金未完全按时拨付，项目目标未按预期完成。</w:t>
            </w: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预算控制率</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提高社会服务发展能力，提升学生综合素质</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有效提升</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财政资金未完全按时拨付，项目目标未按预期完成。</w:t>
            </w: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提高资源优化配置，改善学校办公成本费用</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财政资金未完全按时拨付，项目目标未按预期完成。</w:t>
            </w: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16"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6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520"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80.69分</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602"/>
        <w:gridCol w:w="875"/>
        <w:gridCol w:w="868"/>
        <w:gridCol w:w="675"/>
        <w:gridCol w:w="941"/>
        <w:gridCol w:w="269"/>
        <w:gridCol w:w="675"/>
        <w:gridCol w:w="770"/>
        <w:gridCol w:w="301"/>
        <w:gridCol w:w="636"/>
        <w:gridCol w:w="397"/>
        <w:gridCol w:w="611"/>
        <w:gridCol w:w="342"/>
        <w:gridCol w:w="894"/>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4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165"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乌财教科【2022】45号-关于拨付中小学和幼儿园自聘教师补助资金的通知</w:t>
            </w:r>
          </w:p>
        </w:tc>
      </w:tr>
      <w:tr>
        <w:tblPrEx>
          <w:tblCellMar>
            <w:top w:w="0" w:type="dxa"/>
            <w:left w:w="108" w:type="dxa"/>
            <w:bottom w:w="0" w:type="dxa"/>
            <w:right w:w="108" w:type="dxa"/>
          </w:tblCellMar>
        </w:tblPrEx>
        <w:trPr>
          <w:trHeight w:val="396" w:hRule="atLeast"/>
        </w:trPr>
        <w:tc>
          <w:tcPr>
            <w:tcW w:w="8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93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62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r>
      <w:tr>
        <w:tblPrEx>
          <w:tblCellMar>
            <w:top w:w="0" w:type="dxa"/>
            <w:left w:w="108" w:type="dxa"/>
            <w:bottom w:w="0" w:type="dxa"/>
            <w:right w:w="108" w:type="dxa"/>
          </w:tblCellMar>
        </w:tblPrEx>
        <w:trPr>
          <w:trHeight w:val="396" w:hRule="atLeast"/>
        </w:trPr>
        <w:tc>
          <w:tcPr>
            <w:tcW w:w="8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8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105.06</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20.74</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19.74%</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1.97分</w:t>
            </w:r>
          </w:p>
        </w:tc>
      </w:tr>
      <w:tr>
        <w:tblPrEx>
          <w:tblCellMar>
            <w:top w:w="0" w:type="dxa"/>
            <w:left w:w="108" w:type="dxa"/>
            <w:bottom w:w="0" w:type="dxa"/>
            <w:right w:w="108" w:type="dxa"/>
          </w:tblCellMar>
        </w:tblPrEx>
        <w:trPr>
          <w:trHeight w:val="396" w:hRule="atLeast"/>
        </w:trPr>
        <w:tc>
          <w:tcPr>
            <w:tcW w:w="8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105.06</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20.74</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3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0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429"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230"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429"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聘用同工同酬教师15人，聘用教师28人，有效缓解学校现有师资力量的不足，保证了学校正常教学工作的完成，提高教师工作效率，保障了聘用教师的工资、社保等各项基本待遇。</w:t>
            </w:r>
          </w:p>
        </w:tc>
        <w:tc>
          <w:tcPr>
            <w:tcW w:w="2230"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聘用同工同酬教师15人，聘用教师28人，有效缓解学校现有师资力量的不足，保证了学校正常教学工作的完成，提高教师工作效率，保障了聘用教师的工资、社保等各项基本待遇。</w:t>
            </w:r>
          </w:p>
        </w:tc>
      </w:tr>
      <w:tr>
        <w:tblPrEx>
          <w:tblCellMar>
            <w:top w:w="0" w:type="dxa"/>
            <w:left w:w="108" w:type="dxa"/>
            <w:bottom w:w="0" w:type="dxa"/>
            <w:right w:w="108" w:type="dxa"/>
          </w:tblCellMar>
        </w:tblPrEx>
        <w:trPr>
          <w:trHeight w:val="396" w:hRule="atLeast"/>
        </w:trPr>
        <w:tc>
          <w:tcPr>
            <w:tcW w:w="3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064"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52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6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9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64"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同工同酬教师人数</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&lt;=15人</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15人</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代课教师人数</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&lt;=28人</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28人</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聘用教师工作完成率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补助发放覆盖率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补助发放及时率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39.48%</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3.95</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财政资金未拨付到位，没有达到预期目标。</w:t>
            </w: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解决学校教师配置问题</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有所解决</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基本完成预期目标</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财政资金未拨付到位，没有达到预期目标。</w:t>
            </w: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提高自聘教师待遇</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基本完成预期目标</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财政资金未拨付到位，没有达到预期目标。</w:t>
            </w: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064"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自聘教师满意度</w:t>
            </w:r>
          </w:p>
        </w:tc>
        <w:tc>
          <w:tcPr>
            <w:tcW w:w="38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04"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52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78.42分</w:t>
            </w:r>
          </w:p>
        </w:tc>
        <w:tc>
          <w:tcPr>
            <w:tcW w:w="6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674"/>
        <w:gridCol w:w="676"/>
        <w:gridCol w:w="859"/>
        <w:gridCol w:w="733"/>
        <w:gridCol w:w="893"/>
        <w:gridCol w:w="379"/>
        <w:gridCol w:w="845"/>
        <w:gridCol w:w="870"/>
        <w:gridCol w:w="402"/>
        <w:gridCol w:w="298"/>
        <w:gridCol w:w="583"/>
        <w:gridCol w:w="234"/>
        <w:gridCol w:w="613"/>
        <w:gridCol w:w="797"/>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36"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学生补助-提前下达2022城乡义务教育直达资金（乌财教科【2021】96号、【2021】120号）</w:t>
            </w:r>
          </w:p>
        </w:tc>
      </w:tr>
      <w:tr>
        <w:tblPrEx>
          <w:tblCellMar>
            <w:top w:w="0" w:type="dxa"/>
            <w:left w:w="108" w:type="dxa"/>
            <w:bottom w:w="0" w:type="dxa"/>
            <w:right w:w="108" w:type="dxa"/>
          </w:tblCellMar>
        </w:tblPrEx>
        <w:trPr>
          <w:trHeight w:val="396" w:hRule="atLeast"/>
        </w:trPr>
        <w:tc>
          <w:tcPr>
            <w:tcW w:w="7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09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23"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第121中学</w:t>
            </w:r>
          </w:p>
        </w:tc>
      </w:tr>
      <w:tr>
        <w:tblPrEx>
          <w:tblCellMar>
            <w:top w:w="0" w:type="dxa"/>
            <w:left w:w="108" w:type="dxa"/>
            <w:bottom w:w="0" w:type="dxa"/>
            <w:right w:w="108" w:type="dxa"/>
          </w:tblCellMar>
        </w:tblPrEx>
        <w:trPr>
          <w:trHeight w:val="396" w:hRule="atLeast"/>
        </w:trPr>
        <w:tc>
          <w:tcPr>
            <w:tcW w:w="76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4.94</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55.47%</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5.55分</w:t>
            </w:r>
          </w:p>
        </w:tc>
      </w:tr>
      <w:tr>
        <w:tblPrEx>
          <w:tblCellMar>
            <w:top w:w="0" w:type="dxa"/>
            <w:left w:w="108" w:type="dxa"/>
            <w:bottom w:w="0" w:type="dxa"/>
            <w:right w:w="108" w:type="dxa"/>
          </w:tblCellMar>
        </w:tblPrEx>
        <w:trPr>
          <w:trHeight w:val="396" w:hRule="atLeast"/>
        </w:trPr>
        <w:tc>
          <w:tcPr>
            <w:tcW w:w="7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4.94</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6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9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9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476"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142"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476"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我校贫困生资助管理专干根据贫困生资助管理平台，提供人数小学60人，初中30人，预计2022年的实际需求，非寄宿生家庭困难生活补助标准，小学每生312.5元/学期，初中375元/学期，支付全年贫困生生活补助，可改善贫困生家庭经济条件，帮助贫困生顺利完成学业。</w:t>
            </w:r>
          </w:p>
        </w:tc>
        <w:tc>
          <w:tcPr>
            <w:tcW w:w="2142"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根据德育处提供人员名单，保障学校全年贫困生生活补助按照小学每生312.5元/学期，初中375元/学期，因财政资金未及时拨付，补助仅完成一学期的发放工作。</w:t>
            </w:r>
          </w:p>
        </w:tc>
      </w:tr>
      <w:tr>
        <w:tblPrEx>
          <w:tblCellMar>
            <w:top w:w="0" w:type="dxa"/>
            <w:left w:w="108" w:type="dxa"/>
            <w:bottom w:w="0" w:type="dxa"/>
            <w:right w:w="108" w:type="dxa"/>
          </w:tblCellMar>
        </w:tblPrEx>
        <w:trPr>
          <w:trHeight w:val="396" w:hRule="atLeast"/>
        </w:trPr>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8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132"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9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9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6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9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32"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补助学生人数（人）</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&gt;=90人</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95人</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资助学生涉及班级数</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&gt;=39个</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39个</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非寄宿生贫困生覆盖率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资助标准达标率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补贴发放及时率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57.76%</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3.04</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财政未能按时拨付资金，秋季补助未能发放。</w:t>
            </w: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小学享受补助标准</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=312.5元/学期</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312.5元/学期</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中学享受补助标准</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=375元/学期</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375元/学期</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保障贫困生享受合理的补助</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有所保障</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基本达到预期目标</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财政未能按时拨付资金，秋季补助未能发放。</w:t>
            </w: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减轻贫困生家庭负担</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有效减轻</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基本达到预期目标</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11.25</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财政未能按时拨付资金，秋季补助未能发放。</w:t>
            </w: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8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8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32"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9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48"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86.09分</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before="100" w:after="240"/>
        <w:jc w:val="center"/>
        <w:rPr>
          <w:rFonts w:eastAsia="Times New Roman"/>
          <w:kern w:val="0"/>
          <w:sz w:val="32"/>
        </w:rPr>
      </w:pPr>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w:t>
      </w:r>
      <w:bookmarkStart w:id="4" w:name="_GoBack"/>
      <w:bookmarkEnd w:id="4"/>
      <w:r>
        <w:rPr>
          <w:rFonts w:hint="eastAsia" w:ascii="黑体" w:hAnsi="黑体" w:eastAsia="黑体"/>
          <w:sz w:val="32"/>
        </w:rPr>
        <w:t>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D583A"/>
    <w:rsid w:val="002F10AB"/>
    <w:rsid w:val="002F77C5"/>
    <w:rsid w:val="00345E14"/>
    <w:rsid w:val="00660C90"/>
    <w:rsid w:val="006E556C"/>
    <w:rsid w:val="00866049"/>
    <w:rsid w:val="00902F91"/>
    <w:rsid w:val="00FF6A4C"/>
    <w:rsid w:val="34F5246D"/>
    <w:rsid w:val="362C16A5"/>
    <w:rsid w:val="3E836570"/>
    <w:rsid w:val="4A9E2813"/>
    <w:rsid w:val="5BFF06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uiPriority w:val="99"/>
    <w:rPr>
      <w:rFonts w:hint="default"/>
      <w:kern w:val="2"/>
      <w:sz w:val="18"/>
      <w:szCs w:val="18"/>
    </w:rPr>
  </w:style>
  <w:style w:type="character" w:customStyle="1" w:styleId="7">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7149</Words>
  <Characters>8212</Characters>
  <Lines>64</Lines>
  <Paragraphs>18</Paragraphs>
  <TotalTime>2</TotalTime>
  <ScaleCrop>false</ScaleCrop>
  <LinksUpToDate>false</LinksUpToDate>
  <CharactersWithSpaces>8231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2023-08-17T09:20:00Z</dcterms:created>
  <dc:creator>Administrator</dc:creator>
  <cp:lastModifiedBy>逐梦令</cp:lastModifiedBy>
  <dcterms:modified xsi:type="dcterms:W3CDTF">2023-09-01T06:45:28Z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D3F4A5A1BECF40ADB4454AAB263E9337_13</vt:lpwstr>
  </property>
</Properties>
</file>