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eastAsia="Times New Roman"/>
          <w:kern w:val="36"/>
          <w:sz w:val="40"/>
          <w:lang w:val="zh-CN"/>
        </w:rPr>
      </w:pPr>
    </w:p>
    <w:p>
      <w:pPr>
        <w:shd w:val="clear" w:color="auto" w:fill="FFFFFF"/>
        <w:spacing w:before="240" w:after="240"/>
        <w:jc w:val="center"/>
        <w:rPr>
          <w:rFonts w:eastAsia="Times New Roman"/>
          <w:kern w:val="36"/>
          <w:sz w:val="40"/>
          <w:lang w:val="zh-CN"/>
        </w:rPr>
      </w:pPr>
    </w:p>
    <w:p>
      <w:pPr>
        <w:jc w:val="center"/>
        <w:rPr>
          <w:rFonts w:hint="eastAsia" w:ascii="方正小标宋_GBK" w:hAnsi="方正小标宋_GBK" w:eastAsia="方正小标宋_GBK"/>
          <w:sz w:val="44"/>
        </w:rPr>
      </w:pPr>
      <w:r>
        <w:rPr>
          <w:rFonts w:hint="eastAsia" w:ascii="方正小标宋_GBK" w:hAnsi="方正小标宋_GBK" w:eastAsia="方正小标宋_GBK"/>
          <w:sz w:val="44"/>
        </w:rPr>
        <w:t>乌鲁木齐市米东区第123中学</w:t>
      </w:r>
    </w:p>
    <w:p>
      <w:pPr>
        <w:jc w:val="center"/>
        <w:rPr>
          <w:rFonts w:eastAsia="Times New Roman"/>
          <w:kern w:val="36"/>
          <w:sz w:val="40"/>
          <w:lang w:val="zh-CN"/>
        </w:rPr>
      </w:pPr>
      <w:r>
        <w:rPr>
          <w:rFonts w:hint="eastAsia" w:ascii="方正小标宋_GBK" w:hAnsi="方正小标宋_GBK" w:eastAsia="方正小标宋_GBK"/>
          <w:sz w:val="44"/>
        </w:rPr>
        <w:t>2022年度部门决算公开说明</w:t>
      </w:r>
    </w:p>
    <w:p>
      <w:pPr>
        <w:shd w:val="clear" w:color="auto" w:fill="FFFFFF"/>
        <w:spacing w:before="240" w:after="240"/>
        <w:jc w:val="center"/>
        <w:rPr>
          <w:rFonts w:eastAsia="Times New Roman"/>
          <w:kern w:val="36"/>
          <w:sz w:val="40"/>
          <w:lang w:val="zh-CN"/>
        </w:rPr>
      </w:pPr>
    </w:p>
    <w:p>
      <w:pPr>
        <w:spacing w:line="540" w:lineRule="exact"/>
        <w:jc w:val="center"/>
        <w:rPr>
          <w:rFonts w:eastAsia="Times New Roman"/>
          <w:b/>
          <w:kern w:val="0"/>
          <w:sz w:val="24"/>
        </w:rPr>
      </w:pPr>
      <w:r>
        <w:rPr>
          <w:rFonts w:eastAsia="Times New Roman"/>
          <w:b/>
          <w:kern w:val="36"/>
          <w:sz w:val="36"/>
        </w:rPr>
        <w:br w:type="page"/>
      </w:r>
      <w:r>
        <w:rPr>
          <w:rFonts w:hint="eastAsia" w:ascii="仿宋_GB2312" w:hAnsi="仿宋_GB2312" w:eastAsia="仿宋_GB2312"/>
          <w:b/>
          <w:kern w:val="0"/>
          <w:sz w:val="36"/>
        </w:rPr>
        <w:t>目  录</w:t>
      </w:r>
    </w:p>
    <w:p>
      <w:pPr>
        <w:spacing w:line="360" w:lineRule="auto"/>
        <w:rPr>
          <w:rFonts w:eastAsia="Times New Roman"/>
          <w:kern w:val="0"/>
          <w:sz w:val="32"/>
        </w:rPr>
      </w:pPr>
      <w:r>
        <w:rPr>
          <w:rFonts w:hint="eastAsia" w:ascii="仿宋_GB2312" w:hAnsi="仿宋_GB2312" w:eastAsia="仿宋_GB2312"/>
          <w:b/>
          <w:kern w:val="0"/>
          <w:sz w:val="32"/>
        </w:rPr>
        <w:t>第一部分 单位概况</w:t>
      </w:r>
    </w:p>
    <w:p>
      <w:pPr>
        <w:spacing w:line="360" w:lineRule="auto"/>
        <w:rPr>
          <w:rFonts w:eastAsia="Times New Roman"/>
          <w:kern w:val="0"/>
          <w:sz w:val="32"/>
        </w:rPr>
      </w:pPr>
      <w:r>
        <w:rPr>
          <w:rFonts w:hint="eastAsia" w:ascii="仿宋_GB2312" w:hAnsi="仿宋_GB2312" w:eastAsia="仿宋_GB2312"/>
          <w:kern w:val="0"/>
          <w:sz w:val="32"/>
        </w:rPr>
        <w:t>一、主要职能</w:t>
      </w:r>
    </w:p>
    <w:p>
      <w:pPr>
        <w:spacing w:line="360" w:lineRule="auto"/>
        <w:rPr>
          <w:rFonts w:eastAsia="Times New Roman"/>
          <w:kern w:val="0"/>
          <w:sz w:val="32"/>
        </w:rPr>
      </w:pPr>
      <w:r>
        <w:rPr>
          <w:rFonts w:hint="eastAsia" w:ascii="仿宋_GB2312" w:hAnsi="仿宋_GB2312" w:eastAsia="仿宋_GB2312"/>
          <w:kern w:val="0"/>
          <w:sz w:val="32"/>
        </w:rPr>
        <w:t>二、</w:t>
      </w:r>
      <w:r>
        <w:rPr>
          <w:rFonts w:hint="eastAsia" w:ascii="仿宋_GB2312" w:hAnsi="仿宋_GB2312" w:eastAsia="仿宋_GB2312"/>
          <w:sz w:val="32"/>
        </w:rPr>
        <w:t>机构设置及人员情况</w:t>
      </w:r>
    </w:p>
    <w:p>
      <w:pPr>
        <w:spacing w:line="360" w:lineRule="auto"/>
        <w:rPr>
          <w:rFonts w:eastAsia="Times New Roman"/>
          <w:kern w:val="0"/>
          <w:sz w:val="32"/>
        </w:rPr>
      </w:pPr>
      <w:r>
        <w:rPr>
          <w:rFonts w:hint="eastAsia" w:ascii="仿宋_GB2312" w:hAnsi="仿宋_GB2312" w:eastAsia="仿宋_GB2312"/>
          <w:b/>
          <w:kern w:val="0"/>
          <w:sz w:val="32"/>
        </w:rPr>
        <w:t>第二部分 部门决算情况说明</w:t>
      </w:r>
    </w:p>
    <w:p>
      <w:pPr>
        <w:spacing w:line="360" w:lineRule="auto"/>
        <w:rPr>
          <w:rFonts w:eastAsia="Times New Roman"/>
          <w:sz w:val="32"/>
        </w:rPr>
      </w:pPr>
      <w:r>
        <w:rPr>
          <w:rFonts w:hint="eastAsia" w:ascii="仿宋_GB2312" w:hAnsi="仿宋_GB2312" w:eastAsia="仿宋_GB2312"/>
          <w:sz w:val="32"/>
        </w:rPr>
        <w:t>一、收入支出决算总体情况说明</w:t>
      </w:r>
    </w:p>
    <w:p>
      <w:pPr>
        <w:spacing w:line="360" w:lineRule="auto"/>
        <w:rPr>
          <w:rFonts w:eastAsia="Times New Roman"/>
          <w:sz w:val="32"/>
        </w:rPr>
      </w:pPr>
      <w:r>
        <w:rPr>
          <w:rFonts w:hint="eastAsia" w:ascii="仿宋_GB2312" w:hAnsi="仿宋_GB2312" w:eastAsia="仿宋_GB2312"/>
          <w:sz w:val="32"/>
        </w:rPr>
        <w:t>二、收入决算情况说明</w:t>
      </w:r>
    </w:p>
    <w:p>
      <w:pPr>
        <w:spacing w:line="360" w:lineRule="auto"/>
        <w:rPr>
          <w:rFonts w:eastAsia="Times New Roman"/>
          <w:sz w:val="32"/>
        </w:rPr>
      </w:pPr>
      <w:r>
        <w:rPr>
          <w:rFonts w:hint="eastAsia" w:ascii="仿宋_GB2312" w:hAnsi="仿宋_GB2312" w:eastAsia="仿宋_GB2312"/>
          <w:sz w:val="32"/>
        </w:rPr>
        <w:t>三、支出决算情况说明</w:t>
      </w:r>
    </w:p>
    <w:p>
      <w:pPr>
        <w:spacing w:line="360" w:lineRule="auto"/>
        <w:rPr>
          <w:rFonts w:eastAsia="Times New Roman"/>
          <w:sz w:val="32"/>
        </w:rPr>
      </w:pPr>
      <w:r>
        <w:rPr>
          <w:rFonts w:hint="eastAsia" w:ascii="仿宋_GB2312" w:hAnsi="仿宋_GB2312" w:eastAsia="仿宋_GB2312"/>
          <w:sz w:val="32"/>
        </w:rPr>
        <w:t>四、财政拨款收入支出决算总体情况说明</w:t>
      </w:r>
    </w:p>
    <w:p>
      <w:pPr>
        <w:spacing w:line="360" w:lineRule="auto"/>
        <w:rPr>
          <w:rFonts w:eastAsia="Times New Roman"/>
          <w:sz w:val="32"/>
        </w:rPr>
      </w:pPr>
      <w:r>
        <w:rPr>
          <w:rFonts w:hint="eastAsia" w:ascii="仿宋_GB2312" w:hAnsi="仿宋_GB2312" w:eastAsia="仿宋_GB2312"/>
          <w:sz w:val="32"/>
        </w:rPr>
        <w:t>五、一般公共预算财政拨款支出决算情况说明</w:t>
      </w:r>
    </w:p>
    <w:p>
      <w:pPr>
        <w:spacing w:line="360" w:lineRule="auto"/>
        <w:rPr>
          <w:rFonts w:eastAsia="Times New Roman"/>
          <w:sz w:val="32"/>
        </w:rPr>
      </w:pPr>
      <w:r>
        <w:rPr>
          <w:rFonts w:hint="eastAsia" w:ascii="仿宋_GB2312" w:hAnsi="仿宋_GB2312" w:eastAsia="仿宋_GB2312"/>
          <w:sz w:val="32"/>
        </w:rPr>
        <w:t>六、一般公共预算财政拨款基本支出决算情况说明</w:t>
      </w:r>
    </w:p>
    <w:p>
      <w:pPr>
        <w:spacing w:line="360" w:lineRule="auto"/>
        <w:rPr>
          <w:rFonts w:eastAsia="Times New Roman"/>
          <w:sz w:val="32"/>
        </w:rPr>
      </w:pPr>
      <w:r>
        <w:rPr>
          <w:rFonts w:hint="eastAsia" w:ascii="仿宋_GB2312" w:hAnsi="仿宋_GB2312" w:eastAsia="仿宋_GB2312"/>
          <w:sz w:val="32"/>
        </w:rPr>
        <w:t>七、财政拨款“三公”经费支出决算情况说明</w:t>
      </w:r>
    </w:p>
    <w:p>
      <w:pPr>
        <w:spacing w:line="360" w:lineRule="auto"/>
        <w:rPr>
          <w:rFonts w:eastAsia="Times New Roman"/>
          <w:sz w:val="32"/>
        </w:rPr>
      </w:pPr>
      <w:r>
        <w:rPr>
          <w:rFonts w:hint="eastAsia" w:ascii="仿宋_GB2312" w:hAnsi="仿宋_GB2312" w:eastAsia="仿宋_GB2312"/>
          <w:sz w:val="32"/>
        </w:rPr>
        <w:t>八、政府性基金预算</w:t>
      </w:r>
      <w:r>
        <w:rPr>
          <w:rFonts w:hint="eastAsia" w:ascii="仿宋_GB2312" w:hAnsi="仿宋_GB2312" w:eastAsia="仿宋_GB2312"/>
          <w:sz w:val="32"/>
          <w:lang w:val="zh-CN"/>
        </w:rPr>
        <w:t>财政拨款</w:t>
      </w:r>
      <w:r>
        <w:rPr>
          <w:rFonts w:hint="eastAsia" w:ascii="仿宋_GB2312" w:hAnsi="仿宋_GB2312" w:eastAsia="仿宋_GB2312"/>
          <w:sz w:val="32"/>
        </w:rPr>
        <w:t>收入支出决算情况说明</w:t>
      </w:r>
    </w:p>
    <w:p>
      <w:pPr>
        <w:spacing w:line="360" w:lineRule="auto"/>
        <w:rPr>
          <w:rFonts w:eastAsia="Times New Roman"/>
          <w:sz w:val="32"/>
        </w:rPr>
      </w:pPr>
      <w:r>
        <w:rPr>
          <w:rFonts w:hint="eastAsia" w:ascii="仿宋_GB2312" w:hAnsi="仿宋_GB2312" w:eastAsia="仿宋_GB2312"/>
          <w:sz w:val="32"/>
        </w:rPr>
        <w:t>九、国有资本经营预算财政拨款收入支出决算情况说明</w:t>
      </w:r>
    </w:p>
    <w:p>
      <w:pPr>
        <w:spacing w:line="360" w:lineRule="auto"/>
        <w:rPr>
          <w:rFonts w:eastAsia="Times New Roman"/>
          <w:sz w:val="32"/>
        </w:rPr>
      </w:pPr>
      <w:r>
        <w:rPr>
          <w:rFonts w:hint="eastAsia" w:ascii="仿宋_GB2312" w:hAnsi="仿宋_GB2312" w:eastAsia="仿宋_GB2312"/>
          <w:sz w:val="32"/>
        </w:rPr>
        <w:t>十、其他重要事项的情况说明</w:t>
      </w:r>
    </w:p>
    <w:p>
      <w:pPr>
        <w:spacing w:line="360" w:lineRule="auto"/>
        <w:rPr>
          <w:rFonts w:eastAsia="Times New Roman"/>
          <w:sz w:val="32"/>
        </w:rPr>
      </w:pPr>
      <w:r>
        <w:rPr>
          <w:rFonts w:hint="eastAsia" w:ascii="仿宋_GB2312" w:hAnsi="仿宋_GB2312" w:eastAsia="仿宋_GB2312"/>
          <w:sz w:val="32"/>
        </w:rPr>
        <w:t>（一）机关运行经费支出情况</w:t>
      </w:r>
    </w:p>
    <w:p>
      <w:pPr>
        <w:spacing w:line="360" w:lineRule="auto"/>
        <w:rPr>
          <w:rFonts w:eastAsia="Times New Roman"/>
          <w:sz w:val="32"/>
        </w:rPr>
      </w:pPr>
      <w:r>
        <w:rPr>
          <w:rFonts w:hint="eastAsia" w:ascii="仿宋_GB2312" w:hAnsi="仿宋_GB2312" w:eastAsia="仿宋_GB2312"/>
          <w:sz w:val="32"/>
        </w:rPr>
        <w:t>（二）政府采购情况</w:t>
      </w:r>
    </w:p>
    <w:p>
      <w:pPr>
        <w:spacing w:line="360" w:lineRule="auto"/>
        <w:rPr>
          <w:rFonts w:eastAsia="Times New Roman"/>
          <w:sz w:val="32"/>
        </w:rPr>
      </w:pPr>
      <w:r>
        <w:rPr>
          <w:rFonts w:hint="eastAsia" w:ascii="仿宋_GB2312" w:hAnsi="仿宋_GB2312" w:eastAsia="仿宋_GB2312"/>
          <w:sz w:val="32"/>
        </w:rPr>
        <w:t>（三）国有资产占用情况说明</w:t>
      </w:r>
    </w:p>
    <w:p>
      <w:pPr>
        <w:spacing w:line="360" w:lineRule="auto"/>
        <w:rPr>
          <w:rFonts w:eastAsia="Times New Roman"/>
          <w:sz w:val="32"/>
        </w:rPr>
      </w:pPr>
      <w:r>
        <w:rPr>
          <w:rFonts w:hint="eastAsia" w:ascii="仿宋_GB2312" w:hAnsi="仿宋_GB2312" w:eastAsia="仿宋_GB2312"/>
          <w:sz w:val="32"/>
        </w:rPr>
        <w:t>十</w:t>
      </w:r>
      <w:r>
        <w:rPr>
          <w:rFonts w:hint="eastAsia" w:ascii="仿宋_GB2312" w:hAnsi="仿宋_GB2312" w:eastAsia="仿宋_GB2312"/>
          <w:sz w:val="32"/>
          <w:lang w:val="zh-CN"/>
        </w:rPr>
        <w:t>一</w:t>
      </w:r>
      <w:r>
        <w:rPr>
          <w:rFonts w:hint="eastAsia" w:ascii="仿宋_GB2312" w:hAnsi="仿宋_GB2312" w:eastAsia="仿宋_GB2312"/>
          <w:sz w:val="32"/>
        </w:rPr>
        <w:t>、预算绩效的情况说明</w:t>
      </w:r>
    </w:p>
    <w:p>
      <w:pPr>
        <w:spacing w:line="360" w:lineRule="auto"/>
        <w:rPr>
          <w:rFonts w:eastAsia="Times New Roman"/>
          <w:b/>
          <w:kern w:val="0"/>
          <w:sz w:val="32"/>
        </w:rPr>
      </w:pPr>
      <w:r>
        <w:rPr>
          <w:rFonts w:hint="eastAsia" w:ascii="仿宋_GB2312" w:hAnsi="仿宋_GB2312" w:eastAsia="仿宋_GB2312"/>
          <w:b/>
          <w:kern w:val="0"/>
          <w:sz w:val="32"/>
        </w:rPr>
        <w:t>第三部分 专业名词解释</w:t>
      </w:r>
    </w:p>
    <w:p>
      <w:pPr>
        <w:spacing w:line="360" w:lineRule="auto"/>
        <w:rPr>
          <w:rFonts w:eastAsia="Times New Roman"/>
          <w:b/>
          <w:kern w:val="0"/>
          <w:sz w:val="32"/>
        </w:rPr>
      </w:pPr>
      <w:r>
        <w:rPr>
          <w:rFonts w:hint="eastAsia" w:ascii="仿宋_GB2312" w:hAnsi="仿宋_GB2312" w:eastAsia="仿宋_GB2312"/>
          <w:b/>
          <w:kern w:val="0"/>
          <w:sz w:val="32"/>
        </w:rPr>
        <w:t>第四部分 部</w:t>
      </w:r>
      <w:r>
        <w:rPr>
          <w:rFonts w:hint="eastAsia" w:ascii="仿宋_GB2312" w:hAnsi="仿宋_GB2312" w:eastAsia="仿宋_GB2312"/>
          <w:b/>
          <w:sz w:val="32"/>
        </w:rPr>
        <w:t>门决算报表（见附表）</w:t>
      </w:r>
    </w:p>
    <w:p>
      <w:pPr>
        <w:spacing w:line="360" w:lineRule="auto"/>
        <w:rPr>
          <w:rFonts w:eastAsia="Times New Roman"/>
          <w:sz w:val="32"/>
        </w:rPr>
      </w:pPr>
      <w:r>
        <w:rPr>
          <w:rFonts w:hint="eastAsia" w:ascii="仿宋_GB2312" w:hAnsi="仿宋_GB2312" w:eastAsia="仿宋_GB2312"/>
          <w:sz w:val="32"/>
        </w:rPr>
        <w:t>一、《收入支出决算总表》</w:t>
      </w:r>
    </w:p>
    <w:p>
      <w:pPr>
        <w:spacing w:line="360" w:lineRule="auto"/>
        <w:rPr>
          <w:rFonts w:eastAsia="Times New Roman"/>
          <w:sz w:val="32"/>
        </w:rPr>
      </w:pPr>
      <w:r>
        <w:rPr>
          <w:rFonts w:hint="eastAsia" w:ascii="仿宋_GB2312" w:hAnsi="仿宋_GB2312" w:eastAsia="仿宋_GB2312"/>
          <w:sz w:val="32"/>
        </w:rPr>
        <w:t>二、《收入决算表》</w:t>
      </w:r>
    </w:p>
    <w:p>
      <w:pPr>
        <w:spacing w:line="360" w:lineRule="auto"/>
        <w:rPr>
          <w:rFonts w:eastAsia="Times New Roman"/>
          <w:sz w:val="32"/>
        </w:rPr>
      </w:pPr>
      <w:r>
        <w:rPr>
          <w:rFonts w:hint="eastAsia" w:ascii="仿宋_GB2312" w:hAnsi="仿宋_GB2312" w:eastAsia="仿宋_GB2312"/>
          <w:sz w:val="32"/>
        </w:rPr>
        <w:t>三、《支出决算表》</w:t>
      </w:r>
    </w:p>
    <w:p>
      <w:pPr>
        <w:spacing w:line="360" w:lineRule="auto"/>
        <w:rPr>
          <w:rFonts w:eastAsia="Times New Roman"/>
          <w:sz w:val="32"/>
        </w:rPr>
      </w:pPr>
      <w:r>
        <w:rPr>
          <w:rFonts w:hint="eastAsia" w:ascii="仿宋_GB2312" w:hAnsi="仿宋_GB2312" w:eastAsia="仿宋_GB2312"/>
          <w:sz w:val="32"/>
        </w:rPr>
        <w:t>四、《财政拨款收入支出决算总表》</w:t>
      </w:r>
    </w:p>
    <w:p>
      <w:pPr>
        <w:spacing w:line="360" w:lineRule="auto"/>
        <w:rPr>
          <w:rFonts w:eastAsia="Times New Roman"/>
          <w:sz w:val="32"/>
        </w:rPr>
      </w:pPr>
      <w:r>
        <w:rPr>
          <w:rFonts w:hint="eastAsia" w:ascii="仿宋_GB2312" w:hAnsi="仿宋_GB2312" w:eastAsia="仿宋_GB2312"/>
          <w:sz w:val="32"/>
        </w:rPr>
        <w:t>五、《一般公共预算财政拨款支出决算表》</w:t>
      </w:r>
    </w:p>
    <w:p>
      <w:pPr>
        <w:spacing w:line="360" w:lineRule="auto"/>
        <w:rPr>
          <w:rFonts w:eastAsia="Times New Roman"/>
          <w:sz w:val="32"/>
        </w:rPr>
      </w:pPr>
      <w:r>
        <w:rPr>
          <w:rFonts w:hint="eastAsia" w:ascii="仿宋_GB2312" w:hAnsi="仿宋_GB2312" w:eastAsia="仿宋_GB2312"/>
          <w:sz w:val="32"/>
        </w:rPr>
        <w:t>六、《一般公共预算财政拨款基本支出决算表》</w:t>
      </w:r>
    </w:p>
    <w:p>
      <w:pPr>
        <w:spacing w:line="360" w:lineRule="auto"/>
        <w:rPr>
          <w:rFonts w:eastAsia="Times New Roman"/>
          <w:sz w:val="32"/>
        </w:rPr>
      </w:pPr>
      <w:r>
        <w:rPr>
          <w:rFonts w:hint="eastAsia" w:ascii="仿宋_GB2312" w:hAnsi="仿宋_GB2312" w:eastAsia="仿宋_GB2312"/>
          <w:sz w:val="32"/>
        </w:rPr>
        <w:t>七、《财政拨款“三公”经费支出决算表》</w:t>
      </w:r>
    </w:p>
    <w:p>
      <w:pPr>
        <w:spacing w:line="360" w:lineRule="auto"/>
        <w:rPr>
          <w:rFonts w:eastAsia="Times New Roman"/>
          <w:sz w:val="32"/>
        </w:rPr>
      </w:pPr>
      <w:r>
        <w:rPr>
          <w:rFonts w:hint="eastAsia" w:ascii="仿宋_GB2312" w:hAnsi="仿宋_GB2312" w:eastAsia="仿宋_GB2312"/>
          <w:sz w:val="32"/>
        </w:rPr>
        <w:t>八、《政府性基金预算财政拨款收入支出决算表》</w:t>
      </w:r>
    </w:p>
    <w:p>
      <w:pPr>
        <w:spacing w:line="360" w:lineRule="auto"/>
        <w:rPr>
          <w:rFonts w:eastAsia="Times New Roman"/>
          <w:sz w:val="32"/>
        </w:rPr>
      </w:pPr>
      <w:r>
        <w:rPr>
          <w:rFonts w:hint="eastAsia" w:ascii="仿宋_GB2312" w:hAnsi="仿宋_GB2312" w:eastAsia="仿宋_GB2312"/>
          <w:sz w:val="32"/>
        </w:rPr>
        <w:t>九、《国有资本经营预算财政拨款收入支出决算表》</w:t>
      </w:r>
    </w:p>
    <w:p>
      <w:pPr>
        <w:spacing w:line="540" w:lineRule="exact"/>
        <w:ind w:firstLine="640"/>
        <w:rPr>
          <w:rFonts w:eastAsia="Times New Roman"/>
          <w:b/>
          <w:kern w:val="0"/>
          <w:sz w:val="28"/>
        </w:rPr>
      </w:pPr>
    </w:p>
    <w:p>
      <w:pPr>
        <w:shd w:val="clear" w:color="auto" w:fill="FFFFFF"/>
        <w:spacing w:line="360" w:lineRule="auto"/>
        <w:jc w:val="center"/>
        <w:rPr>
          <w:rFonts w:eastAsia="Times New Roman"/>
          <w:kern w:val="0"/>
          <w:sz w:val="32"/>
        </w:rPr>
      </w:pPr>
    </w:p>
    <w:p>
      <w:pPr>
        <w:shd w:val="clear" w:color="auto" w:fill="FFFFFF"/>
        <w:spacing w:line="360" w:lineRule="auto"/>
        <w:jc w:val="center"/>
        <w:rPr>
          <w:rFonts w:hint="eastAsia" w:ascii="黑体" w:hAnsi="黑体" w:eastAsia="黑体"/>
          <w:kern w:val="0"/>
          <w:sz w:val="32"/>
          <w:lang w:val="ar-SA"/>
        </w:rPr>
      </w:pPr>
      <w:r>
        <w:rPr>
          <w:rFonts w:eastAsia="Times New Roman"/>
          <w:kern w:val="0"/>
          <w:sz w:val="32"/>
        </w:rPr>
        <w:br w:type="page"/>
      </w:r>
      <w:r>
        <w:rPr>
          <w:rFonts w:hint="eastAsia" w:ascii="黑体" w:hAnsi="黑体" w:eastAsia="黑体"/>
          <w:kern w:val="0"/>
          <w:sz w:val="32"/>
        </w:rPr>
        <w:t>第一部分 单位概况</w:t>
      </w:r>
    </w:p>
    <w:p>
      <w:pPr>
        <w:spacing w:line="360" w:lineRule="auto"/>
        <w:ind w:firstLine="640"/>
        <w:rPr>
          <w:rFonts w:eastAsia="Times New Roman"/>
          <w:sz w:val="32"/>
          <w:lang w:val="zh-CN"/>
        </w:rPr>
      </w:pPr>
      <w:r>
        <w:rPr>
          <w:rFonts w:hint="eastAsia" w:ascii="黑体" w:hAnsi="黑体" w:eastAsia="黑体"/>
          <w:sz w:val="32"/>
          <w:lang w:val="zh-CN"/>
        </w:rPr>
        <w:t>一、主要职能</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1．宣传贯彻执行党和国家的教育方针、政策、法律法规等，坚持依法治教、依法治学，贯彻执行上级教育部门的行政规章制度。</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2．配合上级教育部门制定符合党的教育方针和国家教育法律法规以及本校实际的教育发展规划和学校布局调整规划，并抓好组织实施和落实工作。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3．配合各级人民政府依法动员、组织适龄少年入学，严格控制辍学，推进普及义务教育。</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4．组织开展本校的教育教学科研和教育教学改革，科研兴教，科研兴校。负责对本校教育教学业务的具体管理，负责教育教学管理及教研教改工作。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5．按照干部和教师的职数、编制和管理权限，制定切实可行的学校工作规章制度，以提高教育教学质量为目的，负责本校教师人事管理、继续教育、考核考评等工作。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6．负责本校财务和基建管理，筹措资金，改善办学条件等工作，为师生提供优美和谐的学习和工作环境。核算和发放教职工工资,维护教职工利益，保障教职工合法权益。</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7．指导、管理、检查、评价本校的教育教学工作，提高办学质量和办学效益。按照义务教育课程计划，开齐课程，开足课时，认真教育教学管理，全面提高教育教学质量。</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8.建立健全学生学籍管理制度，按国家教育部颁布的规定管理学生学籍。</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9.在上级党委、政府和教育行政部门的领导下，积极开展学校的安全管理，不断提高安全管理水平，努力营造安全和谐的校园环境。</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10．在上级教育部门的领导下，谋划布局，全面推进义务教育均衡发展。</w:t>
      </w:r>
    </w:p>
    <w:p>
      <w:pPr>
        <w:spacing w:line="360" w:lineRule="auto"/>
        <w:ind w:firstLine="640"/>
        <w:rPr>
          <w:rFonts w:eastAsia="Times New Roman"/>
          <w:sz w:val="32"/>
          <w:lang w:val="zh-CN"/>
        </w:rPr>
      </w:pPr>
      <w:r>
        <w:rPr>
          <w:rFonts w:hint="eastAsia" w:ascii="黑体" w:hAnsi="黑体" w:eastAsia="黑体"/>
          <w:sz w:val="32"/>
          <w:lang w:val="zh-CN"/>
        </w:rPr>
        <w:t>二、机构设置及人员情况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乌鲁木齐市米东区第123中学2022年度，实有人数55人，其中：在职人员55人，离休人员0人，退休人员0人。</w:t>
      </w:r>
    </w:p>
    <w:p>
      <w:pPr>
        <w:shd w:val="clear" w:color="auto" w:fill="FFFFFF"/>
        <w:spacing w:line="360" w:lineRule="auto"/>
        <w:ind w:firstLine="640"/>
        <w:rPr>
          <w:rFonts w:eastAsia="Times New Roman"/>
          <w:kern w:val="0"/>
          <w:sz w:val="24"/>
          <w:lang w:val="ar-SA"/>
        </w:rPr>
      </w:pPr>
      <w:r>
        <w:rPr>
          <w:rFonts w:hint="eastAsia" w:ascii="仿宋_GB2312" w:hAnsi="仿宋_GB2312" w:eastAsia="仿宋_GB2312"/>
          <w:kern w:val="0"/>
          <w:sz w:val="32"/>
        </w:rPr>
        <w:t>从部门决算单位构成看，乌鲁木齐市米东区第123中学部门决算包括：乌鲁木齐市米东区第123中学</w:t>
      </w:r>
      <w:r>
        <w:rPr>
          <w:rFonts w:hint="eastAsia" w:ascii="仿宋_GB2312" w:hAnsi="仿宋_GB2312" w:eastAsia="仿宋_GB2312"/>
          <w:kern w:val="0"/>
          <w:sz w:val="32"/>
          <w:lang w:val="zh-CN"/>
        </w:rPr>
        <w:t>决算。单位无下属预算单位，下设</w:t>
      </w:r>
      <w:r>
        <w:rPr>
          <w:rFonts w:ascii="仿宋_GB2312" w:hAnsi="仿宋_GB2312" w:eastAsia="仿宋_GB2312"/>
          <w:kern w:val="0"/>
          <w:sz w:val="32"/>
        </w:rPr>
        <w:t>1</w:t>
      </w:r>
      <w:r>
        <w:rPr>
          <w:rFonts w:hint="eastAsia" w:ascii="仿宋_GB2312" w:hAnsi="仿宋_GB2312" w:eastAsia="仿宋_GB2312"/>
          <w:kern w:val="0"/>
          <w:sz w:val="32"/>
        </w:rPr>
        <w:t>4</w:t>
      </w:r>
      <w:r>
        <w:rPr>
          <w:rFonts w:hint="eastAsia" w:ascii="仿宋_GB2312" w:hAnsi="仿宋_GB2312" w:eastAsia="仿宋_GB2312"/>
          <w:kern w:val="0"/>
          <w:sz w:val="32"/>
          <w:lang w:val="zh-CN"/>
        </w:rPr>
        <w:t>个科室，分别是：</w:t>
      </w:r>
      <w:r>
        <w:rPr>
          <w:rFonts w:hint="eastAsia" w:ascii="仿宋_GB2312" w:hAnsi="仿宋_GB2312" w:eastAsia="仿宋_GB2312"/>
          <w:kern w:val="0"/>
          <w:sz w:val="32"/>
        </w:rPr>
        <w:t>书记办、副书记办、副校长办、总务处、安全办、财务室、信息办、党政办、德育处、工会办、小学教务处，中学教务处、教研室、医务室</w:t>
      </w:r>
      <w:r>
        <w:rPr>
          <w:rFonts w:hint="eastAsia" w:ascii="仿宋_GB2312" w:hAnsi="仿宋_GB2312" w:eastAsia="仿宋_GB2312"/>
          <w:kern w:val="0"/>
          <w:sz w:val="32"/>
          <w:lang w:val="zh-CN"/>
        </w:rPr>
        <w:t>。</w:t>
      </w:r>
    </w:p>
    <w:p>
      <w:pPr>
        <w:shd w:val="clear" w:color="auto" w:fill="FFFFFF"/>
        <w:spacing w:before="100" w:after="240"/>
        <w:jc w:val="center"/>
        <w:rPr>
          <w:rFonts w:eastAsia="Times New Roman"/>
          <w:kern w:val="0"/>
          <w:sz w:val="28"/>
          <w:lang w:val="ar-SA"/>
        </w:rPr>
      </w:pPr>
      <w:r>
        <w:rPr>
          <w:rFonts w:hint="eastAsia" w:ascii="黑体" w:hAnsi="黑体" w:eastAsia="黑体"/>
          <w:kern w:val="0"/>
          <w:sz w:val="32"/>
        </w:rPr>
        <w:t>第二部分 部门决算情况说明</w:t>
      </w:r>
    </w:p>
    <w:p>
      <w:pPr>
        <w:spacing w:line="360" w:lineRule="auto"/>
        <w:ind w:firstLine="640"/>
        <w:rPr>
          <w:rFonts w:eastAsia="Times New Roman"/>
          <w:sz w:val="32"/>
          <w:lang w:val="zh-CN"/>
        </w:rPr>
      </w:pPr>
      <w:r>
        <w:rPr>
          <w:rFonts w:hint="eastAsia" w:ascii="黑体" w:hAnsi="黑体" w:eastAsia="黑体"/>
          <w:sz w:val="32"/>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2022年度收入</w:t>
      </w:r>
      <w:r>
        <w:rPr>
          <w:rFonts w:hint="eastAsia" w:ascii="仿宋_GB2312" w:hAnsi="仿宋_GB2312" w:eastAsia="仿宋_GB2312"/>
          <w:sz w:val="32"/>
        </w:rPr>
        <w:t>总计</w:t>
      </w:r>
      <w:r>
        <w:rPr>
          <w:rFonts w:hint="eastAsia" w:ascii="仿宋_GB2312" w:hAnsi="仿宋_GB2312" w:eastAsia="仿宋_GB2312"/>
          <w:kern w:val="0"/>
          <w:sz w:val="32"/>
        </w:rPr>
        <w:t>1,270.12万元，</w:t>
      </w:r>
      <w:r>
        <w:rPr>
          <w:rFonts w:hint="eastAsia" w:ascii="仿宋_GB2312" w:hAnsi="仿宋_GB2312" w:eastAsia="仿宋_GB2312"/>
          <w:sz w:val="32"/>
        </w:rPr>
        <w:t>其中：本年收入合计</w:t>
      </w:r>
      <w:r>
        <w:rPr>
          <w:rFonts w:hint="eastAsia" w:ascii="仿宋_GB2312" w:hAnsi="仿宋_GB2312" w:eastAsia="仿宋_GB2312"/>
          <w:kern w:val="0"/>
          <w:sz w:val="32"/>
        </w:rPr>
        <w:t>1,261.68</w:t>
      </w:r>
      <w:r>
        <w:rPr>
          <w:rFonts w:hint="eastAsia" w:ascii="仿宋_GB2312" w:hAnsi="仿宋_GB2312" w:eastAsia="仿宋_GB2312"/>
          <w:sz w:val="32"/>
        </w:rPr>
        <w:t>万元，使用非财政拨款结余</w:t>
      </w:r>
      <w:r>
        <w:rPr>
          <w:rFonts w:hint="eastAsia" w:ascii="仿宋_GB2312" w:hAnsi="仿宋_GB2312" w:eastAsia="仿宋_GB2312"/>
          <w:kern w:val="0"/>
          <w:sz w:val="32"/>
        </w:rPr>
        <w:t>0.00</w:t>
      </w:r>
      <w:r>
        <w:rPr>
          <w:rFonts w:hint="eastAsia" w:ascii="仿宋_GB2312" w:hAnsi="仿宋_GB2312" w:eastAsia="仿宋_GB2312"/>
          <w:sz w:val="32"/>
        </w:rPr>
        <w:t>万元，年初结转和结余</w:t>
      </w:r>
      <w:r>
        <w:rPr>
          <w:rFonts w:hint="eastAsia" w:ascii="仿宋_GB2312" w:hAnsi="仿宋_GB2312" w:eastAsia="仿宋_GB2312"/>
          <w:kern w:val="0"/>
          <w:sz w:val="32"/>
        </w:rPr>
        <w:t>8.44</w:t>
      </w:r>
      <w:r>
        <w:rPr>
          <w:rFonts w:hint="eastAsia" w:ascii="仿宋_GB2312" w:hAnsi="仿宋_GB2312" w:eastAsia="仿宋_GB2312"/>
          <w:sz w:val="32"/>
        </w:rPr>
        <w:t>万元。收入总计</w:t>
      </w:r>
      <w:r>
        <w:rPr>
          <w:rFonts w:hint="eastAsia" w:ascii="仿宋_GB2312" w:hAnsi="仿宋_GB2312" w:eastAsia="仿宋_GB2312"/>
          <w:kern w:val="0"/>
          <w:sz w:val="32"/>
        </w:rPr>
        <w:t>与上年相比，增加563.39万元，增长79.72%，主要原因是：本年单位新增在职教师26人，基本工资及社保医疗收入增加，故收入较上年有所增长。</w:t>
      </w:r>
    </w:p>
    <w:p>
      <w:pPr>
        <w:shd w:val="clear" w:color="auto" w:fill="FFFFFF"/>
        <w:spacing w:line="360" w:lineRule="auto"/>
        <w:ind w:firstLine="640"/>
        <w:rPr>
          <w:rFonts w:eastAsia="Times New Roman"/>
          <w:kern w:val="0"/>
          <w:sz w:val="32"/>
        </w:rPr>
      </w:pPr>
      <w:r>
        <w:rPr>
          <w:rFonts w:hint="eastAsia" w:ascii="仿宋_GB2312" w:hAnsi="仿宋_GB2312" w:eastAsia="仿宋_GB2312"/>
          <w:sz w:val="32"/>
        </w:rPr>
        <w:t>本年支出总计</w:t>
      </w:r>
      <w:r>
        <w:rPr>
          <w:rFonts w:hint="eastAsia" w:ascii="仿宋_GB2312" w:hAnsi="仿宋_GB2312" w:eastAsia="仿宋_GB2312"/>
          <w:kern w:val="0"/>
          <w:sz w:val="32"/>
        </w:rPr>
        <w:t>1,270.12万元，</w:t>
      </w:r>
      <w:r>
        <w:rPr>
          <w:rFonts w:hint="eastAsia" w:ascii="仿宋_GB2312" w:hAnsi="仿宋_GB2312" w:eastAsia="仿宋_GB2312"/>
          <w:sz w:val="32"/>
        </w:rPr>
        <w:t>其中：本年支出合计</w:t>
      </w:r>
      <w:r>
        <w:rPr>
          <w:rFonts w:hint="eastAsia" w:ascii="仿宋_GB2312" w:hAnsi="仿宋_GB2312" w:eastAsia="仿宋_GB2312"/>
          <w:kern w:val="0"/>
          <w:sz w:val="32"/>
        </w:rPr>
        <w:t>1,195.08</w:t>
      </w:r>
      <w:r>
        <w:rPr>
          <w:rFonts w:hint="eastAsia" w:ascii="仿宋_GB2312" w:hAnsi="仿宋_GB2312" w:eastAsia="仿宋_GB2312"/>
          <w:sz w:val="32"/>
        </w:rPr>
        <w:t>万元，结余分配</w:t>
      </w:r>
      <w:r>
        <w:rPr>
          <w:rFonts w:hint="eastAsia" w:ascii="仿宋_GB2312" w:hAnsi="仿宋_GB2312" w:eastAsia="仿宋_GB2312"/>
          <w:kern w:val="0"/>
          <w:sz w:val="32"/>
        </w:rPr>
        <w:t>0.00</w:t>
      </w:r>
      <w:r>
        <w:rPr>
          <w:rFonts w:hint="eastAsia" w:ascii="仿宋_GB2312" w:hAnsi="仿宋_GB2312" w:eastAsia="仿宋_GB2312"/>
          <w:sz w:val="32"/>
        </w:rPr>
        <w:t>万元，年末结转和结余</w:t>
      </w:r>
      <w:r>
        <w:rPr>
          <w:rFonts w:hint="eastAsia" w:ascii="仿宋_GB2312" w:hAnsi="仿宋_GB2312" w:eastAsia="仿宋_GB2312"/>
          <w:kern w:val="0"/>
          <w:sz w:val="32"/>
        </w:rPr>
        <w:t>75.04</w:t>
      </w:r>
      <w:r>
        <w:rPr>
          <w:rFonts w:hint="eastAsia" w:ascii="仿宋_GB2312" w:hAnsi="仿宋_GB2312" w:eastAsia="仿宋_GB2312"/>
          <w:sz w:val="32"/>
        </w:rPr>
        <w:t>万元。支出总计</w:t>
      </w:r>
      <w:r>
        <w:rPr>
          <w:rFonts w:hint="eastAsia" w:ascii="仿宋_GB2312" w:hAnsi="仿宋_GB2312" w:eastAsia="仿宋_GB2312"/>
          <w:kern w:val="0"/>
          <w:sz w:val="32"/>
        </w:rPr>
        <w:t>与上年相比，增加563.39万元，增长79.72%，主要原因是：本年单位新增在职教师26人，基本工资及社保医疗</w:t>
      </w:r>
      <w:r>
        <w:rPr>
          <w:rFonts w:hint="eastAsia" w:ascii="仿宋_GB2312" w:hAnsi="仿宋_GB2312" w:eastAsia="仿宋_GB2312"/>
          <w:kern w:val="0"/>
          <w:sz w:val="32"/>
          <w:lang w:val="en-US" w:eastAsia="zh-CN"/>
        </w:rPr>
        <w:t>支出</w:t>
      </w:r>
      <w:r>
        <w:rPr>
          <w:rFonts w:hint="eastAsia" w:ascii="仿宋_GB2312" w:hAnsi="仿宋_GB2312" w:eastAsia="仿宋_GB2312"/>
          <w:kern w:val="0"/>
          <w:sz w:val="32"/>
        </w:rPr>
        <w:t>增加，故支出较上年有所增长。</w:t>
      </w:r>
    </w:p>
    <w:p>
      <w:pPr>
        <w:spacing w:line="360" w:lineRule="auto"/>
        <w:ind w:firstLine="640"/>
        <w:rPr>
          <w:rFonts w:eastAsia="Times New Roman"/>
          <w:sz w:val="32"/>
        </w:rPr>
      </w:pPr>
      <w:r>
        <w:rPr>
          <w:rFonts w:hint="eastAsia" w:ascii="黑体" w:hAnsi="黑体" w:eastAsia="黑体"/>
          <w:sz w:val="32"/>
          <w:lang w:val="zh-CN"/>
        </w:rPr>
        <w:t>二、收入决算情况说明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收入1,261.68万元，其中：财政拨款收入1,161.37万元，占92.05%；上级补助收入0.00万元，占0.00%；事业收入0.00万元，占0.00%；经营收入0.00万元，占0.00%；附属单位上缴收入0.00万元，占0.00%；其他收入100.31万元，占7.95%。</w:t>
      </w:r>
    </w:p>
    <w:p>
      <w:pPr>
        <w:spacing w:line="360" w:lineRule="auto"/>
        <w:ind w:firstLine="640"/>
        <w:rPr>
          <w:rFonts w:eastAsia="Times New Roman"/>
          <w:sz w:val="32"/>
        </w:rPr>
      </w:pPr>
      <w:r>
        <w:rPr>
          <w:rFonts w:hint="eastAsia" w:ascii="黑体" w:hAnsi="黑体" w:eastAsia="黑体"/>
          <w:sz w:val="32"/>
          <w:lang w:val="zh-CN"/>
        </w:rPr>
        <w:t>三、支出决算情况说明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2022年度本年支出1,195.08万元，其中：基本支出1,033.69万元，占86.50%；项目支出161.39万元，占13.50%；上缴上级支出0.00万元，占0.00%；经营支出0.00万元，占0.00%；对附属单位补助支出0.00万元，占0.00%。</w:t>
      </w:r>
    </w:p>
    <w:p>
      <w:pPr>
        <w:spacing w:line="360" w:lineRule="auto"/>
        <w:ind w:firstLine="640"/>
        <w:rPr>
          <w:rFonts w:eastAsia="Times New Roman"/>
          <w:sz w:val="32"/>
          <w:lang w:val="zh-CN"/>
        </w:rPr>
      </w:pPr>
      <w:r>
        <w:rPr>
          <w:rFonts w:hint="eastAsia" w:ascii="黑体" w:hAnsi="黑体" w:eastAsia="黑体"/>
          <w:sz w:val="32"/>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2022年度财政拨款收入</w:t>
      </w:r>
      <w:r>
        <w:rPr>
          <w:rFonts w:hint="eastAsia" w:ascii="仿宋_GB2312" w:hAnsi="仿宋_GB2312" w:eastAsia="仿宋_GB2312"/>
          <w:sz w:val="32"/>
        </w:rPr>
        <w:t>总计</w:t>
      </w:r>
      <w:r>
        <w:rPr>
          <w:rFonts w:hint="eastAsia" w:ascii="仿宋_GB2312" w:hAnsi="仿宋_GB2312" w:eastAsia="仿宋_GB2312"/>
          <w:kern w:val="0"/>
          <w:sz w:val="32"/>
        </w:rPr>
        <w:t>1,169.81万元，</w:t>
      </w:r>
      <w:r>
        <w:rPr>
          <w:rFonts w:hint="eastAsia" w:ascii="仿宋_GB2312" w:hAnsi="仿宋_GB2312" w:eastAsia="仿宋_GB2312"/>
          <w:sz w:val="32"/>
        </w:rPr>
        <w:t>其中：年初财政拨款结转和结余</w:t>
      </w:r>
      <w:r>
        <w:rPr>
          <w:rFonts w:hint="eastAsia" w:ascii="仿宋_GB2312" w:hAnsi="仿宋_GB2312" w:eastAsia="仿宋_GB2312"/>
          <w:kern w:val="0"/>
          <w:sz w:val="32"/>
        </w:rPr>
        <w:t>8.44</w:t>
      </w:r>
      <w:r>
        <w:rPr>
          <w:rFonts w:hint="eastAsia" w:ascii="仿宋_GB2312" w:hAnsi="仿宋_GB2312" w:eastAsia="仿宋_GB2312"/>
          <w:sz w:val="32"/>
        </w:rPr>
        <w:t>万元，财政拨款本年收入</w:t>
      </w:r>
      <w:r>
        <w:rPr>
          <w:rFonts w:hint="eastAsia" w:ascii="仿宋_GB2312" w:hAnsi="仿宋_GB2312" w:eastAsia="仿宋_GB2312"/>
          <w:kern w:val="0"/>
          <w:sz w:val="32"/>
        </w:rPr>
        <w:t>1,161.37</w:t>
      </w:r>
      <w:r>
        <w:rPr>
          <w:rFonts w:hint="eastAsia" w:ascii="仿宋_GB2312" w:hAnsi="仿宋_GB2312" w:eastAsia="仿宋_GB2312"/>
          <w:sz w:val="32"/>
        </w:rPr>
        <w:t>万元。财政拨款收入总计</w:t>
      </w:r>
      <w:r>
        <w:rPr>
          <w:rFonts w:hint="eastAsia" w:ascii="仿宋_GB2312" w:hAnsi="仿宋_GB2312" w:eastAsia="仿宋_GB2312"/>
          <w:kern w:val="0"/>
          <w:sz w:val="32"/>
        </w:rPr>
        <w:t>与上年相比，增加463.08万元，增长65.52%，主要原因是：本年单位新增在职教师26人，基本工资及社保医疗收入增加，故收入较上年有所增长。</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财政拨款支出</w:t>
      </w:r>
      <w:r>
        <w:rPr>
          <w:rFonts w:hint="eastAsia" w:ascii="仿宋_GB2312" w:hAnsi="仿宋_GB2312" w:eastAsia="仿宋_GB2312"/>
          <w:sz w:val="32"/>
        </w:rPr>
        <w:t>总计</w:t>
      </w:r>
      <w:r>
        <w:rPr>
          <w:rFonts w:hint="eastAsia" w:ascii="仿宋_GB2312" w:hAnsi="仿宋_GB2312" w:eastAsia="仿宋_GB2312"/>
          <w:kern w:val="0"/>
          <w:sz w:val="32"/>
        </w:rPr>
        <w:t>1,169.81万元，</w:t>
      </w:r>
      <w:r>
        <w:rPr>
          <w:rFonts w:hint="eastAsia" w:ascii="仿宋_GB2312" w:hAnsi="仿宋_GB2312" w:eastAsia="仿宋_GB2312"/>
          <w:sz w:val="32"/>
        </w:rPr>
        <w:t>其中：年末财政拨款结转和结余</w:t>
      </w:r>
      <w:r>
        <w:rPr>
          <w:rFonts w:hint="eastAsia" w:ascii="仿宋_GB2312" w:hAnsi="仿宋_GB2312" w:eastAsia="仿宋_GB2312"/>
          <w:kern w:val="0"/>
          <w:sz w:val="32"/>
        </w:rPr>
        <w:t>19.13</w:t>
      </w:r>
      <w:r>
        <w:rPr>
          <w:rFonts w:hint="eastAsia" w:ascii="仿宋_GB2312" w:hAnsi="仿宋_GB2312" w:eastAsia="仿宋_GB2312"/>
          <w:sz w:val="32"/>
        </w:rPr>
        <w:t>万元，财政拨款本年支出</w:t>
      </w:r>
      <w:r>
        <w:rPr>
          <w:rFonts w:hint="eastAsia" w:ascii="仿宋_GB2312" w:hAnsi="仿宋_GB2312" w:eastAsia="仿宋_GB2312"/>
          <w:kern w:val="0"/>
          <w:sz w:val="32"/>
        </w:rPr>
        <w:t>1,150.68</w:t>
      </w:r>
      <w:r>
        <w:rPr>
          <w:rFonts w:hint="eastAsia" w:ascii="仿宋_GB2312" w:hAnsi="仿宋_GB2312" w:eastAsia="仿宋_GB2312"/>
          <w:sz w:val="32"/>
        </w:rPr>
        <w:t>万元。财政拨款支出总计</w:t>
      </w:r>
      <w:r>
        <w:rPr>
          <w:rFonts w:hint="eastAsia" w:ascii="仿宋_GB2312" w:hAnsi="仿宋_GB2312" w:eastAsia="仿宋_GB2312"/>
          <w:kern w:val="0"/>
          <w:sz w:val="32"/>
        </w:rPr>
        <w:t>与上年相比，增加463.08万元，增长65.52%，主要原因是：本年单位新增在职教师26人，基本工资及社保医疗</w:t>
      </w:r>
      <w:r>
        <w:rPr>
          <w:rFonts w:hint="eastAsia" w:ascii="仿宋_GB2312" w:hAnsi="仿宋_GB2312" w:eastAsia="仿宋_GB2312"/>
          <w:kern w:val="0"/>
          <w:sz w:val="32"/>
          <w:lang w:val="en-US" w:eastAsia="zh-CN"/>
        </w:rPr>
        <w:t>支出</w:t>
      </w:r>
      <w:r>
        <w:rPr>
          <w:rFonts w:hint="eastAsia" w:ascii="仿宋_GB2312" w:hAnsi="仿宋_GB2312" w:eastAsia="仿宋_GB2312"/>
          <w:kern w:val="0"/>
          <w:sz w:val="32"/>
        </w:rPr>
        <w:t>增加，故支出较上年有所增长。</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与年初预算数相比情况：财政拨款收入</w:t>
      </w:r>
      <w:r>
        <w:rPr>
          <w:rFonts w:hint="eastAsia" w:ascii="仿宋_GB2312" w:hAnsi="仿宋_GB2312" w:eastAsia="仿宋_GB2312"/>
          <w:sz w:val="32"/>
        </w:rPr>
        <w:t>总计</w:t>
      </w:r>
      <w:r>
        <w:rPr>
          <w:rFonts w:hint="eastAsia" w:ascii="仿宋_GB2312" w:hAnsi="仿宋_GB2312" w:eastAsia="仿宋_GB2312"/>
          <w:kern w:val="0"/>
          <w:sz w:val="32"/>
        </w:rPr>
        <w:t>年初预算数748.07万元，决算数1,169.81万元，预决算差异率56.38%，主要原因是：追加新增在职教师26人的基本工资及社保医疗收入</w:t>
      </w:r>
      <w:r>
        <w:rPr>
          <w:rFonts w:hint="eastAsia" w:ascii="仿宋_GB2312" w:hAnsi="仿宋_GB2312" w:eastAsia="仿宋_GB2312"/>
          <w:kern w:val="0"/>
          <w:sz w:val="32"/>
          <w:lang w:eastAsia="zh-CN"/>
        </w:rPr>
        <w:t>、</w:t>
      </w:r>
      <w:r>
        <w:rPr>
          <w:rFonts w:hint="eastAsia" w:ascii="仿宋_GB2312" w:hAnsi="仿宋_GB2312" w:eastAsia="仿宋_GB2312"/>
          <w:kern w:val="0"/>
          <w:sz w:val="32"/>
        </w:rPr>
        <w:t>城乡义务教育补助经费、贫困生补助项目收入，导致预决算产生差异。财政拨款支出</w:t>
      </w:r>
      <w:r>
        <w:rPr>
          <w:rFonts w:hint="eastAsia" w:ascii="仿宋_GB2312" w:hAnsi="仿宋_GB2312" w:eastAsia="仿宋_GB2312"/>
          <w:sz w:val="32"/>
        </w:rPr>
        <w:t>总计</w:t>
      </w:r>
      <w:r>
        <w:rPr>
          <w:rFonts w:hint="eastAsia" w:ascii="仿宋_GB2312" w:hAnsi="仿宋_GB2312" w:eastAsia="仿宋_GB2312"/>
          <w:kern w:val="0"/>
          <w:sz w:val="32"/>
        </w:rPr>
        <w:t>年初预算数748.07万元，决算数1,169.81万元，预决算差异率56.38%，主要原因是：追加新增在职教师26人的基本工资及社保医疗支出、城乡义务教育补助经费、贫困生补助项目支出，导致预决算产生差异。</w:t>
      </w:r>
    </w:p>
    <w:p>
      <w:pPr>
        <w:spacing w:line="360" w:lineRule="auto"/>
        <w:ind w:firstLine="640"/>
        <w:rPr>
          <w:rFonts w:eastAsia="Times New Roman"/>
          <w:sz w:val="32"/>
          <w:lang w:val="zh-CN"/>
        </w:rPr>
      </w:pPr>
      <w:r>
        <w:rPr>
          <w:rFonts w:hint="eastAsia" w:ascii="黑体" w:hAnsi="黑体" w:eastAsia="黑体"/>
          <w:sz w:val="32"/>
          <w:lang w:val="zh-CN"/>
        </w:rPr>
        <w:t>五、一般公共预算财政拨款支出决算情况说明</w:t>
      </w:r>
    </w:p>
    <w:p>
      <w:pPr>
        <w:ind w:firstLine="640"/>
        <w:rPr>
          <w:rFonts w:eastAsia="Times New Roman"/>
          <w:sz w:val="32"/>
        </w:rPr>
      </w:pPr>
      <w:r>
        <w:rPr>
          <w:rFonts w:hint="eastAsia" w:ascii="黑体" w:hAnsi="黑体" w:eastAsia="黑体"/>
          <w:sz w:val="32"/>
        </w:rPr>
        <w:t>（一）一般公共预算财政拨款支出决算总体情况</w:t>
      </w:r>
    </w:p>
    <w:p>
      <w:pPr>
        <w:spacing w:line="600" w:lineRule="exact"/>
        <w:ind w:firstLine="640"/>
        <w:rPr>
          <w:rFonts w:hint="eastAsia" w:ascii="仿宋_GB2312" w:hAnsi="仿宋_GB2312" w:eastAsia="仿宋_GB2312"/>
          <w:kern w:val="0"/>
          <w:sz w:val="32"/>
        </w:rPr>
      </w:pPr>
      <w:r>
        <w:rPr>
          <w:rFonts w:hint="eastAsia" w:ascii="仿宋_GB2312" w:hAnsi="仿宋_GB2312" w:eastAsia="仿宋_GB2312"/>
          <w:sz w:val="32"/>
        </w:rPr>
        <w:t>2022年度一般公共预算财政拨款支出</w:t>
      </w:r>
      <w:r>
        <w:rPr>
          <w:rFonts w:hint="eastAsia" w:ascii="仿宋_GB2312" w:hAnsi="仿宋_GB2312" w:eastAsia="仿宋_GB2312"/>
          <w:kern w:val="0"/>
          <w:sz w:val="32"/>
        </w:rPr>
        <w:t>1,150.68</w:t>
      </w:r>
      <w:r>
        <w:rPr>
          <w:rFonts w:hint="eastAsia" w:ascii="仿宋_GB2312" w:hAnsi="仿宋_GB2312" w:eastAsia="仿宋_GB2312"/>
          <w:sz w:val="32"/>
        </w:rPr>
        <w:t>万元，占本年支出合计的</w:t>
      </w:r>
      <w:r>
        <w:rPr>
          <w:rFonts w:hint="eastAsia" w:ascii="仿宋_GB2312" w:hAnsi="仿宋_GB2312" w:eastAsia="仿宋_GB2312"/>
          <w:kern w:val="0"/>
          <w:sz w:val="32"/>
        </w:rPr>
        <w:t>100.00%</w:t>
      </w:r>
      <w:r>
        <w:rPr>
          <w:rFonts w:hint="eastAsia" w:ascii="仿宋_GB2312" w:hAnsi="仿宋_GB2312" w:eastAsia="仿宋_GB2312"/>
          <w:sz w:val="32"/>
        </w:rPr>
        <w:t>，与上年相比，</w:t>
      </w:r>
      <w:r>
        <w:rPr>
          <w:rFonts w:hint="eastAsia" w:ascii="仿宋_GB2312" w:hAnsi="仿宋_GB2312" w:eastAsia="仿宋_GB2312"/>
          <w:kern w:val="0"/>
          <w:sz w:val="32"/>
        </w:rPr>
        <w:t>增加463.21万元，增长67.38%，主要原因是：本年单位新增在职教师26人，基本工资及社保医疗收入增加，故</w:t>
      </w:r>
      <w:r>
        <w:rPr>
          <w:rFonts w:hint="eastAsia" w:ascii="仿宋_GB2312" w:hAnsi="仿宋_GB2312" w:eastAsia="仿宋_GB2312"/>
          <w:sz w:val="32"/>
        </w:rPr>
        <w:t>一般公共预算财政拨款</w:t>
      </w:r>
      <w:r>
        <w:rPr>
          <w:rFonts w:hint="eastAsia" w:ascii="仿宋_GB2312" w:hAnsi="仿宋_GB2312" w:eastAsia="仿宋_GB2312"/>
          <w:kern w:val="0"/>
          <w:sz w:val="32"/>
          <w:lang w:val="en-US" w:eastAsia="zh-CN"/>
        </w:rPr>
        <w:t>支出</w:t>
      </w:r>
      <w:r>
        <w:rPr>
          <w:rFonts w:hint="eastAsia" w:ascii="仿宋_GB2312" w:hAnsi="仿宋_GB2312" w:eastAsia="仿宋_GB2312"/>
          <w:kern w:val="0"/>
          <w:sz w:val="32"/>
        </w:rPr>
        <w:t>较上年有所增长。</w:t>
      </w:r>
    </w:p>
    <w:p>
      <w:pPr>
        <w:ind w:firstLine="640"/>
        <w:rPr>
          <w:rFonts w:eastAsia="Times New Roman"/>
          <w:sz w:val="32"/>
        </w:rPr>
      </w:pPr>
      <w:r>
        <w:rPr>
          <w:rFonts w:hint="eastAsia" w:ascii="黑体" w:hAnsi="黑体" w:eastAsia="黑体"/>
          <w:sz w:val="32"/>
        </w:rPr>
        <w:t>（二）一般公共预算财政拨款支出决算结构情况</w:t>
      </w:r>
    </w:p>
    <w:p>
      <w:pPr>
        <w:spacing w:line="600" w:lineRule="exact"/>
        <w:ind w:firstLine="640"/>
        <w:rPr>
          <w:rFonts w:eastAsia="Times New Roman"/>
          <w:kern w:val="0"/>
          <w:sz w:val="32"/>
        </w:rPr>
      </w:pPr>
      <w:r>
        <w:rPr>
          <w:rFonts w:hint="eastAsia" w:ascii="仿宋_GB2312" w:hAnsi="仿宋_GB2312" w:eastAsia="仿宋_GB2312"/>
          <w:sz w:val="32"/>
        </w:rPr>
        <w:t>1.教育支出（类）1,150.68万元，占100.00%</w:t>
      </w:r>
      <w:r>
        <w:rPr>
          <w:rFonts w:hint="eastAsia" w:ascii="仿宋_GB2312" w:hAnsi="仿宋_GB2312" w:eastAsia="仿宋_GB2312"/>
          <w:kern w:val="0"/>
          <w:sz w:val="32"/>
        </w:rPr>
        <w:t>。</w:t>
      </w:r>
    </w:p>
    <w:p>
      <w:pPr>
        <w:ind w:firstLine="640"/>
        <w:rPr>
          <w:rFonts w:eastAsia="Times New Roman"/>
          <w:sz w:val="32"/>
        </w:rPr>
      </w:pPr>
      <w:r>
        <w:rPr>
          <w:rFonts w:hint="eastAsia" w:ascii="黑体" w:hAnsi="黑体" w:eastAsia="黑体"/>
          <w:sz w:val="32"/>
        </w:rPr>
        <w:t>（三）一般公共预算财政拨款支出决算具体情况</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1.教育支出（类）普通教育（款）小学教育（项）:支出决算数为586.31万元，比上年决算增加263.25万元，增长81.49%，主要原因是：我单位本年度新增小学教师</w:t>
      </w:r>
      <w:r>
        <w:rPr>
          <w:rFonts w:ascii="仿宋_GB2312" w:hAnsi="仿宋_GB2312" w:eastAsia="仿宋_GB2312"/>
          <w:kern w:val="0"/>
          <w:sz w:val="32"/>
        </w:rPr>
        <w:t>13</w:t>
      </w:r>
      <w:r>
        <w:rPr>
          <w:rFonts w:hint="eastAsia" w:ascii="仿宋_GB2312" w:hAnsi="仿宋_GB2312" w:eastAsia="仿宋_GB2312"/>
          <w:kern w:val="0"/>
          <w:sz w:val="32"/>
        </w:rPr>
        <w:t>人，人员经费有所增加，故支出较上年有所增长</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2.教育支出（类）普通教育（款）初中教育（项）:支出决算数为564.37万元，比上年决算增加223.78万元，增长65.70%，主要原因是：我单位本年度新增中学教师</w:t>
      </w:r>
      <w:r>
        <w:rPr>
          <w:rFonts w:ascii="仿宋_GB2312" w:hAnsi="仿宋_GB2312" w:eastAsia="仿宋_GB2312"/>
          <w:kern w:val="0"/>
          <w:sz w:val="32"/>
        </w:rPr>
        <w:t>13</w:t>
      </w:r>
      <w:r>
        <w:rPr>
          <w:rFonts w:hint="eastAsia" w:ascii="仿宋_GB2312" w:hAnsi="仿宋_GB2312" w:eastAsia="仿宋_GB2312"/>
          <w:kern w:val="0"/>
          <w:sz w:val="32"/>
        </w:rPr>
        <w:t>人，人员经费有所增加，故支出较上年有所增长</w:t>
      </w:r>
      <w:r>
        <w:rPr>
          <w:rFonts w:hint="eastAsia" w:ascii="仿宋_GB2312" w:hAnsi="仿宋_GB2312" w:eastAsia="仿宋_GB2312"/>
          <w:kern w:val="0"/>
          <w:sz w:val="32"/>
          <w:lang w:eastAsia="zh-CN"/>
        </w:rPr>
        <w:t>；</w:t>
      </w:r>
    </w:p>
    <w:p>
      <w:pPr>
        <w:spacing w:line="600" w:lineRule="exact"/>
        <w:ind w:firstLine="640"/>
        <w:rPr>
          <w:rFonts w:hint="eastAsia" w:ascii="仿宋_GB2312" w:hAnsi="仿宋_GB2312" w:eastAsia="仿宋_GB2312"/>
          <w:kern w:val="0"/>
          <w:sz w:val="32"/>
          <w:lang w:eastAsia="zh-CN"/>
        </w:rPr>
      </w:pPr>
      <w:r>
        <w:rPr>
          <w:rFonts w:hint="eastAsia" w:ascii="仿宋_GB2312" w:hAnsi="仿宋_GB2312" w:eastAsia="仿宋_GB2312"/>
          <w:kern w:val="0"/>
          <w:sz w:val="32"/>
        </w:rPr>
        <w:t>3.社会保障和就业支出（类）民政管理事务（款）基层政权建设和社区治理（项）:支出决算数为0.00万元，比上年决算减少0.36万元，下降100.00%，主要原因是：</w:t>
      </w:r>
      <w:r>
        <w:rPr>
          <w:rFonts w:hint="eastAsia" w:ascii="仿宋_GB2312" w:eastAsia="仿宋_GB2312" w:cs="仿宋_GB2312"/>
          <w:kern w:val="0"/>
          <w:sz w:val="32"/>
          <w:szCs w:val="32"/>
        </w:rPr>
        <w:t>本年此功能科目未支出</w:t>
      </w:r>
      <w:r>
        <w:rPr>
          <w:rFonts w:hint="eastAsia" w:ascii="仿宋_GB2312" w:eastAsia="仿宋_GB2312" w:cs="仿宋_GB2312"/>
          <w:kern w:val="0"/>
          <w:sz w:val="32"/>
          <w:szCs w:val="32"/>
          <w:lang w:eastAsia="zh-CN"/>
        </w:rPr>
        <w:t>；</w:t>
      </w:r>
    </w:p>
    <w:p>
      <w:pPr>
        <w:spacing w:line="600" w:lineRule="exact"/>
        <w:ind w:firstLine="640"/>
        <w:rPr>
          <w:rFonts w:eastAsia="Times New Roman"/>
          <w:kern w:val="0"/>
          <w:sz w:val="32"/>
        </w:rPr>
      </w:pPr>
      <w:r>
        <w:rPr>
          <w:rFonts w:hint="eastAsia" w:ascii="仿宋_GB2312" w:hAnsi="仿宋_GB2312" w:eastAsia="仿宋_GB2312"/>
          <w:kern w:val="0"/>
          <w:sz w:val="32"/>
        </w:rPr>
        <w:t>4.社会保障和就业支出（类）行政事业单位养老支出（款）机关事业单位基本养老保险缴费支出（项）:支出决算数为0.00万元，比上年决算减少23.46万元，下降100.00%，主要原因是：</w:t>
      </w:r>
      <w:bookmarkStart w:id="0" w:name="_Hlk143783239"/>
      <w:r>
        <w:rPr>
          <w:rFonts w:hint="eastAsia" w:ascii="仿宋_GB2312" w:eastAsia="仿宋_GB2312" w:cs="仿宋_GB2312"/>
          <w:kern w:val="0"/>
          <w:sz w:val="32"/>
          <w:szCs w:val="32"/>
        </w:rPr>
        <w:t>本年此功能科目未支出</w:t>
      </w:r>
      <w:bookmarkEnd w:id="0"/>
      <w:r>
        <w:rPr>
          <w:rFonts w:hint="eastAsia" w:ascii="仿宋_GB2312" w:hAnsi="仿宋_GB2312" w:eastAsia="仿宋_GB2312"/>
          <w:kern w:val="0"/>
          <w:sz w:val="32"/>
        </w:rPr>
        <w:t>。</w:t>
      </w:r>
    </w:p>
    <w:p>
      <w:pPr>
        <w:spacing w:line="360" w:lineRule="auto"/>
        <w:ind w:firstLine="640"/>
        <w:rPr>
          <w:rFonts w:eastAsia="Times New Roman"/>
          <w:sz w:val="32"/>
          <w:lang w:val="zh-CN"/>
        </w:rPr>
      </w:pPr>
      <w:r>
        <w:rPr>
          <w:rFonts w:hint="eastAsia" w:ascii="黑体" w:hAnsi="黑体" w:eastAsia="黑体"/>
          <w:sz w:val="32"/>
          <w:lang w:val="zh-CN"/>
        </w:rPr>
        <w:t>六、一般公共预算财政拨款基本支出决算情况说明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2022年度一般公共预算财政拨款基本支出1,033.69万元，其中：</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人员经费880.03万元，包括：基本工资、津贴补贴、奖金、绩效工资、机关事业单位基本养老保险缴费、职工基本医疗保险缴费、公务员医疗补助缴费、其他社会保障缴费、住房公积金。</w:t>
      </w:r>
    </w:p>
    <w:p>
      <w:pPr>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公用经费153.66万元，包括：办公费、水费、电费、物业管理费、劳务费。</w:t>
      </w:r>
    </w:p>
    <w:p>
      <w:pPr>
        <w:spacing w:line="360" w:lineRule="auto"/>
        <w:ind w:firstLine="640"/>
        <w:rPr>
          <w:rFonts w:eastAsia="Times New Roman"/>
          <w:sz w:val="32"/>
        </w:rPr>
      </w:pPr>
      <w:r>
        <w:rPr>
          <w:rFonts w:hint="eastAsia" w:ascii="黑体" w:hAnsi="黑体" w:eastAsia="黑体"/>
          <w:sz w:val="32"/>
          <w:lang w:val="zh-CN"/>
        </w:rPr>
        <w:t>七、财政拨款</w:t>
      </w:r>
      <w:r>
        <w:rPr>
          <w:rFonts w:hint="eastAsia" w:ascii="黑体" w:hAnsi="黑体" w:eastAsia="黑体"/>
          <w:kern w:val="0"/>
          <w:sz w:val="32"/>
        </w:rPr>
        <w:t>“三公”</w:t>
      </w:r>
      <w:r>
        <w:rPr>
          <w:rFonts w:hint="eastAsia" w:ascii="黑体" w:hAnsi="黑体" w:eastAsia="黑体"/>
          <w:sz w:val="32"/>
          <w:lang w:val="zh-CN"/>
        </w:rPr>
        <w:t>经费支出决算情况说明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w:t>
      </w:r>
      <w:r>
        <w:rPr>
          <w:rFonts w:hint="eastAsia" w:ascii="仿宋_GB2312" w:hAnsi="仿宋_GB2312" w:eastAsia="仿宋_GB2312"/>
          <w:sz w:val="32"/>
        </w:rPr>
        <w:t>财政拨款</w:t>
      </w:r>
      <w:r>
        <w:rPr>
          <w:rFonts w:hint="eastAsia" w:ascii="仿宋_GB2312" w:hAnsi="仿宋_GB2312" w:eastAsia="仿宋_GB2312"/>
          <w:kern w:val="0"/>
          <w:sz w:val="32"/>
        </w:rPr>
        <w:t>“三公”经费支出决算0.00万元，比上年增加0.00万元，增长0.00%，主要原因是：</w:t>
      </w:r>
      <w:bookmarkStart w:id="1" w:name="_Hlk143770125"/>
      <w:r>
        <w:rPr>
          <w:rFonts w:hint="eastAsia" w:ascii="仿宋_GB2312" w:eastAsia="仿宋_GB2312" w:cs="仿宋_GB2312"/>
          <w:kern w:val="0"/>
          <w:sz w:val="32"/>
          <w:szCs w:val="32"/>
        </w:rPr>
        <w:t>本年单位无此项支出</w:t>
      </w:r>
      <w:bookmarkEnd w:id="1"/>
      <w:r>
        <w:rPr>
          <w:rFonts w:hint="eastAsia" w:ascii="仿宋_GB2312" w:hAnsi="仿宋_GB2312" w:eastAsia="仿宋_GB2312"/>
          <w:kern w:val="0"/>
          <w:sz w:val="32"/>
        </w:rPr>
        <w:t>。其中：因公出国（境）费支出0.00万元，占0.00%，比上年增加0.00万元，增长0.00%，主要原因是：本年单位无因公出国（境）费支出；公务用车购置及运行维护费支出0.00万元，占0.00%，比上年增加0.00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；公务接待费支出0.00万元，占0.00%，比上年增加0.00万元，增长0.00%，主要原因是：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。具体情况如下：</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公务用车购置及运行维护费0.00万元，其中：公务用车购置费0.00万元，公务用车运行维护费0.00万元。</w:t>
      </w:r>
      <w:bookmarkStart w:id="2" w:name="_Hlk143782590"/>
      <w:r>
        <w:rPr>
          <w:rFonts w:hint="eastAsia" w:ascii="仿宋_GB2312" w:eastAsia="仿宋_GB2312" w:cs="仿宋_GB2312"/>
          <w:kern w:val="0"/>
          <w:sz w:val="32"/>
          <w:szCs w:val="32"/>
        </w:rPr>
        <w:t>公务用车运行维护费开支内容包括</w:t>
      </w:r>
      <w:bookmarkEnd w:id="2"/>
      <w:r>
        <w:rPr>
          <w:rFonts w:hint="eastAsia" w:ascii="仿宋_GB2312" w:eastAsia="仿宋_GB2312" w:cs="仿宋_GB2312"/>
          <w:kern w:val="0"/>
          <w:sz w:val="32"/>
          <w:szCs w:val="32"/>
          <w:lang w:val="en-US" w:eastAsia="zh-CN"/>
        </w:rPr>
        <w:t>本年单位无此项支出</w:t>
      </w:r>
      <w:r>
        <w:rPr>
          <w:rFonts w:hint="eastAsia" w:ascii="仿宋_GB2312" w:hAnsi="仿宋_GB2312" w:eastAsia="仿宋_GB2312"/>
          <w:kern w:val="0"/>
          <w:sz w:val="32"/>
        </w:rPr>
        <w:t>。公务用车购置数0辆，公务用车保有量0辆。</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公务接待费0.00万元，开支内容包括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。单位全年安排的国内公务接待0批次，0人次。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w:t>
      </w:r>
      <w:r>
        <w:rPr>
          <w:rFonts w:hint="eastAsia" w:ascii="仿宋_GB2312" w:hAnsi="仿宋_GB2312" w:eastAsia="仿宋_GB2312"/>
          <w:sz w:val="32"/>
        </w:rPr>
        <w:t>全年</w:t>
      </w:r>
      <w:r>
        <w:rPr>
          <w:rFonts w:hint="eastAsia" w:ascii="仿宋_GB2312" w:hAnsi="仿宋_GB2312" w:eastAsia="仿宋_GB2312"/>
          <w:kern w:val="0"/>
          <w:sz w:val="32"/>
        </w:rPr>
        <w:t>预算</w:t>
      </w:r>
      <w:r>
        <w:rPr>
          <w:rFonts w:hint="eastAsia" w:ascii="仿宋_GB2312" w:hAnsi="仿宋_GB2312" w:eastAsia="仿宋_GB2312"/>
          <w:kern w:val="0"/>
          <w:sz w:val="32"/>
          <w:lang w:val="zh-CN"/>
        </w:rPr>
        <w:t>数</w:t>
      </w:r>
      <w:r>
        <w:rPr>
          <w:rFonts w:hint="eastAsia" w:ascii="仿宋_GB2312" w:hAnsi="仿宋_GB2312" w:eastAsia="仿宋_GB2312"/>
          <w:kern w:val="0"/>
          <w:sz w:val="32"/>
        </w:rPr>
        <w:t>相比情况</w:t>
      </w:r>
      <w:r>
        <w:rPr>
          <w:rFonts w:hint="eastAsia" w:ascii="仿宋_GB2312" w:hAnsi="仿宋_GB2312" w:eastAsia="仿宋_GB2312"/>
          <w:sz w:val="32"/>
        </w:rPr>
        <w:t>：</w:t>
      </w:r>
      <w:r>
        <w:rPr>
          <w:rFonts w:eastAsia="Times New Roman"/>
          <w:kern w:val="0"/>
          <w:sz w:val="32"/>
        </w:rPr>
        <w:t>“</w:t>
      </w:r>
      <w:r>
        <w:rPr>
          <w:rFonts w:hint="eastAsia" w:ascii="仿宋_GB2312" w:hAnsi="仿宋_GB2312" w:eastAsia="仿宋_GB2312"/>
          <w:kern w:val="0"/>
          <w:sz w:val="32"/>
        </w:rPr>
        <w:t>三公</w:t>
      </w:r>
      <w:r>
        <w:rPr>
          <w:rFonts w:eastAsia="Times New Roman"/>
          <w:kern w:val="0"/>
          <w:sz w:val="32"/>
        </w:rPr>
        <w:t>”</w:t>
      </w:r>
      <w:r>
        <w:rPr>
          <w:rFonts w:hint="eastAsia" w:ascii="仿宋_GB2312" w:hAnsi="仿宋_GB2312" w:eastAsia="仿宋_GB2312"/>
          <w:kern w:val="0"/>
          <w:sz w:val="32"/>
        </w:rPr>
        <w:t>经费支出</w:t>
      </w:r>
      <w:r>
        <w:rPr>
          <w:rFonts w:hint="eastAsia" w:ascii="仿宋_GB2312" w:hAnsi="仿宋_GB2312" w:eastAsia="仿宋_GB2312"/>
          <w:sz w:val="32"/>
        </w:rPr>
        <w:t>全年预算数</w:t>
      </w:r>
      <w:r>
        <w:rPr>
          <w:rFonts w:hint="eastAsia" w:ascii="仿宋_GB2312" w:hAnsi="仿宋_GB2312" w:eastAsia="仿宋_GB2312"/>
          <w:kern w:val="0"/>
          <w:sz w:val="32"/>
        </w:rPr>
        <w:t>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；公务用车运行费全年预算数0.00万元，决算数0.00万元，预决算差异率0.00%，主要原因是：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；公务接待费全年预算数0.00万元，决算数0.00万元，预决算差异率0.00%，主要原因是：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w:t>
      </w:r>
    </w:p>
    <w:p>
      <w:pPr>
        <w:spacing w:line="360" w:lineRule="auto"/>
        <w:ind w:firstLine="640"/>
        <w:rPr>
          <w:rFonts w:eastAsia="Times New Roman"/>
          <w:sz w:val="32"/>
          <w:lang w:val="zh-CN"/>
        </w:rPr>
      </w:pPr>
      <w:r>
        <w:rPr>
          <w:rFonts w:hint="eastAsia" w:ascii="黑体" w:hAnsi="黑体" w:eastAsia="黑体"/>
          <w:sz w:val="32"/>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政府性基金预算年初结转和结余0.00万元，财政拨款收入0.00万元，与上年相比，增加0.00万元，增长0.00%,主要原因是：本年单位无政府性基金财政拨款收入。政府性基金预算年末结转结余0.00万元，财政拨款支出0.00万元，与上年相比，减少10.83万元，下降100.00%,主要原因是：本年单位无雪上传统项目支出，故支出与上年相比有所减少。</w:t>
      </w:r>
    </w:p>
    <w:p>
      <w:pPr>
        <w:shd w:val="clear" w:color="auto" w:fill="FFFFFF"/>
        <w:spacing w:line="360" w:lineRule="auto"/>
        <w:ind w:firstLine="640"/>
        <w:rPr>
          <w:rFonts w:eastAsia="Times New Roman"/>
          <w:kern w:val="0"/>
          <w:sz w:val="32"/>
        </w:rPr>
      </w:pPr>
      <w:r>
        <w:rPr>
          <w:rFonts w:hint="eastAsia" w:ascii="仿宋_GB2312" w:hAnsi="仿宋_GB2312" w:eastAsia="仿宋_GB2312"/>
          <w:color w:val="000000"/>
          <w:sz w:val="32"/>
        </w:rPr>
        <w:t>政府性基金预算财政拨款支出</w:t>
      </w:r>
      <w:r>
        <w:rPr>
          <w:rFonts w:hint="eastAsia" w:ascii="仿宋_GB2312" w:hAnsi="仿宋_GB2312" w:eastAsia="仿宋_GB2312"/>
          <w:color w:val="000000"/>
          <w:kern w:val="0"/>
          <w:sz w:val="32"/>
        </w:rPr>
        <w:t>0.00</w:t>
      </w:r>
      <w:r>
        <w:rPr>
          <w:rFonts w:hint="eastAsia" w:ascii="仿宋_GB2312" w:hAnsi="仿宋_GB2312" w:eastAsia="仿宋_GB2312"/>
          <w:color w:val="000000"/>
          <w:sz w:val="32"/>
        </w:rPr>
        <w:t>万元。按功能分类科目项级科目公开，其中：</w:t>
      </w:r>
    </w:p>
    <w:p>
      <w:pPr>
        <w:shd w:val="clear" w:color="auto" w:fill="FFFFFF"/>
        <w:autoSpaceDE w:val="0"/>
        <w:autoSpaceDN w:val="0"/>
        <w:adjustRightInd w:val="0"/>
        <w:spacing w:line="360" w:lineRule="auto"/>
        <w:ind w:firstLine="640"/>
        <w:rPr>
          <w:rFonts w:hint="eastAsia" w:ascii="仿宋_GB2312" w:eastAsia="仿宋_GB2312" w:cs="仿宋_GB2312"/>
          <w:kern w:val="0"/>
          <w:sz w:val="32"/>
          <w:szCs w:val="32"/>
        </w:rPr>
      </w:pPr>
      <w:r>
        <w:rPr>
          <w:rFonts w:hint="eastAsia" w:ascii="仿宋_GB2312" w:eastAsia="仿宋_GB2312" w:cs="仿宋_GB2312"/>
          <w:kern w:val="0"/>
          <w:sz w:val="32"/>
          <w:szCs w:val="32"/>
        </w:rPr>
        <w:t>我单位本年无政府性基金预算财政拨款支出。</w:t>
      </w:r>
    </w:p>
    <w:p>
      <w:pPr>
        <w:spacing w:line="360" w:lineRule="auto"/>
        <w:ind w:firstLine="640"/>
        <w:rPr>
          <w:rFonts w:eastAsia="Times New Roman"/>
          <w:sz w:val="32"/>
          <w:lang w:val="zh-CN"/>
        </w:rPr>
      </w:pPr>
      <w:r>
        <w:rPr>
          <w:rFonts w:hint="eastAsia" w:ascii="黑体" w:hAnsi="黑体" w:eastAsia="黑体"/>
          <w:sz w:val="32"/>
          <w:lang w:val="zh-CN"/>
        </w:rPr>
        <w:t>九、国有资本经营预算财政拨款收入支出决算情况说明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我单位本年度无国有资本经营预算财政拨款收入、支出及结转和结余，国有资本经营预算财政拨款收入支出决算表为空表。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十、其他重要事项的情况说明</w:t>
      </w:r>
    </w:p>
    <w:p>
      <w:pPr>
        <w:spacing w:line="360" w:lineRule="auto"/>
        <w:ind w:firstLine="640"/>
        <w:rPr>
          <w:rFonts w:eastAsia="Times New Roman"/>
          <w:sz w:val="32"/>
          <w:lang w:val="zh-CN"/>
        </w:rPr>
      </w:pPr>
      <w:r>
        <w:rPr>
          <w:rFonts w:hint="eastAsia" w:ascii="黑体" w:hAnsi="黑体" w:eastAsia="黑体"/>
          <w:sz w:val="32"/>
          <w:lang w:val="zh-CN"/>
        </w:rPr>
        <w:t xml:space="preserve">（一）机关运行经费支出情况 </w:t>
      </w:r>
    </w:p>
    <w:p>
      <w:pPr>
        <w:spacing w:line="360" w:lineRule="auto"/>
        <w:ind w:firstLine="640"/>
        <w:rPr>
          <w:rFonts w:eastAsia="Times New Roman"/>
          <w:kern w:val="0"/>
          <w:sz w:val="32"/>
        </w:rPr>
      </w:pPr>
      <w:r>
        <w:rPr>
          <w:rFonts w:hint="eastAsia" w:ascii="仿宋_GB2312" w:hAnsi="仿宋_GB2312" w:eastAsia="仿宋_GB2312"/>
          <w:kern w:val="0"/>
          <w:sz w:val="32"/>
        </w:rPr>
        <w:t>2022年度乌鲁木齐市米东区第123中学单位公用经费153.66万元，比上年增加26.31万元，增长20.66%，主要原因是：本年单位办公费、</w:t>
      </w:r>
      <w:r>
        <w:rPr>
          <w:rFonts w:hint="eastAsia" w:ascii="仿宋_GB2312" w:hAnsi="仿宋_GB2312" w:eastAsia="仿宋_GB2312"/>
          <w:kern w:val="0"/>
          <w:sz w:val="32"/>
          <w:lang w:val="en-US" w:eastAsia="zh-CN"/>
        </w:rPr>
        <w:t>临聘人员增加劳务费增加</w:t>
      </w:r>
      <w:r>
        <w:rPr>
          <w:rFonts w:hint="eastAsia" w:ascii="仿宋_GB2312" w:hAnsi="仿宋_GB2312" w:eastAsia="仿宋_GB2312"/>
          <w:kern w:val="0"/>
          <w:sz w:val="32"/>
        </w:rPr>
        <w:t>。</w:t>
      </w:r>
    </w:p>
    <w:p>
      <w:pPr>
        <w:spacing w:line="360" w:lineRule="auto"/>
        <w:ind w:firstLine="640"/>
        <w:rPr>
          <w:rFonts w:eastAsia="Times New Roman"/>
          <w:sz w:val="32"/>
        </w:rPr>
      </w:pPr>
      <w:r>
        <w:rPr>
          <w:rFonts w:hint="eastAsia" w:ascii="黑体" w:hAnsi="黑体" w:eastAsia="黑体"/>
          <w:sz w:val="32"/>
        </w:rPr>
        <w:t>（</w:t>
      </w:r>
      <w:r>
        <w:rPr>
          <w:rFonts w:hint="eastAsia" w:ascii="黑体" w:hAnsi="黑体" w:eastAsia="黑体"/>
          <w:sz w:val="32"/>
          <w:lang w:val="zh-CN"/>
        </w:rPr>
        <w:t>二</w:t>
      </w:r>
      <w:r>
        <w:rPr>
          <w:rFonts w:hint="eastAsia" w:ascii="黑体" w:hAnsi="黑体" w:eastAsia="黑体"/>
          <w:sz w:val="32"/>
        </w:rPr>
        <w:t>）</w:t>
      </w:r>
      <w:r>
        <w:rPr>
          <w:rFonts w:hint="eastAsia" w:ascii="黑体" w:hAnsi="黑体" w:eastAsia="黑体"/>
          <w:sz w:val="32"/>
          <w:lang w:val="zh-CN"/>
        </w:rPr>
        <w:t>政府采购情况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2022年度政府采购支出总额4.00万元，其中：政府采购货物支出4.00万元、政府采购工程支出0.00万元、政府采购服务支出0.00万元。</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授予中小企业合同金额4.00万元，占政府采购支出总额的100.00%，其中：授予小微企业合同金额4.00万元，占政府采购支出总额的100.00%。</w:t>
      </w:r>
    </w:p>
    <w:p>
      <w:pPr>
        <w:spacing w:line="360" w:lineRule="auto"/>
        <w:ind w:firstLine="640"/>
        <w:rPr>
          <w:rFonts w:eastAsia="Times New Roman"/>
          <w:sz w:val="32"/>
          <w:lang w:val="zh-CN"/>
        </w:rPr>
      </w:pPr>
      <w:r>
        <w:rPr>
          <w:rFonts w:hint="eastAsia" w:ascii="黑体" w:hAnsi="黑体" w:eastAsia="黑体"/>
          <w:sz w:val="32"/>
          <w:lang w:val="zh-CN"/>
        </w:rPr>
        <w:t>（三）国有资产占用情况说明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截止2022年12月31日，</w:t>
      </w:r>
      <w:r>
        <w:rPr>
          <w:rFonts w:hint="eastAsia" w:ascii="仿宋_GB2312" w:hAnsi="仿宋_GB2312" w:eastAsia="仿宋_GB2312"/>
          <w:sz w:val="32"/>
        </w:rPr>
        <w:t>固定资产原值</w:t>
      </w:r>
      <w:r>
        <w:rPr>
          <w:rFonts w:hint="eastAsia" w:ascii="仿宋_GB2312" w:hAnsi="仿宋_GB2312" w:eastAsia="仿宋_GB2312"/>
          <w:kern w:val="0"/>
          <w:sz w:val="32"/>
        </w:rPr>
        <w:t>6,760.05</w:t>
      </w:r>
      <w:r>
        <w:rPr>
          <w:rFonts w:hint="eastAsia" w:ascii="仿宋_GB2312" w:hAnsi="仿宋_GB2312" w:eastAsia="仿宋_GB2312"/>
          <w:sz w:val="32"/>
        </w:rPr>
        <w:t>万元，</w:t>
      </w:r>
      <w:r>
        <w:rPr>
          <w:rFonts w:hint="eastAsia" w:ascii="仿宋_GB2312" w:hAnsi="仿宋_GB2312" w:eastAsia="仿宋_GB2312"/>
          <w:kern w:val="0"/>
          <w:sz w:val="32"/>
        </w:rPr>
        <w:t>房屋15,942.44平方米，价值6,460.57万元。车辆0辆，价值0.00万元，其中：副部（省）级及以上领导用车0辆、主要领导干部用车0辆、机要通信用车0辆、应急保障用车0辆、执法执勤用车0辆、特种专业技术用车0辆、离退休干部用车0辆、其他用车0辆，其他用车主要是：</w:t>
      </w:r>
      <w:bookmarkStart w:id="3" w:name="_Hlk143772663"/>
      <w:r>
        <w:rPr>
          <w:rFonts w:hint="eastAsia" w:ascii="仿宋_GB2312" w:eastAsia="仿宋_GB2312" w:cs="仿宋_GB2312"/>
          <w:kern w:val="0"/>
          <w:sz w:val="32"/>
          <w:szCs w:val="32"/>
        </w:rPr>
        <w:t>单位无其他车辆</w:t>
      </w:r>
      <w:bookmarkEnd w:id="3"/>
      <w:r>
        <w:rPr>
          <w:rFonts w:hint="eastAsia" w:ascii="仿宋_GB2312" w:hAnsi="仿宋_GB2312" w:eastAsia="仿宋_GB2312"/>
          <w:kern w:val="0"/>
          <w:sz w:val="32"/>
        </w:rPr>
        <w:t>；单价100</w:t>
      </w:r>
      <w:r>
        <w:rPr>
          <w:rFonts w:hint="eastAsia" w:ascii="仿宋_GB2312" w:hAnsi="仿宋_GB2312" w:eastAsia="仿宋_GB2312"/>
          <w:sz w:val="32"/>
        </w:rPr>
        <w:t>万元（含）以上设备（不含车辆）</w:t>
      </w:r>
      <w:r>
        <w:rPr>
          <w:rFonts w:hint="eastAsia" w:ascii="仿宋_GB2312" w:hAnsi="仿宋_GB2312" w:eastAsia="仿宋_GB2312"/>
          <w:kern w:val="0"/>
          <w:sz w:val="32"/>
        </w:rPr>
        <w:t>0台（套）。</w:t>
      </w:r>
    </w:p>
    <w:p>
      <w:pPr>
        <w:spacing w:line="360" w:lineRule="auto"/>
        <w:ind w:firstLine="640"/>
        <w:rPr>
          <w:rFonts w:eastAsia="Times New Roman"/>
          <w:sz w:val="32"/>
          <w:lang w:val="zh-CN"/>
        </w:rPr>
      </w:pPr>
      <w:r>
        <w:rPr>
          <w:rFonts w:hint="eastAsia" w:ascii="黑体" w:hAnsi="黑体" w:eastAsia="黑体"/>
          <w:sz w:val="32"/>
          <w:lang w:val="zh-CN"/>
        </w:rPr>
        <w:t>十一、预算绩效的情况说明</w:t>
      </w:r>
    </w:p>
    <w:p>
      <w:pPr>
        <w:shd w:val="clear" w:color="auto" w:fill="FFFFFF"/>
        <w:spacing w:line="360" w:lineRule="auto"/>
        <w:ind w:firstLine="640"/>
        <w:rPr>
          <w:rFonts w:hint="eastAsia" w:ascii="仿宋_GB2312" w:hAnsi="仿宋_GB2312" w:eastAsia="仿宋_GB2312"/>
          <w:kern w:val="0"/>
          <w:sz w:val="32"/>
        </w:rPr>
      </w:pPr>
      <w:bookmarkStart w:id="5" w:name="_GoBack"/>
      <w:r>
        <w:rPr>
          <w:rFonts w:hint="eastAsia" w:ascii="仿宋_GB2312" w:hAnsi="仿宋_GB2312" w:eastAsia="仿宋_GB2312"/>
          <w:kern w:val="0"/>
          <w:sz w:val="32"/>
        </w:rPr>
        <w:t>根据预算绩效管理要求，我单位2022年度开展预算绩效评价项目3个，全年预算数</w:t>
      </w:r>
      <w:r>
        <w:rPr>
          <w:rFonts w:hint="eastAsia" w:ascii="仿宋_GB2312" w:hAnsi="仿宋_GB2312" w:eastAsia="仿宋_GB2312"/>
          <w:kern w:val="0"/>
          <w:sz w:val="32"/>
        </w:rPr>
        <w:t>228.77万元，全年执行数</w:t>
      </w:r>
      <w:r>
        <w:rPr>
          <w:rFonts w:hint="eastAsia" w:ascii="仿宋_GB2312" w:hAnsi="仿宋_GB2312" w:eastAsia="仿宋_GB2312"/>
          <w:kern w:val="0"/>
          <w:sz w:val="32"/>
        </w:rPr>
        <w:t>116.99万元。</w:t>
      </w:r>
      <w:r>
        <w:rPr>
          <w:rFonts w:hint="eastAsia" w:ascii="仿宋_GB2312" w:hAnsi="仿宋_GB2312" w:eastAsia="仿宋_GB2312"/>
          <w:kern w:val="0"/>
          <w:sz w:val="32"/>
        </w:rPr>
        <w:t>预算绩效管理取得的成效：一是提高资金利用率</w:t>
      </w:r>
      <w:r>
        <w:rPr>
          <w:rFonts w:hint="eastAsia" w:ascii="仿宋_GB2312" w:hAnsi="仿宋_GB2312" w:eastAsia="仿宋_GB2312"/>
          <w:kern w:val="0"/>
          <w:sz w:val="32"/>
        </w:rPr>
        <w:t>；二是有计划合理的使用资金</w:t>
      </w:r>
      <w:r>
        <w:rPr>
          <w:rFonts w:hint="eastAsia" w:ascii="仿宋_GB2312" w:hAnsi="仿宋_GB2312" w:eastAsia="仿宋_GB2312"/>
          <w:kern w:val="0"/>
          <w:sz w:val="32"/>
        </w:rPr>
        <w:t>。发现的问题及原因：一是学校各个部门之间职能不明确，个别工作分工不清晰，有部门之间推拖的现象；财务人员业务水平有待提高，应及时给领导反馈资金使用情况，给领导决策资金使用提供依据</w:t>
      </w:r>
      <w:r>
        <w:rPr>
          <w:rFonts w:hint="eastAsia" w:ascii="仿宋_GB2312" w:hAnsi="仿宋_GB2312" w:eastAsia="仿宋_GB2312"/>
          <w:kern w:val="0"/>
          <w:sz w:val="32"/>
        </w:rPr>
        <w:t>；二是</w:t>
      </w:r>
      <w:bookmarkStart w:id="4" w:name="_Hlk143792082"/>
      <w:r>
        <w:rPr>
          <w:rFonts w:hint="eastAsia" w:ascii="仿宋_GB2312" w:hAnsi="仿宋_GB2312" w:eastAsia="仿宋_GB2312"/>
          <w:kern w:val="0"/>
          <w:sz w:val="32"/>
        </w:rPr>
        <w:t>对个别项目资金使用方面预算不够细致</w:t>
      </w:r>
      <w:bookmarkEnd w:id="4"/>
      <w:r>
        <w:rPr>
          <w:rFonts w:hint="eastAsia" w:ascii="仿宋_GB2312" w:hAnsi="仿宋_GB2312" w:eastAsia="仿宋_GB2312"/>
          <w:kern w:val="0"/>
          <w:sz w:val="32"/>
        </w:rPr>
        <w:t>。下一步改进措施：一是进一步加强对绩效管理工作的组织领导，提高对预算绩效管理工作重要性的认识，总结经验查找问题，抓紧研究制定更全面更完善的绩效评价管理办法</w:t>
      </w:r>
      <w:r>
        <w:rPr>
          <w:rFonts w:hint="eastAsia" w:ascii="仿宋_GB2312" w:hAnsi="仿宋_GB2312" w:eastAsia="仿宋_GB2312"/>
          <w:kern w:val="0"/>
          <w:sz w:val="32"/>
        </w:rPr>
        <w:t>；二是结合绩效工作考核制度，加大对全面实施预算绩效管理和绩效管理工作的学习力度，让“花钱必问效，无效必问责”的理念深入工作每个环节</w:t>
      </w:r>
      <w:r>
        <w:rPr>
          <w:rFonts w:hint="eastAsia" w:ascii="仿宋_GB2312" w:hAnsi="仿宋_GB2312" w:eastAsia="仿宋_GB2312"/>
          <w:kern w:val="0"/>
          <w:sz w:val="32"/>
        </w:rPr>
        <w:t>。具体项目自评情况附项目支出绩效自评表。</w:t>
      </w:r>
    </w:p>
    <w:bookmarkEnd w:id="5"/>
    <w:tbl>
      <w:tblPr>
        <w:tblStyle w:val="4"/>
        <w:tblW w:w="4998" w:type="pct"/>
        <w:tblInd w:w="0" w:type="dxa"/>
        <w:tblLayout w:type="fixed"/>
        <w:tblCellMar>
          <w:top w:w="0" w:type="dxa"/>
          <w:left w:w="108" w:type="dxa"/>
          <w:bottom w:w="0" w:type="dxa"/>
          <w:right w:w="108" w:type="dxa"/>
        </w:tblCellMar>
      </w:tblPr>
      <w:tblGrid>
        <w:gridCol w:w="669"/>
        <w:gridCol w:w="683"/>
        <w:gridCol w:w="682"/>
        <w:gridCol w:w="349"/>
        <w:gridCol w:w="1199"/>
        <w:gridCol w:w="122"/>
        <w:gridCol w:w="1216"/>
        <w:gridCol w:w="836"/>
        <w:gridCol w:w="719"/>
        <w:gridCol w:w="738"/>
        <w:gridCol w:w="175"/>
        <w:gridCol w:w="643"/>
        <w:gridCol w:w="821"/>
      </w:tblGrid>
      <w:tr>
        <w:tblPrEx>
          <w:tblCellMar>
            <w:top w:w="0" w:type="dxa"/>
            <w:left w:w="108" w:type="dxa"/>
            <w:bottom w:w="0" w:type="dxa"/>
            <w:right w:w="108" w:type="dxa"/>
          </w:tblCellMar>
        </w:tblPrEx>
        <w:trPr>
          <w:trHeight w:val="405" w:hRule="atLeast"/>
        </w:trPr>
        <w:tc>
          <w:tcPr>
            <w:tcW w:w="5000" w:type="pct"/>
            <w:gridSpan w:val="13"/>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3"/>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6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35" w:type="pct"/>
            <w:gridSpan w:val="11"/>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公用经费---提前下达2022城乡义务教育直达资金（乌财科教【2021】96号120号【2022】23号）</w:t>
            </w:r>
          </w:p>
        </w:tc>
      </w:tr>
      <w:tr>
        <w:tblPrEx>
          <w:tblCellMar>
            <w:top w:w="0" w:type="dxa"/>
            <w:left w:w="108" w:type="dxa"/>
            <w:bottom w:w="0" w:type="dxa"/>
            <w:right w:w="108" w:type="dxa"/>
          </w:tblCellMar>
        </w:tblPrEx>
        <w:trPr>
          <w:trHeight w:val="396" w:hRule="atLeast"/>
        </w:trPr>
        <w:tc>
          <w:tcPr>
            <w:tcW w:w="76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015"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第123中学</w:t>
            </w:r>
          </w:p>
        </w:tc>
        <w:tc>
          <w:tcPr>
            <w:tcW w:w="8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42"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第123中学</w:t>
            </w:r>
          </w:p>
        </w:tc>
      </w:tr>
      <w:tr>
        <w:tblPrEx>
          <w:tblCellMar>
            <w:top w:w="0" w:type="dxa"/>
            <w:left w:w="108" w:type="dxa"/>
            <w:bottom w:w="0" w:type="dxa"/>
            <w:right w:w="108" w:type="dxa"/>
          </w:tblCellMar>
        </w:tblPrEx>
        <w:trPr>
          <w:trHeight w:val="396" w:hRule="atLeast"/>
        </w:trPr>
        <w:tc>
          <w:tcPr>
            <w:tcW w:w="76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5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75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8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6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6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75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110.71</w:t>
            </w:r>
          </w:p>
        </w:tc>
        <w:tc>
          <w:tcPr>
            <w:tcW w:w="8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46.07</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41.61%</w:t>
            </w:r>
          </w:p>
        </w:tc>
        <w:tc>
          <w:tcPr>
            <w:tcW w:w="46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4.16分</w:t>
            </w:r>
          </w:p>
        </w:tc>
      </w:tr>
      <w:tr>
        <w:tblPrEx>
          <w:tblCellMar>
            <w:top w:w="0" w:type="dxa"/>
            <w:left w:w="108" w:type="dxa"/>
            <w:bottom w:w="0" w:type="dxa"/>
            <w:right w:w="108" w:type="dxa"/>
          </w:tblCellMar>
        </w:tblPrEx>
        <w:trPr>
          <w:trHeight w:val="396" w:hRule="atLeast"/>
        </w:trPr>
        <w:tc>
          <w:tcPr>
            <w:tcW w:w="76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75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110.71</w:t>
            </w:r>
          </w:p>
        </w:tc>
        <w:tc>
          <w:tcPr>
            <w:tcW w:w="8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46.07</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6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6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5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8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6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6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5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8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1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6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7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401"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219"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401"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本项目通过缴纳全年公用暖气费，支付12个月学校安保服务费，维修学校设施，可改善我校办学硬件设施，有效改善校园环境，明显提高办学条件，推动义务教育均衡化发展。</w:t>
            </w:r>
          </w:p>
        </w:tc>
        <w:tc>
          <w:tcPr>
            <w:tcW w:w="2219"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该项目支付本单位8个月学校安保服务费，维修学校设施，改善我校办学硬件设施，有效改善校园环境，明显提高办学条件，推动义务教育均衡化发展。</w:t>
            </w:r>
          </w:p>
        </w:tc>
      </w:tr>
      <w:tr>
        <w:tblPrEx>
          <w:tblCellMar>
            <w:top w:w="0" w:type="dxa"/>
            <w:left w:w="108" w:type="dxa"/>
            <w:bottom w:w="0" w:type="dxa"/>
            <w:right w:w="108" w:type="dxa"/>
          </w:tblCellMar>
        </w:tblPrEx>
        <w:trPr>
          <w:trHeight w:val="396" w:hRule="atLeast"/>
        </w:trPr>
        <w:tc>
          <w:tcPr>
            <w:tcW w:w="37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8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943"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68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7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40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1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82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43"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8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2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8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9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供暖面积</w:t>
            </w:r>
          </w:p>
        </w:tc>
        <w:tc>
          <w:tcPr>
            <w:tcW w:w="68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&gt;=15942.44平方米</w:t>
            </w:r>
          </w:p>
        </w:tc>
        <w:tc>
          <w:tcPr>
            <w:tcW w:w="47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15942.44平方米</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8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9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基础设施维护次数</w:t>
            </w:r>
          </w:p>
        </w:tc>
        <w:tc>
          <w:tcPr>
            <w:tcW w:w="68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&gt;=12次</w:t>
            </w:r>
          </w:p>
        </w:tc>
        <w:tc>
          <w:tcPr>
            <w:tcW w:w="47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12次</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8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9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保安人数</w:t>
            </w:r>
          </w:p>
        </w:tc>
        <w:tc>
          <w:tcPr>
            <w:tcW w:w="68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&gt;=4人</w:t>
            </w:r>
          </w:p>
        </w:tc>
        <w:tc>
          <w:tcPr>
            <w:tcW w:w="47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4人</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8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9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供暖面积覆盖率</w:t>
            </w:r>
          </w:p>
        </w:tc>
        <w:tc>
          <w:tcPr>
            <w:tcW w:w="68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7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8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9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保安持证上岗率</w:t>
            </w:r>
          </w:p>
        </w:tc>
        <w:tc>
          <w:tcPr>
            <w:tcW w:w="68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7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8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9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68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47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8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9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项目预算控制率</w:t>
            </w:r>
          </w:p>
        </w:tc>
        <w:tc>
          <w:tcPr>
            <w:tcW w:w="68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&lt;=100%</w:t>
            </w:r>
          </w:p>
        </w:tc>
        <w:tc>
          <w:tcPr>
            <w:tcW w:w="47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41.61%</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8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2022年度因疫情原因，部分款项支付暂时未到位。</w:t>
            </w:r>
          </w:p>
        </w:tc>
      </w:tr>
      <w:tr>
        <w:tblPrEx>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94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8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9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改善教学条件</w:t>
            </w:r>
          </w:p>
        </w:tc>
        <w:tc>
          <w:tcPr>
            <w:tcW w:w="68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有所改善</w:t>
            </w:r>
          </w:p>
        </w:tc>
        <w:tc>
          <w:tcPr>
            <w:tcW w:w="47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基本达到预期效果</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23.7</w:t>
            </w:r>
          </w:p>
        </w:tc>
        <w:tc>
          <w:tcPr>
            <w:tcW w:w="8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2022年度因疫情原因，下半学期部分教学设施为安装到位。</w:t>
            </w:r>
          </w:p>
        </w:tc>
      </w:tr>
      <w:tr>
        <w:tblPrEx>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94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8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94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8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943"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安保人员满意度</w:t>
            </w:r>
          </w:p>
        </w:tc>
        <w:tc>
          <w:tcPr>
            <w:tcW w:w="68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7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82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51"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1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87.86分</w:t>
            </w:r>
          </w:p>
        </w:tc>
        <w:tc>
          <w:tcPr>
            <w:tcW w:w="82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24"/>
        </w:rPr>
      </w:pPr>
    </w:p>
    <w:tbl>
      <w:tblPr>
        <w:tblStyle w:val="4"/>
        <w:tblW w:w="4949" w:type="pct"/>
        <w:tblInd w:w="0" w:type="dxa"/>
        <w:tblLayout w:type="fixed"/>
        <w:tblCellMar>
          <w:top w:w="0" w:type="dxa"/>
          <w:left w:w="108" w:type="dxa"/>
          <w:bottom w:w="0" w:type="dxa"/>
          <w:right w:w="108" w:type="dxa"/>
        </w:tblCellMar>
      </w:tblPr>
      <w:tblGrid>
        <w:gridCol w:w="760"/>
        <w:gridCol w:w="768"/>
        <w:gridCol w:w="761"/>
        <w:gridCol w:w="803"/>
        <w:gridCol w:w="877"/>
        <w:gridCol w:w="828"/>
        <w:gridCol w:w="766"/>
        <w:gridCol w:w="600"/>
        <w:gridCol w:w="889"/>
        <w:gridCol w:w="899"/>
        <w:gridCol w:w="815"/>
      </w:tblGrid>
      <w:tr>
        <w:tblPrEx>
          <w:tblCellMar>
            <w:top w:w="0" w:type="dxa"/>
            <w:left w:w="108" w:type="dxa"/>
            <w:bottom w:w="0" w:type="dxa"/>
            <w:right w:w="108" w:type="dxa"/>
          </w:tblCellMar>
        </w:tblPrEx>
        <w:trPr>
          <w:trHeight w:val="405" w:hRule="atLeast"/>
        </w:trPr>
        <w:tc>
          <w:tcPr>
            <w:tcW w:w="5000" w:type="pct"/>
            <w:gridSpan w:val="11"/>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1"/>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127" w:type="pct"/>
            <w:gridSpan w:val="9"/>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乌财科教[2022]45号--关于拨付2022年中小学和幼儿园自聘教师补助资金的通知</w:t>
            </w:r>
          </w:p>
        </w:tc>
      </w:tr>
      <w:tr>
        <w:tblPrEx>
          <w:tblCellMar>
            <w:top w:w="0" w:type="dxa"/>
            <w:left w:w="108" w:type="dxa"/>
            <w:bottom w:w="0" w:type="dxa"/>
            <w:right w:w="108" w:type="dxa"/>
          </w:tblCellMar>
        </w:tblPrEx>
        <w:trPr>
          <w:trHeight w:val="396" w:hRule="atLeast"/>
        </w:trPr>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1863"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第123中学</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48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第123中学</w:t>
            </w:r>
          </w:p>
        </w:tc>
      </w:tr>
      <w:tr>
        <w:tblPrEx>
          <w:tblCellMar>
            <w:top w:w="0" w:type="dxa"/>
            <w:left w:w="108" w:type="dxa"/>
            <w:bottom w:w="0" w:type="dxa"/>
            <w:right w:w="108" w:type="dxa"/>
          </w:tblCellMar>
        </w:tblPrEx>
        <w:trPr>
          <w:trHeight w:val="396" w:hRule="atLeast"/>
        </w:trPr>
        <w:tc>
          <w:tcPr>
            <w:tcW w:w="87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8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87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107.48</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66.00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61.41%</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6.14分</w:t>
            </w:r>
          </w:p>
        </w:tc>
      </w:tr>
      <w:tr>
        <w:tblPrEx>
          <w:tblCellMar>
            <w:top w:w="0" w:type="dxa"/>
            <w:left w:w="108" w:type="dxa"/>
            <w:bottom w:w="0" w:type="dxa"/>
            <w:right w:w="108" w:type="dxa"/>
          </w:tblCellMar>
        </w:tblPrEx>
        <w:trPr>
          <w:trHeight w:val="396" w:hRule="atLeast"/>
        </w:trPr>
        <w:tc>
          <w:tcPr>
            <w:tcW w:w="87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107.48</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66.00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87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87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43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302"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263"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302" w:type="pct"/>
            <w:gridSpan w:val="5"/>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非在编教师补助经费保证了本年度非在编教师工资的正常发放，年底奖励性绩效的发放，改善非在编教师的生活，提高工作积极性。</w:t>
            </w:r>
          </w:p>
        </w:tc>
        <w:tc>
          <w:tcPr>
            <w:tcW w:w="2263" w:type="pct"/>
            <w:gridSpan w:val="5"/>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该项目全额发放我单位1-10月非在编教师工资，改善了非在编教师的生活质量，提高了非在编教师工作积极性。</w:t>
            </w:r>
          </w:p>
        </w:tc>
      </w:tr>
      <w:tr>
        <w:tblPrEx>
          <w:tblCellMar>
            <w:top w:w="0" w:type="dxa"/>
            <w:left w:w="108" w:type="dxa"/>
            <w:bottom w:w="0" w:type="dxa"/>
            <w:right w:w="108" w:type="dxa"/>
          </w:tblCellMar>
        </w:tblPrEx>
        <w:trPr>
          <w:trHeight w:val="396" w:hRule="atLeast"/>
        </w:trPr>
        <w:tc>
          <w:tcPr>
            <w:tcW w:w="43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43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95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7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4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0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7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5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7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43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958"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代课教师人数</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=31人</w:t>
            </w: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31人</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7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958"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同工同酬教师人数</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=13人</w:t>
            </w: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13人</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7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958"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资金发放覆盖率</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7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958"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资金发放准确率</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7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958"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发放周期</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10个月</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97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因疫情原因，我单位2022年11-12月未发放工资。</w:t>
            </w:r>
          </w:p>
        </w:tc>
      </w:tr>
      <w:tr>
        <w:tblPrEx>
          <w:tblCellMar>
            <w:top w:w="0" w:type="dxa"/>
            <w:left w:w="108" w:type="dxa"/>
            <w:bottom w:w="0" w:type="dxa"/>
            <w:right w:w="108" w:type="dxa"/>
          </w:tblCellMar>
        </w:tblPrEx>
        <w:trPr>
          <w:trHeight w:val="396"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958"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代课教师工资标准</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=4550元/月</w:t>
            </w: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4550元/月</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7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958"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7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958"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解决学校师资不足问题</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有所解决</w:t>
            </w: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基本达到预期效果</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23.7</w:t>
            </w:r>
          </w:p>
        </w:tc>
        <w:tc>
          <w:tcPr>
            <w:tcW w:w="97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因疫情原因，我单位2022年11-12月未发放工资。</w:t>
            </w:r>
          </w:p>
        </w:tc>
      </w:tr>
      <w:tr>
        <w:tblPrEx>
          <w:tblCellMar>
            <w:top w:w="0" w:type="dxa"/>
            <w:left w:w="108" w:type="dxa"/>
            <w:bottom w:w="0" w:type="dxa"/>
            <w:right w:w="108" w:type="dxa"/>
          </w:tblCellMar>
        </w:tblPrEx>
        <w:trPr>
          <w:trHeight w:val="396"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958"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7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958"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7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958"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自聘教师满意度</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7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73"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79.84分</w:t>
            </w:r>
          </w:p>
        </w:tc>
        <w:tc>
          <w:tcPr>
            <w:tcW w:w="9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24"/>
        </w:rPr>
      </w:pPr>
    </w:p>
    <w:tbl>
      <w:tblPr>
        <w:tblStyle w:val="4"/>
        <w:tblW w:w="5000" w:type="pct"/>
        <w:jc w:val="center"/>
        <w:tblLayout w:type="fixed"/>
        <w:tblCellMar>
          <w:top w:w="0" w:type="dxa"/>
          <w:left w:w="108" w:type="dxa"/>
          <w:bottom w:w="0" w:type="dxa"/>
          <w:right w:w="108" w:type="dxa"/>
        </w:tblCellMar>
      </w:tblPr>
      <w:tblGrid>
        <w:gridCol w:w="704"/>
        <w:gridCol w:w="731"/>
        <w:gridCol w:w="1032"/>
        <w:gridCol w:w="437"/>
        <w:gridCol w:w="1001"/>
        <w:gridCol w:w="135"/>
        <w:gridCol w:w="946"/>
        <w:gridCol w:w="909"/>
        <w:gridCol w:w="204"/>
        <w:gridCol w:w="413"/>
        <w:gridCol w:w="191"/>
        <w:gridCol w:w="707"/>
        <w:gridCol w:w="491"/>
        <w:gridCol w:w="955"/>
      </w:tblGrid>
      <w:tr>
        <w:tblPrEx>
          <w:tblCellMar>
            <w:top w:w="0" w:type="dxa"/>
            <w:left w:w="108" w:type="dxa"/>
            <w:bottom w:w="0" w:type="dxa"/>
            <w:right w:w="108" w:type="dxa"/>
          </w:tblCellMar>
        </w:tblPrEx>
        <w:trPr>
          <w:trHeight w:val="405" w:hRule="atLeast"/>
          <w:jc w:val="center"/>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jc w:val="center"/>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jc w:val="center"/>
        </w:trPr>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188"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学生补助--关于提前下达2022年教育直达资金的通知[乌财科教2021[120/96]号]</w:t>
            </w:r>
          </w:p>
        </w:tc>
      </w:tr>
      <w:tr>
        <w:tblPrEx>
          <w:tblCellMar>
            <w:top w:w="0" w:type="dxa"/>
            <w:left w:w="108" w:type="dxa"/>
            <w:bottom w:w="0" w:type="dxa"/>
            <w:right w:w="108" w:type="dxa"/>
          </w:tblCellMar>
        </w:tblPrEx>
        <w:trPr>
          <w:trHeight w:val="396" w:hRule="atLeast"/>
          <w:jc w:val="center"/>
        </w:trPr>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004"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第123中学</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554"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第123中学</w:t>
            </w:r>
          </w:p>
        </w:tc>
      </w:tr>
      <w:tr>
        <w:tblPrEx>
          <w:tblCellMar>
            <w:top w:w="0" w:type="dxa"/>
            <w:left w:w="108" w:type="dxa"/>
            <w:bottom w:w="0" w:type="dxa"/>
            <w:right w:w="108" w:type="dxa"/>
          </w:tblCellMar>
        </w:tblPrEx>
        <w:trPr>
          <w:trHeight w:val="396" w:hRule="atLeast"/>
          <w:jc w:val="center"/>
        </w:trPr>
        <w:tc>
          <w:tcPr>
            <w:tcW w:w="81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8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3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6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5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jc w:val="center"/>
        </w:trPr>
        <w:tc>
          <w:tcPr>
            <w:tcW w:w="81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10.58</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4.92</w:t>
            </w:r>
          </w:p>
        </w:tc>
        <w:tc>
          <w:tcPr>
            <w:tcW w:w="3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46.50%</w:t>
            </w:r>
          </w:p>
        </w:tc>
        <w:tc>
          <w:tcPr>
            <w:tcW w:w="5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4.65分</w:t>
            </w:r>
          </w:p>
        </w:tc>
      </w:tr>
      <w:tr>
        <w:tblPrEx>
          <w:tblCellMar>
            <w:top w:w="0" w:type="dxa"/>
            <w:left w:w="108" w:type="dxa"/>
            <w:bottom w:w="0" w:type="dxa"/>
            <w:right w:w="108" w:type="dxa"/>
          </w:tblCellMar>
        </w:tblPrEx>
        <w:trPr>
          <w:trHeight w:val="396" w:hRule="atLeast"/>
          <w:jc w:val="center"/>
        </w:trPr>
        <w:tc>
          <w:tcPr>
            <w:tcW w:w="81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10.58</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4.92</w:t>
            </w:r>
          </w:p>
        </w:tc>
        <w:tc>
          <w:tcPr>
            <w:tcW w:w="3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6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jc w:val="center"/>
        </w:trPr>
        <w:tc>
          <w:tcPr>
            <w:tcW w:w="81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6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jc w:val="center"/>
        </w:trPr>
        <w:tc>
          <w:tcPr>
            <w:tcW w:w="81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3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56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0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6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jc w:val="center"/>
        </w:trPr>
        <w:tc>
          <w:tcPr>
            <w:tcW w:w="39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418"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183"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jc w:val="center"/>
        </w:trPr>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418"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本项目具体内容为计划向150名学生发放补助，项目的实施可改善学生生活水平，提高学生生活质量，小学标准为325.5元/学期，中学标准为375元/学期。</w:t>
            </w:r>
          </w:p>
        </w:tc>
        <w:tc>
          <w:tcPr>
            <w:tcW w:w="2183"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该项目全额发放2022年上半学期贫困生补助，该项目的实施可改善学生生活水平，提高学生生活质量，小学标准为325.5元/学期，中学标准为375元/学期。</w:t>
            </w:r>
          </w:p>
        </w:tc>
      </w:tr>
      <w:tr>
        <w:tblPrEx>
          <w:tblCellMar>
            <w:top w:w="0" w:type="dxa"/>
            <w:left w:w="108" w:type="dxa"/>
            <w:bottom w:w="0" w:type="dxa"/>
            <w:right w:w="108" w:type="dxa"/>
          </w:tblCellMar>
        </w:tblPrEx>
        <w:trPr>
          <w:trHeight w:val="396" w:hRule="atLeast"/>
          <w:jc w:val="center"/>
        </w:trPr>
        <w:tc>
          <w:tcPr>
            <w:tcW w:w="39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58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888"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3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51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4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0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81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jc w:val="center"/>
        </w:trPr>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88"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1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jc w:val="center"/>
        </w:trPr>
        <w:tc>
          <w:tcPr>
            <w:tcW w:w="39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41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8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发放学生数</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&gt;=150人</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141人</w:t>
            </w:r>
          </w:p>
        </w:tc>
        <w:tc>
          <w:tcPr>
            <w:tcW w:w="3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9.4</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2022年度下半学期因疫情原因，暂未发放该项目部分资金。</w:t>
            </w:r>
          </w:p>
        </w:tc>
      </w:tr>
      <w:tr>
        <w:tblPrEx>
          <w:tblCellMar>
            <w:top w:w="0" w:type="dxa"/>
            <w:left w:w="108" w:type="dxa"/>
            <w:bottom w:w="0" w:type="dxa"/>
            <w:right w:w="108" w:type="dxa"/>
          </w:tblCellMar>
        </w:tblPrEx>
        <w:trPr>
          <w:trHeight w:val="396" w:hRule="atLeast"/>
          <w:jc w:val="center"/>
        </w:trPr>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8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资金发放准确率</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jc w:val="center"/>
        </w:trPr>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8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项目发放学期数</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=2学期</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1学期</w:t>
            </w:r>
          </w:p>
        </w:tc>
        <w:tc>
          <w:tcPr>
            <w:tcW w:w="3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2022年度下半学期因疫情原因，暂未发放该项目部分资金。</w:t>
            </w:r>
          </w:p>
        </w:tc>
      </w:tr>
      <w:tr>
        <w:tblPrEx>
          <w:tblCellMar>
            <w:top w:w="0" w:type="dxa"/>
            <w:left w:w="108" w:type="dxa"/>
            <w:bottom w:w="0" w:type="dxa"/>
            <w:right w:w="108" w:type="dxa"/>
          </w:tblCellMar>
        </w:tblPrEx>
        <w:trPr>
          <w:trHeight w:val="396" w:hRule="atLeast"/>
          <w:jc w:val="center"/>
        </w:trPr>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8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小学生补助标准</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&lt;=325.50元/人/学期</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325.5元/人/学期</w:t>
            </w:r>
          </w:p>
        </w:tc>
        <w:tc>
          <w:tcPr>
            <w:tcW w:w="3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jc w:val="center"/>
        </w:trPr>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8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中学生补助标准</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&lt;=375元/人/学期</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375元/人/学期</w:t>
            </w:r>
          </w:p>
        </w:tc>
        <w:tc>
          <w:tcPr>
            <w:tcW w:w="3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jc w:val="center"/>
        </w:trPr>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888"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jc w:val="center"/>
        </w:trPr>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8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提高学生生活水平</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jc w:val="center"/>
        </w:trPr>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8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降低学生辍学率</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有效降低</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jc w:val="center"/>
        </w:trPr>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888"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jc w:val="center"/>
        </w:trPr>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888"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jc w:val="center"/>
        </w:trPr>
        <w:tc>
          <w:tcPr>
            <w:tcW w:w="39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888"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受助学生满意度</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98%</w:t>
            </w:r>
          </w:p>
        </w:tc>
        <w:tc>
          <w:tcPr>
            <w:tcW w:w="3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jc w:val="center"/>
        </w:trPr>
        <w:tc>
          <w:tcPr>
            <w:tcW w:w="3329"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84.05分</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after="240"/>
        <w:jc w:val="center"/>
        <w:rPr>
          <w:rFonts w:eastAsia="Times New Roman"/>
          <w:b/>
          <w:kern w:val="0"/>
          <w:sz w:val="28"/>
        </w:rPr>
      </w:pPr>
      <w:r>
        <w:rPr>
          <w:rFonts w:hint="eastAsia" w:ascii="黑体" w:hAnsi="黑体" w:eastAsia="黑体"/>
          <w:kern w:val="0"/>
          <w:sz w:val="32"/>
        </w:rPr>
        <w:t>第三部分 专业名词解释</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财政拨款收入：指同级财政当年拨付的资金。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上级补助收入：指事业单位从主管部门和上级单位取得的非财政补助收入。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事业收入：指事业单位开展专业业务活动及其辅助活动所取得的收入。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经营收入：指事业单位在专业业务活动及其辅助活动之外开展非独立核算经营活动取得的收入。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附属单位上缴收入：指事业单位附属的独立核算单位按有关规定上缴的收入。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其他收入：指除上述“财政拨款收入”、“事业收入”、“经营收入”、“附属单位上缴收入”等之外取得的收入。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基本支出：指为保障机构正常运转、完成日常工作任务而发生的人员支出和公用支出。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项目支出：指在基本支出之外为完成特定行政任务和事业发展目标所发生的支出。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经营支出：指事业单位在专业业务活动及其辅助活动之外开展非独立核算经营活动发生的支出。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对附属单位补助支出：指事业单位发生的用非财政预算资金对附属单位的补助支出。</w:t>
      </w:r>
    </w:p>
    <w:p>
      <w:pPr>
        <w:spacing w:line="360" w:lineRule="auto"/>
        <w:ind w:firstLine="640"/>
        <w:rPr>
          <w:rFonts w:eastAsia="Times New Roman"/>
          <w:sz w:val="32"/>
        </w:rPr>
      </w:pPr>
      <w:r>
        <w:rPr>
          <w:rFonts w:hint="eastAsia" w:ascii="仿宋_GB2312" w:hAnsi="仿宋_GB2312" w:eastAsia="仿宋_GB2312"/>
          <w:sz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eastAsia="Times New Roman"/>
          <w:sz w:val="32"/>
        </w:rPr>
      </w:pPr>
      <w:r>
        <w:rPr>
          <w:rFonts w:hint="eastAsia" w:ascii="仿宋_GB2312" w:hAnsi="仿宋_GB2312" w:eastAsia="仿宋_GB2312"/>
          <w:sz w:val="32"/>
        </w:rPr>
        <w:t>机关运行经费：行政单位和参照公务员法管理的事业单位财政拨款基本支出中的公用经费支出。</w:t>
      </w:r>
    </w:p>
    <w:p>
      <w:pPr>
        <w:shd w:val="clear" w:color="auto" w:fill="FFFFFF"/>
        <w:spacing w:line="360" w:lineRule="auto"/>
        <w:ind w:firstLine="640"/>
        <w:rPr>
          <w:rFonts w:eastAsia="Times New Roman"/>
          <w:kern w:val="0"/>
          <w:sz w:val="32"/>
        </w:rPr>
      </w:pPr>
    </w:p>
    <w:p>
      <w:pPr>
        <w:shd w:val="clear" w:color="auto" w:fill="FFFFFF"/>
        <w:spacing w:before="100" w:after="240"/>
        <w:jc w:val="center"/>
        <w:rPr>
          <w:rFonts w:eastAsia="Times New Roman"/>
          <w:kern w:val="0"/>
          <w:sz w:val="32"/>
        </w:rPr>
      </w:pPr>
      <w:r>
        <w:rPr>
          <w:rFonts w:hint="eastAsia" w:ascii="黑体" w:hAnsi="黑体" w:eastAsia="黑体"/>
          <w:kern w:val="0"/>
          <w:sz w:val="32"/>
        </w:rPr>
        <w:br w:type="page"/>
      </w:r>
      <w:r>
        <w:rPr>
          <w:rFonts w:hint="eastAsia" w:ascii="黑体" w:hAnsi="黑体" w:eastAsia="黑体"/>
          <w:kern w:val="0"/>
          <w:sz w:val="32"/>
        </w:rPr>
        <w:t>第四部分 部门决算报表（见附表）</w:t>
      </w:r>
    </w:p>
    <w:p>
      <w:pPr>
        <w:spacing w:line="540" w:lineRule="exact"/>
        <w:ind w:firstLine="640"/>
        <w:rPr>
          <w:rFonts w:eastAsia="Times New Roman"/>
          <w:sz w:val="32"/>
        </w:rPr>
      </w:pPr>
      <w:r>
        <w:rPr>
          <w:rFonts w:hint="eastAsia" w:ascii="黑体" w:hAnsi="黑体" w:eastAsia="黑体"/>
          <w:sz w:val="32"/>
        </w:rPr>
        <w:t>一、《收入支出决算总表》</w:t>
      </w:r>
    </w:p>
    <w:p>
      <w:pPr>
        <w:spacing w:line="540" w:lineRule="exact"/>
        <w:ind w:firstLine="640"/>
        <w:rPr>
          <w:rFonts w:eastAsia="Times New Roman"/>
          <w:sz w:val="32"/>
        </w:rPr>
      </w:pPr>
      <w:r>
        <w:rPr>
          <w:rFonts w:hint="eastAsia" w:ascii="黑体" w:hAnsi="黑体" w:eastAsia="黑体"/>
          <w:sz w:val="32"/>
        </w:rPr>
        <w:t>二、《收入决算表》</w:t>
      </w:r>
    </w:p>
    <w:p>
      <w:pPr>
        <w:spacing w:line="540" w:lineRule="exact"/>
        <w:ind w:firstLine="640"/>
        <w:rPr>
          <w:rFonts w:eastAsia="Times New Roman"/>
          <w:sz w:val="32"/>
        </w:rPr>
      </w:pPr>
      <w:r>
        <w:rPr>
          <w:rFonts w:hint="eastAsia" w:ascii="黑体" w:hAnsi="黑体" w:eastAsia="黑体"/>
          <w:sz w:val="32"/>
        </w:rPr>
        <w:t>三、《支出决算表》</w:t>
      </w:r>
    </w:p>
    <w:p>
      <w:pPr>
        <w:spacing w:line="540" w:lineRule="exact"/>
        <w:ind w:firstLine="640"/>
        <w:rPr>
          <w:rFonts w:eastAsia="Times New Roman"/>
          <w:sz w:val="32"/>
        </w:rPr>
      </w:pPr>
      <w:r>
        <w:rPr>
          <w:rFonts w:hint="eastAsia" w:ascii="黑体" w:hAnsi="黑体" w:eastAsia="黑体"/>
          <w:sz w:val="32"/>
        </w:rPr>
        <w:t>四、《财政拨款收入支出决算总表》</w:t>
      </w:r>
    </w:p>
    <w:p>
      <w:pPr>
        <w:spacing w:line="540" w:lineRule="exact"/>
        <w:ind w:firstLine="640"/>
        <w:rPr>
          <w:rFonts w:eastAsia="Times New Roman"/>
          <w:sz w:val="32"/>
        </w:rPr>
      </w:pPr>
      <w:r>
        <w:rPr>
          <w:rFonts w:hint="eastAsia" w:ascii="黑体" w:hAnsi="黑体" w:eastAsia="黑体"/>
          <w:sz w:val="32"/>
        </w:rPr>
        <w:t>五、《一般公共预算财政拨款支出决算表》</w:t>
      </w:r>
    </w:p>
    <w:p>
      <w:pPr>
        <w:spacing w:line="540" w:lineRule="exact"/>
        <w:ind w:firstLine="640"/>
        <w:rPr>
          <w:rFonts w:eastAsia="Times New Roman"/>
          <w:sz w:val="32"/>
        </w:rPr>
      </w:pPr>
      <w:r>
        <w:rPr>
          <w:rFonts w:hint="eastAsia" w:ascii="黑体" w:hAnsi="黑体" w:eastAsia="黑体"/>
          <w:sz w:val="32"/>
        </w:rPr>
        <w:t>六、《一般公共预算财政拨款基本支出决算表》</w:t>
      </w:r>
    </w:p>
    <w:p>
      <w:pPr>
        <w:spacing w:line="540" w:lineRule="exact"/>
        <w:ind w:firstLine="640"/>
        <w:rPr>
          <w:rFonts w:eastAsia="Times New Roman"/>
          <w:sz w:val="32"/>
        </w:rPr>
      </w:pPr>
      <w:r>
        <w:rPr>
          <w:rFonts w:hint="eastAsia" w:ascii="黑体" w:hAnsi="黑体" w:eastAsia="黑体"/>
          <w:sz w:val="32"/>
        </w:rPr>
        <w:t>七、《财政拨款“三公”经费支出决算表》</w:t>
      </w:r>
    </w:p>
    <w:p>
      <w:pPr>
        <w:spacing w:line="540" w:lineRule="exact"/>
        <w:ind w:firstLine="640"/>
        <w:rPr>
          <w:rFonts w:eastAsia="Times New Roman"/>
          <w:kern w:val="0"/>
          <w:sz w:val="32"/>
        </w:rPr>
      </w:pPr>
      <w:r>
        <w:rPr>
          <w:rFonts w:hint="eastAsia" w:ascii="黑体" w:hAnsi="黑体" w:eastAsia="黑体"/>
          <w:sz w:val="32"/>
        </w:rPr>
        <w:t>八、《政府性基金预算财政拨款收入支出决算表》</w:t>
      </w:r>
    </w:p>
    <w:p>
      <w:pPr>
        <w:spacing w:line="540" w:lineRule="exact"/>
        <w:ind w:firstLine="640"/>
        <w:rPr>
          <w:rFonts w:eastAsia="Times New Roman"/>
          <w:kern w:val="0"/>
          <w:sz w:val="32"/>
        </w:rPr>
      </w:pPr>
      <w:r>
        <w:rPr>
          <w:rFonts w:hint="eastAsia" w:ascii="黑体" w:hAnsi="黑体" w:eastAsia="黑体"/>
          <w:sz w:val="32"/>
          <w:lang w:val="zh-CN"/>
        </w:rPr>
        <w:t>九</w:t>
      </w:r>
      <w:r>
        <w:rPr>
          <w:rFonts w:hint="eastAsia" w:ascii="黑体" w:hAnsi="黑体" w:eastAsia="黑体"/>
          <w:sz w:val="32"/>
        </w:rPr>
        <w:t>、《国有资本经营预算财政拨款收入支出决算表》</w:t>
      </w: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00174C7"/>
    <w:rsid w:val="0042425C"/>
    <w:rsid w:val="004F2D22"/>
    <w:rsid w:val="006F204F"/>
    <w:rsid w:val="007E0DA6"/>
    <w:rsid w:val="008863FF"/>
    <w:rsid w:val="009816A7"/>
    <w:rsid w:val="00B80D00"/>
    <w:rsid w:val="00BB5E75"/>
    <w:rsid w:val="116959AC"/>
    <w:rsid w:val="22E1602E"/>
    <w:rsid w:val="305B0555"/>
    <w:rsid w:val="364F4774"/>
    <w:rsid w:val="55F15DF8"/>
    <w:rsid w:val="721329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qFormat/>
    <w:uiPriority w:val="99"/>
    <w:rPr>
      <w:rFonts w:hint="default"/>
      <w:kern w:val="2"/>
      <w:sz w:val="18"/>
      <w:szCs w:val="18"/>
    </w:rPr>
  </w:style>
  <w:style w:type="character" w:customStyle="1" w:styleId="7">
    <w:name w:val="页脚 字符"/>
    <w:link w:val="2"/>
    <w:qFormat/>
    <w:uiPriority w:val="99"/>
    <w:rPr>
      <w:rFonts w:hint="default"/>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7236</Words>
  <Characters>8300</Characters>
  <Lines>64</Lines>
  <Paragraphs>18</Paragraphs>
  <TotalTime>7</TotalTime>
  <ScaleCrop>false</ScaleCrop>
  <LinksUpToDate>false</LinksUpToDate>
  <CharactersWithSpaces>8311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2023-08-17T09:56:00Z</dcterms:created>
  <dc:creator>Administrator</dc:creator>
  <cp:lastModifiedBy>逐梦令</cp:lastModifiedBy>
  <dcterms:modified xsi:type="dcterms:W3CDTF">2023-09-01T06:35:51Z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ADC8F428CE994ABD815F3D23574129A3_13</vt:lpwstr>
  </property>
</Properties>
</file>