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乌鲁木齐市米东区第129中学</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1</w:t>
      </w:r>
      <w:r>
        <w:rPr>
          <w:rFonts w:ascii="仿宋_GB2312" w:hAnsi="仿宋_GB2312" w:eastAsia="仿宋_GB2312"/>
          <w:kern w:val="0"/>
          <w:sz w:val="32"/>
        </w:rPr>
        <w:t>.</w:t>
      </w:r>
      <w:r>
        <w:rPr>
          <w:rFonts w:hint="eastAsia" w:ascii="仿宋_GB2312" w:hAnsi="仿宋_GB2312" w:eastAsia="仿宋_GB2312"/>
          <w:kern w:val="0"/>
          <w:sz w:val="32"/>
        </w:rPr>
        <w:t>全面贯彻党和国家的路线、方针、政策、法规，全面实施素质教育，认真执行上级党委和教育行政部门的指示，依法治校，努力提高学校的办学水平和办学效益。</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2.全面规划，统排学校的各项工作，组织制定和实施学校发展规划、工作计划。</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3.负责健全学校行政指挥系统，健全各项规章制度，保证学校正常的工作秩序。</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4.按照学校经费使用计划，负责教育教学及办公用品、维修设备的采购、发放和管理工作。</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5.根据预算安排，拟定收支计划，并组织实施、管理和监督。</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6.规范会计行为,执行国家统一的会计制度和自治区相关补充规定；规范会计人员的业务培训。</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7.政府采购制度执行并监督管理。</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8.执行我区行政事业单位国有资产管理规章制度，按规定管理事业单位国有资产，执行全区统一规定的开支标准和支出政策。</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乌鲁木齐市米东区第129中学2022年度，实有人数145人，其中：在职人员104人，离休人员0人，退休人员41人。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第129中学部门决算包括：乌鲁木齐市米东区第129中学决算。单位无下属预算单位，下设11个科室，分别是：总务处、安全办、财务室、信息办、党政办、德育处、工会办、小学教务处，中学教务处、中学教研室、小学教研室。</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2,434.51万元，</w:t>
      </w:r>
      <w:r>
        <w:rPr>
          <w:rFonts w:hint="eastAsia" w:ascii="仿宋_GB2312" w:hAnsi="仿宋_GB2312" w:eastAsia="仿宋_GB2312"/>
          <w:sz w:val="32"/>
        </w:rPr>
        <w:t>其中：本年收入合计</w:t>
      </w:r>
      <w:r>
        <w:rPr>
          <w:rFonts w:hint="eastAsia" w:ascii="仿宋_GB2312" w:hAnsi="仿宋_GB2312" w:eastAsia="仿宋_GB2312"/>
          <w:kern w:val="0"/>
          <w:sz w:val="32"/>
        </w:rPr>
        <w:t>2,371.09</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63.42</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与上年相比，增加1,155.92万元，增长90.41%，主要原因是：本年我校新增班级学生数及代课教师工资；新增56名在编教师，基本工资及社保、住房公积金收入增长较大，故收入较上年有所增长。</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2,434.51万元，</w:t>
      </w:r>
      <w:r>
        <w:rPr>
          <w:rFonts w:hint="eastAsia" w:ascii="仿宋_GB2312" w:hAnsi="仿宋_GB2312" w:eastAsia="仿宋_GB2312"/>
          <w:sz w:val="32"/>
        </w:rPr>
        <w:t>其中：本年支出合计</w:t>
      </w:r>
      <w:r>
        <w:rPr>
          <w:rFonts w:hint="eastAsia" w:ascii="仿宋_GB2312" w:hAnsi="仿宋_GB2312" w:eastAsia="仿宋_GB2312"/>
          <w:kern w:val="0"/>
          <w:sz w:val="32"/>
        </w:rPr>
        <w:t>2,333.38</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101.13</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与上年相比，增加1,155.92万元，增长90.41%，主要原因是：本年我校新增班级学生数及代课教师工资；新增56名在编教师，基本工资及社保、住房公积金支出增长较大，故支出较上年有所增长。</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2,371.09万元，其中：财政拨款收入2,192.72万元，占92.48%；上级补助收入0.00万元，占0.00%；事业收入0.00万元，占0.00%；经营收入0.00万元，占0.00%；附属单位上缴收入0.00万元，占0.00%；其他收入178.37万元，占7.52%。</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2022年度本年支出2,333.38万元，其中：基本支出1,984.22万元，占85.04%；项目支出349.16万元，占14.96%；上缴上级支出0.00万元，占0.00%；经营支出0.00万元，占0.00%；对附属单位补助支出0.00万元，占0.00%。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2,256.14万元，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63.42</w:t>
      </w:r>
      <w:r>
        <w:rPr>
          <w:rFonts w:hint="eastAsia" w:ascii="仿宋_GB2312" w:hAnsi="仿宋_GB2312" w:eastAsia="仿宋_GB2312"/>
          <w:sz w:val="32"/>
        </w:rPr>
        <w:t>万元，财政拨款本年收入</w:t>
      </w:r>
      <w:r>
        <w:rPr>
          <w:rFonts w:hint="eastAsia" w:ascii="仿宋_GB2312" w:hAnsi="仿宋_GB2312" w:eastAsia="仿宋_GB2312"/>
          <w:kern w:val="0"/>
          <w:sz w:val="32"/>
        </w:rPr>
        <w:t>2,192.72</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与上年相比，增加977.55万元，增长76.46%，主要原因是：本年我校新增班级学生数及代课教师工资；新增56名在编教师，基本工资及社保、住房公积金收入增长较大，故</w:t>
      </w:r>
      <w:r>
        <w:rPr>
          <w:rFonts w:hint="eastAsia" w:ascii="仿宋_GB2312" w:hAnsi="仿宋_GB2312" w:eastAsia="仿宋_GB2312"/>
          <w:sz w:val="32"/>
        </w:rPr>
        <w:t>财政拨款收入</w:t>
      </w:r>
      <w:r>
        <w:rPr>
          <w:rFonts w:hint="eastAsia" w:ascii="仿宋_GB2312" w:hAnsi="仿宋_GB2312" w:eastAsia="仿宋_GB2312"/>
          <w:kern w:val="0"/>
          <w:sz w:val="32"/>
        </w:rPr>
        <w:t>较上年有所增长。</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2,256.14万元，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101.12</w:t>
      </w:r>
      <w:r>
        <w:rPr>
          <w:rFonts w:hint="eastAsia" w:ascii="仿宋_GB2312" w:hAnsi="仿宋_GB2312" w:eastAsia="仿宋_GB2312"/>
          <w:sz w:val="32"/>
        </w:rPr>
        <w:t>万元，财政拨款本年支出</w:t>
      </w:r>
      <w:r>
        <w:rPr>
          <w:rFonts w:hint="eastAsia" w:ascii="仿宋_GB2312" w:hAnsi="仿宋_GB2312" w:eastAsia="仿宋_GB2312"/>
          <w:kern w:val="0"/>
          <w:sz w:val="32"/>
        </w:rPr>
        <w:t>2,155.02</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与上年相比，增加977.55万元，增长76.46%，主要原因是：本年我校新增班级学生数及代课教师工资；新增56名在编教师，基本工资及社保、住房公积金增长较大，故财政拨款支出较上年有所增长。</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1,292.91万元，决算数2,256.14万元，预决算差异率74.50%，主要原因是：年中追加新增在编教师的基本工资及社保、住房公积金；追加小学代课教师经费、校舍改造资金、非寄宿生生活补助项目收入，导致预决算产生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1,292.91万元，决算数2,256.14万元，预决算差异率74.50%，主要原因是：年中追加新增在编教师的基本工资及社保、住房公积金；追加小学代课教师经费、校舍改造资金、非寄宿生生活补助项目支出，导致预决算产生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2,155.02</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增加939.84万元，增长77.34%，主要原因是：本年我校新增班级学生数及代课教师工资；新增56名在编教师，基本工资及社保、住房公积金支出增长较大，故</w:t>
      </w:r>
      <w:r>
        <w:rPr>
          <w:rFonts w:hint="eastAsia" w:ascii="仿宋_GB2312" w:hAnsi="仿宋_GB2312" w:eastAsia="仿宋_GB2312"/>
          <w:sz w:val="32"/>
        </w:rPr>
        <w:t>一般公共预算财政拨款支出</w:t>
      </w:r>
      <w:r>
        <w:rPr>
          <w:rFonts w:hint="eastAsia" w:ascii="仿宋_GB2312" w:hAnsi="仿宋_GB2312" w:eastAsia="仿宋_GB2312"/>
          <w:kern w:val="0"/>
          <w:sz w:val="32"/>
        </w:rPr>
        <w:t>较上年有所增长。</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eastAsia="Times New Roman"/>
          <w:kern w:val="0"/>
          <w:sz w:val="32"/>
        </w:rPr>
      </w:pPr>
      <w:r>
        <w:rPr>
          <w:rFonts w:hint="eastAsia" w:ascii="仿宋_GB2312" w:hAnsi="仿宋_GB2312" w:eastAsia="仿宋_GB2312"/>
          <w:sz w:val="32"/>
        </w:rPr>
        <w:t>1.教育支出（类）2,155.02万元，占100.00%</w:t>
      </w:r>
      <w:r>
        <w:rPr>
          <w:rFonts w:hint="eastAsia" w:ascii="仿宋_GB2312" w:hAnsi="仿宋_GB2312" w:eastAsia="仿宋_GB2312"/>
          <w:kern w:val="0"/>
          <w:sz w:val="32"/>
        </w:rPr>
        <w:t>。</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1.教育支出（类）普通教育（款）小学教育（项）:支出决算数为1,440.19万元，比上年决算增加346.30万元，增长31.66%，主要原因是：本年单位新增30名小学在编教师，基本工资及社保、住房公积金支出增长较大</w:t>
      </w:r>
      <w:r>
        <w:rPr>
          <w:rFonts w:hint="eastAsia" w:ascii="仿宋_GB2312" w:hAnsi="仿宋_GB2312" w:eastAsia="仿宋_GB2312"/>
          <w:kern w:val="0"/>
          <w:sz w:val="32"/>
          <w:lang w:eastAsia="zh-CN"/>
        </w:rPr>
        <w:t>；</w:t>
      </w:r>
    </w:p>
    <w:p>
      <w:pPr>
        <w:spacing w:line="600" w:lineRule="exact"/>
        <w:ind w:firstLine="640"/>
        <w:rPr>
          <w:rFonts w:hint="eastAsia" w:ascii="仿宋_GB2312" w:hAnsi="仿宋_GB2312" w:eastAsia="仿宋_GB2312"/>
          <w:kern w:val="0"/>
          <w:sz w:val="32"/>
          <w:lang w:eastAsia="zh-CN"/>
        </w:rPr>
      </w:pPr>
      <w:r>
        <w:rPr>
          <w:rFonts w:hint="eastAsia" w:ascii="仿宋_GB2312" w:hAnsi="仿宋_GB2312" w:eastAsia="仿宋_GB2312"/>
          <w:kern w:val="0"/>
          <w:sz w:val="32"/>
        </w:rPr>
        <w:t>2.教育支出（类）普通教育（款）初中教育（项）:支出决算数为714.83万元，比上年决算增加603.39万元，增长541.45%，主要原因是：本年单位新增26名中学在编教师，基本工资及社保、住房公积金支出增长较大</w:t>
      </w:r>
      <w:r>
        <w:rPr>
          <w:rFonts w:hint="eastAsia" w:ascii="仿宋_GB2312" w:hAnsi="仿宋_GB2312" w:eastAsia="仿宋_GB2312"/>
          <w:kern w:val="0"/>
          <w:sz w:val="32"/>
          <w:lang w:eastAsia="zh-CN"/>
        </w:rPr>
        <w:t>；</w:t>
      </w:r>
    </w:p>
    <w:p>
      <w:pPr>
        <w:spacing w:line="600" w:lineRule="exact"/>
        <w:ind w:firstLine="640"/>
        <w:rPr>
          <w:rFonts w:eastAsia="Times New Roman"/>
          <w:kern w:val="0"/>
          <w:sz w:val="32"/>
        </w:rPr>
      </w:pPr>
      <w:r>
        <w:rPr>
          <w:rFonts w:hint="eastAsia" w:ascii="仿宋_GB2312" w:hAnsi="仿宋_GB2312" w:eastAsia="仿宋_GB2312"/>
          <w:kern w:val="0"/>
          <w:sz w:val="32"/>
        </w:rPr>
        <w:t>3.社会保障和就业支出（类）行政事业单位养老支出（款）机关事业单位基本养老保险缴费支出（项）:支出决算数为0.00万元，比上年决算减少9.85万元，下降100.00%，主要原因是：</w:t>
      </w:r>
      <w:bookmarkStart w:id="0" w:name="_Hlk143783239"/>
      <w:r>
        <w:rPr>
          <w:rFonts w:hint="eastAsia" w:ascii="仿宋_GB2312" w:eastAsia="仿宋_GB2312" w:cs="仿宋_GB2312"/>
          <w:kern w:val="0"/>
          <w:sz w:val="32"/>
          <w:szCs w:val="32"/>
        </w:rPr>
        <w:t>本年此功能科目未支出</w:t>
      </w:r>
      <w:bookmarkEnd w:id="0"/>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2022年度一般公共预算财政拨款基本支出1,984.23万元，其中：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1,792.73万元，包括：基本工资、津贴补贴、奖金、绩效工资、机关事业单位基本养老保险缴费、职业年金缴费、职工基本医疗保险缴费、公务员医疗补助缴费、其他社会保障缴费、住房公积金、生活补助、奖励金。</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公用经费191.50万元，包括：水费、电费、物业管理费、劳务费。</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“三公”经费支出决算0.00万元，比上年增加0.00万元，增长0.00%，主要原因是：</w:t>
      </w:r>
      <w:bookmarkStart w:id="1" w:name="_Hlk143770125"/>
      <w:r>
        <w:rPr>
          <w:rFonts w:hint="eastAsia" w:ascii="仿宋_GB2312" w:eastAsia="仿宋_GB2312" w:cs="仿宋_GB2312"/>
          <w:kern w:val="0"/>
          <w:sz w:val="32"/>
          <w:szCs w:val="32"/>
        </w:rPr>
        <w:t>本年单位无此项支出</w:t>
      </w:r>
      <w:bookmarkEnd w:id="1"/>
      <w:r>
        <w:rPr>
          <w:rFonts w:hint="eastAsia" w:ascii="仿宋_GB2312" w:hAnsi="仿宋_GB2312" w:eastAsia="仿宋_GB2312"/>
          <w:kern w:val="0"/>
          <w:sz w:val="32"/>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；公务接待费支出0.00万元，占0.00%，比上年增加0.00万元，增长0.00%，主要原因是：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公务用车购置及运行维护费0.00万元，其中：公务用车购置费0.00万元，公务用车运行维护费0.00万元。</w:t>
      </w:r>
      <w:bookmarkStart w:id="2" w:name="_Hlk143782590"/>
      <w:r>
        <w:rPr>
          <w:rFonts w:hint="eastAsia" w:ascii="仿宋_GB2312" w:eastAsia="仿宋_GB2312" w:cs="仿宋_GB2312"/>
          <w:kern w:val="0"/>
          <w:sz w:val="32"/>
          <w:szCs w:val="32"/>
        </w:rPr>
        <w:t>公务用车运行维护费开支内容包括</w:t>
      </w:r>
      <w:bookmarkEnd w:id="2"/>
      <w:r>
        <w:rPr>
          <w:rFonts w:hint="eastAsia" w:ascii="仿宋_GB2312" w:eastAsia="仿宋_GB2312" w:cs="仿宋_GB2312"/>
          <w:kern w:val="0"/>
          <w:sz w:val="32"/>
          <w:szCs w:val="32"/>
          <w:lang w:val="en-US" w:eastAsia="zh-CN"/>
        </w:rPr>
        <w:t>本年单位无此项支出</w:t>
      </w:r>
      <w:r>
        <w:rPr>
          <w:rFonts w:hint="eastAsia" w:ascii="仿宋_GB2312" w:hAnsi="仿宋_GB2312" w:eastAsia="仿宋_GB2312"/>
          <w:kern w:val="0"/>
          <w:sz w:val="32"/>
        </w:rPr>
        <w:t>。公务用车购置数0辆，公务用车保有量0辆。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；公务用车运行费全年预算数0.00万元，决算数0.00万元，预决算差异率0.00%，主要原因是：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；公务接待费全年预算数0.00万元，决算数0.00万元，预决算差异率0.00%，主要原因是：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我单位本年度无政府性基金预算财政拨款收入、支出及结转和结余，政府性基金预算财政拨款收入支出决算表为空表。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pacing w:line="360" w:lineRule="auto"/>
        <w:ind w:firstLine="640"/>
        <w:rPr>
          <w:rFonts w:eastAsia="Times New Roman"/>
          <w:kern w:val="0"/>
          <w:sz w:val="32"/>
        </w:rPr>
      </w:pPr>
      <w:r>
        <w:rPr>
          <w:rFonts w:hint="eastAsia" w:ascii="仿宋_GB2312" w:hAnsi="仿宋_GB2312" w:eastAsia="仿宋_GB2312"/>
          <w:kern w:val="0"/>
          <w:sz w:val="32"/>
        </w:rPr>
        <w:t>2022年度乌鲁木齐市米东区第129中学单位公用经费191.49万元，比上年增加30.05万元，增长18.61%，主要原因是：本年单位劳务费、物业管理费支出较上年有所增加。</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2022年度政府采购支出总额31.08万元，其中：政府采购货物支出16.86万元、政府采购工程支出0.00万元、政府采购服务支出14.23万元。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授予中小企业合同金额31.08万元，占政府采购支出总额的100.00%，其中：授予小微企业合同金额2.63万元，占政府采购支出总额的8.46%。</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4,350.44</w:t>
      </w:r>
      <w:r>
        <w:rPr>
          <w:rFonts w:hint="eastAsia" w:ascii="仿宋_GB2312" w:hAnsi="仿宋_GB2312" w:eastAsia="仿宋_GB2312"/>
          <w:sz w:val="32"/>
        </w:rPr>
        <w:t>万元，</w:t>
      </w:r>
      <w:r>
        <w:rPr>
          <w:rFonts w:hint="eastAsia" w:ascii="仿宋_GB2312" w:hAnsi="仿宋_GB2312" w:eastAsia="仿宋_GB2312"/>
          <w:kern w:val="0"/>
          <w:sz w:val="32"/>
        </w:rPr>
        <w:t>房屋12,350.96平方米，价值2,476.06万元。车辆2辆，价值26.49万元，其中：副部（省）级及以上领导用车0辆、主要领导干部用车0辆、机要通信用车0辆、应急保障用车0辆、执法执勤用车0辆、特种专业技术用车0辆、离退休干部用车0辆、其他用车2辆，其他用车主要是：为2辆单位业务用车；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根据预算绩效管理要求，我单位2022年度开展预算绩效评价项目3个，</w:t>
      </w:r>
      <w:r>
        <w:rPr>
          <w:rFonts w:hint="eastAsia" w:ascii="仿宋_GB2312" w:hAnsi="仿宋_GB2312" w:eastAsia="仿宋_GB2312"/>
          <w:sz w:val="32"/>
        </w:rPr>
        <w:t>全年预算数</w:t>
      </w:r>
      <w:r>
        <w:rPr>
          <w:rFonts w:hint="eastAsia" w:ascii="仿宋_GB2312" w:hAnsi="仿宋_GB2312" w:eastAsia="仿宋_GB2312"/>
          <w:kern w:val="0"/>
          <w:sz w:val="32"/>
        </w:rPr>
        <w:t>307.86</w:t>
      </w:r>
      <w:r>
        <w:rPr>
          <w:rFonts w:hint="eastAsia" w:ascii="仿宋_GB2312" w:hAnsi="仿宋_GB2312" w:eastAsia="仿宋_GB2312"/>
          <w:sz w:val="32"/>
        </w:rPr>
        <w:t>万元，全年执行数</w:t>
      </w:r>
      <w:r>
        <w:rPr>
          <w:rFonts w:hint="eastAsia" w:ascii="仿宋_GB2312" w:hAnsi="仿宋_GB2312" w:eastAsia="仿宋_GB2312"/>
          <w:kern w:val="0"/>
          <w:sz w:val="32"/>
        </w:rPr>
        <w:t>170.79</w:t>
      </w:r>
      <w:r>
        <w:rPr>
          <w:rFonts w:hint="eastAsia" w:ascii="仿宋_GB2312" w:hAnsi="仿宋_GB2312" w:eastAsia="仿宋_GB2312"/>
          <w:sz w:val="32"/>
        </w:rPr>
        <w:t>万元。</w:t>
      </w:r>
      <w:r>
        <w:rPr>
          <w:rFonts w:hint="eastAsia" w:ascii="仿宋_GB2312" w:hAnsi="仿宋_GB2312" w:eastAsia="仿宋_GB2312"/>
          <w:kern w:val="0"/>
          <w:sz w:val="32"/>
        </w:rPr>
        <w:t>预算绩效管理取得的成效：一是规范了财务管理，认真落实部门预算公开工作，加强了内部预算管理意识，加强了预算执行管理，对于临时追加的相关工作所需费用，严格按照程序，逐级申报报批，有效降低预算控制率；二是保障预算执行进度，加快项目实施进度的推进，加强项目开展进度的跟踪，开展项目绩效评价，确保项目绩效目标的完成，发挥资金的使用效益，压减年末结余资金规模，提高预算完成率。发现的问题及原因：一是预算编制科学性的问题，首先预算编制之合理性相对不足，主要表现在预算调整数较大，部门项目支出率低；另外，预算编制的不合理性还表现在绩效目标设置不明确，年度目标与长期规划衔接的紧密程度需要增强；二是有关预算执行有效性的问题，部门资金支出进度普遍较低，对资金支出的控制力度不足，对专项资金的延伸性监管不到位。下一步改进措施：一是注重长短期目标的衔接，合理设置年度绩效指标。在具体年度工作计划的安排上，可通过对比历年各项指标的增长情况，将规划中要实现的各项指标合理分配到年度的工作任务中，设定各年度绩效指标的目标增长率，从而确保规划目标的顺利实现。对于在当年度提前完成的绩效指标，应及时总结绩优经验，调整规划的绩效指标值，从而促进各规划的绩效指标对林业发展指导激励作用的有效发挥；二是重视对项目和资金的过程化管理，加强对项目的延伸性监管，建立健全项日督管理制度，落实各级项目监督管理责任。一方面，主管部门应加强对项目实施过程的监管意识，建立重点项目实施过程的绩效反馈机制。另一方面，资金使用单位应加强对项目实施的风险管控意识，加强对项目实施的过程控制。具体项目自评情况附项目支出绩效自评表。</w:t>
      </w:r>
    </w:p>
    <w:tbl>
      <w:tblPr>
        <w:tblStyle w:val="4"/>
        <w:tblW w:w="5000" w:type="pct"/>
        <w:tblInd w:w="0" w:type="dxa"/>
        <w:tblLayout w:type="fixed"/>
        <w:tblCellMar>
          <w:top w:w="0" w:type="dxa"/>
          <w:left w:w="108" w:type="dxa"/>
          <w:bottom w:w="0" w:type="dxa"/>
          <w:right w:w="108" w:type="dxa"/>
        </w:tblCellMar>
      </w:tblPr>
      <w:tblGrid>
        <w:gridCol w:w="493"/>
        <w:gridCol w:w="585"/>
        <w:gridCol w:w="793"/>
        <w:gridCol w:w="912"/>
        <w:gridCol w:w="632"/>
        <w:gridCol w:w="1125"/>
        <w:gridCol w:w="574"/>
        <w:gridCol w:w="717"/>
        <w:gridCol w:w="659"/>
        <w:gridCol w:w="763"/>
        <w:gridCol w:w="790"/>
        <w:gridCol w:w="813"/>
      </w:tblGrid>
      <w:tr>
        <w:tblPrEx>
          <w:tblCellMar>
            <w:top w:w="0" w:type="dxa"/>
            <w:left w:w="108" w:type="dxa"/>
            <w:bottom w:w="0" w:type="dxa"/>
            <w:right w:w="108" w:type="dxa"/>
          </w:tblCellMar>
        </w:tblPrEx>
        <w:trPr>
          <w:trHeight w:val="405" w:hRule="atLeast"/>
        </w:trPr>
        <w:tc>
          <w:tcPr>
            <w:tcW w:w="5000" w:type="pct"/>
            <w:gridSpan w:val="12"/>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91" w:type="pct"/>
            <w:gridSpan w:val="10"/>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公用经费---提前下达2022城乡义务教育直达资金（乌财科教【2021】96号，120号） 乌财科教【2022】23号-关于下达2022年城乡义务教育项目直达资金</w:t>
            </w:r>
          </w:p>
        </w:tc>
      </w:tr>
      <w:tr>
        <w:tblPrEx>
          <w:tblCellMar>
            <w:top w:w="0" w:type="dxa"/>
            <w:left w:w="108" w:type="dxa"/>
            <w:bottom w:w="0" w:type="dxa"/>
            <w:right w:w="108" w:type="dxa"/>
          </w:tblCellMar>
        </w:tblPrEx>
        <w:trPr>
          <w:trHeight w:val="396" w:hRule="atLeast"/>
        </w:trPr>
        <w:tc>
          <w:tcPr>
            <w:tcW w:w="6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279"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第129中学</w:t>
            </w:r>
          </w:p>
        </w:tc>
        <w:tc>
          <w:tcPr>
            <w:tcW w:w="7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33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第129中学</w:t>
            </w:r>
          </w:p>
        </w:tc>
      </w:tr>
      <w:tr>
        <w:tblPrEx>
          <w:tblCellMar>
            <w:top w:w="0" w:type="dxa"/>
            <w:left w:w="108" w:type="dxa"/>
            <w:bottom w:w="0" w:type="dxa"/>
            <w:right w:w="108" w:type="dxa"/>
          </w:tblCellMar>
        </w:tblPrEx>
        <w:trPr>
          <w:trHeight w:val="396" w:hRule="atLeast"/>
        </w:trPr>
        <w:tc>
          <w:tcPr>
            <w:tcW w:w="60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9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7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0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9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185.15</w:t>
            </w:r>
          </w:p>
        </w:tc>
        <w:tc>
          <w:tcPr>
            <w:tcW w:w="7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69.93</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37.77%</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3.78分</w:t>
            </w:r>
          </w:p>
        </w:tc>
      </w:tr>
      <w:tr>
        <w:tblPrEx>
          <w:tblCellMar>
            <w:top w:w="0" w:type="dxa"/>
            <w:left w:w="108" w:type="dxa"/>
            <w:bottom w:w="0" w:type="dxa"/>
            <w:right w:w="108" w:type="dxa"/>
          </w:tblCellMar>
        </w:tblPrEx>
        <w:trPr>
          <w:trHeight w:val="396" w:hRule="atLeast"/>
        </w:trPr>
        <w:tc>
          <w:tcPr>
            <w:tcW w:w="60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9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185.15</w:t>
            </w:r>
          </w:p>
        </w:tc>
        <w:tc>
          <w:tcPr>
            <w:tcW w:w="7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69.93</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0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9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0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6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95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7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2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609"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11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609"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教学条件改善学生数2000人，学校供暖面积保障完成12867平方米的暖气经费正常完成。学校校舍日常维修改造次数9次的目标。教科书质量合格率达到100%，教科书质量合格率达到100%，每次校舍维修成本0.5万元，学校集中供暖费用28万元，义务教育生均公用经费559元每个学生每年，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为教师提供了更多的学习、培训机会，教师专业化水平和综合素质不断提升。</w:t>
            </w:r>
          </w:p>
        </w:tc>
        <w:tc>
          <w:tcPr>
            <w:tcW w:w="2112" w:type="pct"/>
            <w:gridSpan w:val="5"/>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2022年我单位认真落实义务教育保障机制的各项要求，坚持以义务教育为重点，通过义务教育标准化学校建设，大力推进义务教育均衡，努力推动义务教育从数量扩张向质量提高转变，取得了明显成效。各类教育教学活动有序开展，办学水平不断提升。有城乡义务教育经费做保障，使我校的教育资源配置优化，学校面貌发生了巨大变化，办学条件得到大力改善，教师业务水平进一步提升。本年度由于疫情原因，此项目只执行了上半年6个月，下半年6个月未执行。</w:t>
            </w:r>
          </w:p>
        </w:tc>
      </w:tr>
      <w:tr>
        <w:tblPrEx>
          <w:tblCellMar>
            <w:top w:w="0" w:type="dxa"/>
            <w:left w:w="108" w:type="dxa"/>
            <w:bottom w:w="0" w:type="dxa"/>
            <w:right w:w="108" w:type="dxa"/>
          </w:tblCellMar>
        </w:tblPrEx>
        <w:trPr>
          <w:trHeight w:val="396" w:hRule="atLeast"/>
        </w:trPr>
        <w:tc>
          <w:tcPr>
            <w:tcW w:w="2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44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87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63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72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7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3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90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2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享受教学条件改善学生数</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&gt;=2000人</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2500人</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财政资金紧张，未拨付到位。</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学校供暖面积</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=12867平方米</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12867平方米</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财政资金紧张，未拨付到位。</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学校校舍日常维修改造次数</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=9次</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9次</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财政资金紧张，未拨付到位。</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教科书质量合格率</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&gt;=100%</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学校校舍日常维修改造质量达标率</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&gt;=98%</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98%</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财政资金紧张，未拨付到位。</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每次校舍维修成本</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&lt;=0.50万元</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0.5万元</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义务教育生均公用经费</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&lt;=559元/生/年</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559元/生/年</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学校集中供暖费用</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&lt;=28万元</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0万元</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财政资金紧张，未拨付到位。</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提高社会服务发展能力，提升学生综合素质</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11.85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财政资金紧张，未拨付到位。</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保障学校教育教学工作正常开展</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长期保障</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11.85</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财政资金紧张，未拨付到位。</w:t>
            </w:r>
          </w:p>
        </w:tc>
      </w:tr>
      <w:tr>
        <w:tblPrEx>
          <w:tblCellMar>
            <w:top w:w="0" w:type="dxa"/>
            <w:left w:w="108" w:type="dxa"/>
            <w:bottom w:w="0" w:type="dxa"/>
            <w:right w:w="108" w:type="dxa"/>
          </w:tblCellMar>
        </w:tblPrEx>
        <w:trPr>
          <w:trHeight w:val="396" w:hRule="atLeast"/>
        </w:trPr>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2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872"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师生满意度</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7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92"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82.48分</w:t>
            </w:r>
          </w:p>
        </w:tc>
        <w:tc>
          <w:tcPr>
            <w:tcW w:w="90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24"/>
        </w:rPr>
      </w:pPr>
    </w:p>
    <w:tbl>
      <w:tblPr>
        <w:tblStyle w:val="4"/>
        <w:tblW w:w="4994" w:type="pct"/>
        <w:tblInd w:w="0" w:type="dxa"/>
        <w:tblLayout w:type="fixed"/>
        <w:tblCellMar>
          <w:top w:w="0" w:type="dxa"/>
          <w:left w:w="108" w:type="dxa"/>
          <w:bottom w:w="0" w:type="dxa"/>
          <w:right w:w="108" w:type="dxa"/>
        </w:tblCellMar>
      </w:tblPr>
      <w:tblGrid>
        <w:gridCol w:w="395"/>
        <w:gridCol w:w="727"/>
        <w:gridCol w:w="748"/>
        <w:gridCol w:w="796"/>
        <w:gridCol w:w="943"/>
        <w:gridCol w:w="317"/>
        <w:gridCol w:w="883"/>
        <w:gridCol w:w="329"/>
        <w:gridCol w:w="796"/>
        <w:gridCol w:w="315"/>
        <w:gridCol w:w="311"/>
        <w:gridCol w:w="352"/>
        <w:gridCol w:w="520"/>
        <w:gridCol w:w="283"/>
        <w:gridCol w:w="1130"/>
      </w:tblGrid>
      <w:tr>
        <w:tblPrEx>
          <w:tblCellMar>
            <w:top w:w="0" w:type="dxa"/>
            <w:left w:w="108" w:type="dxa"/>
            <w:bottom w:w="0" w:type="dxa"/>
            <w:right w:w="108" w:type="dxa"/>
          </w:tblCellMar>
        </w:tblPrEx>
        <w:trPr>
          <w:trHeight w:val="405" w:hRule="atLeast"/>
        </w:trPr>
        <w:tc>
          <w:tcPr>
            <w:tcW w:w="5000" w:type="pct"/>
            <w:gridSpan w:val="15"/>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5"/>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365" w:type="pct"/>
            <w:gridSpan w:val="13"/>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乌财科教[2022]45号--关于拨付2022年中小学和幼儿园自聘教师补助资金</w:t>
            </w:r>
          </w:p>
        </w:tc>
      </w:tr>
      <w:tr>
        <w:tblPrEx>
          <w:tblCellMar>
            <w:top w:w="0" w:type="dxa"/>
            <w:left w:w="108" w:type="dxa"/>
            <w:bottom w:w="0" w:type="dxa"/>
            <w:right w:w="108" w:type="dxa"/>
          </w:tblCellMar>
        </w:tblPrEx>
        <w:trPr>
          <w:trHeight w:val="396" w:hRule="atLeast"/>
        </w:trPr>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270"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第129中学</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66"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第129中学</w:t>
            </w:r>
          </w:p>
        </w:tc>
      </w:tr>
      <w:tr>
        <w:tblPrEx>
          <w:tblCellMar>
            <w:top w:w="0" w:type="dxa"/>
            <w:left w:w="108" w:type="dxa"/>
            <w:bottom w:w="0" w:type="dxa"/>
            <w:right w:w="108" w:type="dxa"/>
          </w:tblCellMar>
        </w:tblPrEx>
        <w:trPr>
          <w:trHeight w:val="396" w:hRule="atLeast"/>
        </w:trPr>
        <w:tc>
          <w:tcPr>
            <w:tcW w:w="63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87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3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6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6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116.86</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97.37</w:t>
            </w:r>
          </w:p>
        </w:tc>
        <w:tc>
          <w:tcPr>
            <w:tcW w:w="3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83.32%</w:t>
            </w:r>
          </w:p>
        </w:tc>
        <w:tc>
          <w:tcPr>
            <w:tcW w:w="6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8.33分</w:t>
            </w:r>
          </w:p>
        </w:tc>
      </w:tr>
      <w:tr>
        <w:tblPrEx>
          <w:tblCellMar>
            <w:top w:w="0" w:type="dxa"/>
            <w:left w:w="108" w:type="dxa"/>
            <w:bottom w:w="0" w:type="dxa"/>
            <w:right w:w="108" w:type="dxa"/>
          </w:tblCellMar>
        </w:tblPrEx>
        <w:trPr>
          <w:trHeight w:val="396" w:hRule="atLeast"/>
        </w:trPr>
        <w:tc>
          <w:tcPr>
            <w:tcW w:w="6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116.86</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97.37</w:t>
            </w:r>
          </w:p>
        </w:tc>
        <w:tc>
          <w:tcPr>
            <w:tcW w:w="3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6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7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71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62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37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63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22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681"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95"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681"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代课教师发放人数11人，完成同工同酬教师人数发放19人，保障资金发放准确性，项目完成时间为12个月，弥补现有师资力量的不足，保障学校各项正常教学工作的完成；调动代课教师的工作热情和积极性，提高教学质量提高教师的工作效率，提高受益对象的满意度。</w:t>
            </w:r>
          </w:p>
        </w:tc>
        <w:tc>
          <w:tcPr>
            <w:tcW w:w="2095"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成代课教师发放人数11人，完成同工同酬教师人数发放19人，保障资金发放准确性，项目完成时间为12个月，弥补现有师资力量的不足，保障学校各项正常教学工作的完成；调动代课教师的工作热情和积极性，提高教学质量提高教师的工作效率，提高受益对象的满意度。但是由于财政资金紧张代课教师工资本年度只发放了10个月，剩余2个月未能按时发放。</w:t>
            </w:r>
          </w:p>
        </w:tc>
      </w:tr>
      <w:tr>
        <w:tblPrEx>
          <w:tblCellMar>
            <w:top w:w="0" w:type="dxa"/>
            <w:left w:w="108" w:type="dxa"/>
            <w:bottom w:w="0" w:type="dxa"/>
            <w:right w:w="108" w:type="dxa"/>
          </w:tblCellMar>
        </w:tblPrEx>
        <w:trPr>
          <w:trHeight w:val="396" w:hRule="atLeast"/>
        </w:trPr>
        <w:tc>
          <w:tcPr>
            <w:tcW w:w="22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42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98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67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63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5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9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79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8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7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41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代课教师发放人数</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=11人</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21人</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同工同酬教师(大专）人数发放</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=9人</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9人</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同工同酬教师（本科）发放人数</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=10人</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10人</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资金发放准确性</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项目完成时间</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10个月</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由于财政资金紧张，未及时拨付资金，无法正常支付代课教师工资。</w:t>
            </w: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代课教师月工资</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=4200元/月</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4200元/月</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同工同酬教师（大专）月工资</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=5734.26元/月</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5734.26元/月</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同工同酬教师（本科）月工资</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=6087.26元/月</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6087.26元/月</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调动代课教师的工作热情和积极性，提高教学质量</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11.85</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由于财政资金紧张，未及时拨付资金，无法正常支付代课教师工资。</w:t>
            </w: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保证教学工作的正常开展</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长期保证</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11.85</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由于财政资金紧张，未及时拨付资金，无法正常支付代课教师工资。</w:t>
            </w:r>
          </w:p>
        </w:tc>
      </w:tr>
      <w:tr>
        <w:tblPrEx>
          <w:tblCellMar>
            <w:top w:w="0" w:type="dxa"/>
            <w:left w:w="108" w:type="dxa"/>
            <w:bottom w:w="0" w:type="dxa"/>
            <w:right w:w="108" w:type="dxa"/>
          </w:tblCellMar>
        </w:tblPrEx>
        <w:trPr>
          <w:trHeight w:val="396" w:hRule="atLeast"/>
        </w:trPr>
        <w:tc>
          <w:tcPr>
            <w:tcW w:w="2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10"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423"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983"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代课教师满意度</w:t>
            </w:r>
          </w:p>
        </w:tc>
        <w:tc>
          <w:tcPr>
            <w:tcW w:w="67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63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354" w:type="pct"/>
            <w:gridSpan w:val="9"/>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5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49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82.03分</w:t>
            </w:r>
          </w:p>
        </w:tc>
        <w:tc>
          <w:tcPr>
            <w:tcW w:w="79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tbl>
      <w:tblPr>
        <w:tblStyle w:val="4"/>
        <w:tblW w:w="5000" w:type="pct"/>
        <w:tblInd w:w="0" w:type="dxa"/>
        <w:tblLayout w:type="fixed"/>
        <w:tblCellMar>
          <w:top w:w="0" w:type="dxa"/>
          <w:left w:w="108" w:type="dxa"/>
          <w:bottom w:w="0" w:type="dxa"/>
          <w:right w:w="108" w:type="dxa"/>
        </w:tblCellMar>
      </w:tblPr>
      <w:tblGrid>
        <w:gridCol w:w="653"/>
        <w:gridCol w:w="633"/>
        <w:gridCol w:w="1005"/>
        <w:gridCol w:w="668"/>
        <w:gridCol w:w="802"/>
        <w:gridCol w:w="162"/>
        <w:gridCol w:w="933"/>
        <w:gridCol w:w="930"/>
        <w:gridCol w:w="578"/>
        <w:gridCol w:w="101"/>
        <w:gridCol w:w="799"/>
        <w:gridCol w:w="154"/>
        <w:gridCol w:w="650"/>
        <w:gridCol w:w="788"/>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73"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学生补助---提前下达2022城乡义务教育直达资金（乌财科教【2021】96号】，120号】））</w:t>
            </w:r>
          </w:p>
        </w:tc>
      </w:tr>
      <w:tr>
        <w:tblPrEx>
          <w:tblCellMar>
            <w:top w:w="0" w:type="dxa"/>
            <w:left w:w="108" w:type="dxa"/>
            <w:bottom w:w="0" w:type="dxa"/>
            <w:right w:w="108" w:type="dxa"/>
          </w:tblCellMar>
        </w:tblPrEx>
        <w:trPr>
          <w:trHeight w:val="396" w:hRule="atLeast"/>
        </w:trPr>
        <w:tc>
          <w:tcPr>
            <w:tcW w:w="72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01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第129中学</w:t>
            </w:r>
          </w:p>
        </w:tc>
        <w:tc>
          <w:tcPr>
            <w:tcW w:w="8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06"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第129中学</w:t>
            </w:r>
          </w:p>
        </w:tc>
      </w:tr>
      <w:tr>
        <w:tblPrEx>
          <w:tblCellMar>
            <w:top w:w="0" w:type="dxa"/>
            <w:left w:w="108" w:type="dxa"/>
            <w:bottom w:w="0" w:type="dxa"/>
            <w:right w:w="108" w:type="dxa"/>
          </w:tblCellMar>
        </w:tblPrEx>
        <w:trPr>
          <w:trHeight w:val="396" w:hRule="atLeast"/>
        </w:trPr>
        <w:tc>
          <w:tcPr>
            <w:tcW w:w="72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8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2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5.85</w:t>
            </w:r>
          </w:p>
        </w:tc>
        <w:tc>
          <w:tcPr>
            <w:tcW w:w="8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3.49</w:t>
            </w:r>
          </w:p>
        </w:tc>
        <w:tc>
          <w:tcPr>
            <w:tcW w:w="5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59.66%</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5.97分</w:t>
            </w:r>
          </w:p>
        </w:tc>
      </w:tr>
      <w:tr>
        <w:tblPrEx>
          <w:tblCellMar>
            <w:top w:w="0" w:type="dxa"/>
            <w:left w:w="108" w:type="dxa"/>
            <w:bottom w:w="0" w:type="dxa"/>
            <w:right w:w="108" w:type="dxa"/>
          </w:tblCellMar>
        </w:tblPrEx>
        <w:trPr>
          <w:trHeight w:val="396" w:hRule="atLeast"/>
        </w:trPr>
        <w:tc>
          <w:tcPr>
            <w:tcW w:w="72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5.85</w:t>
            </w:r>
          </w:p>
        </w:tc>
        <w:tc>
          <w:tcPr>
            <w:tcW w:w="8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3.49</w:t>
            </w:r>
          </w:p>
        </w:tc>
        <w:tc>
          <w:tcPr>
            <w:tcW w:w="5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2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2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5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4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372"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258"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372"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贫困生享受教育资助，品等享受教育资源。</w:t>
            </w:r>
          </w:p>
        </w:tc>
        <w:tc>
          <w:tcPr>
            <w:tcW w:w="2258"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由于财政资金紧张，非寄宿贫困生资助本年度只发放一个学期，第二学期财政没有拨款，所以没有发放到位。</w:t>
            </w:r>
          </w:p>
        </w:tc>
      </w:tr>
      <w:tr>
        <w:tblPrEx>
          <w:tblCellMar>
            <w:top w:w="0" w:type="dxa"/>
            <w:left w:w="108" w:type="dxa"/>
            <w:bottom w:w="0" w:type="dxa"/>
            <w:right w:w="108" w:type="dxa"/>
          </w:tblCellMar>
        </w:tblPrEx>
        <w:trPr>
          <w:trHeight w:val="396" w:hRule="atLeast"/>
        </w:trPr>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56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82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61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525"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8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3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81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2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1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35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发放贫困补助学生人数</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&gt;=100人</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112人</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资助标准达标率</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非寄宿贫困学生覆盖率</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&gt;=100%</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享受补助时长</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=12个月</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6个月</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由于财政资金紧张，只发放了第一学期贫困生补助，第二学期未发放到位。</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享受补助标准</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=312.5元/生/学期</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312.5元/生/学期</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解决非寄宿贫困学生困难</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有效解决</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11.85</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由于财政资金紧张，只发放了第一学期贫困生补助，第二学期未发放到位。</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促进贫困生平等享受教育资源</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长期促进</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基本达到预期效果</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11.85</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由于财政资金紧张，只发放了第一学期贫困生补助，第二学期未发放到位。</w:t>
            </w:r>
          </w:p>
        </w:tc>
      </w:tr>
      <w:tr>
        <w:tblPrEx>
          <w:tblCellMar>
            <w:top w:w="0" w:type="dxa"/>
            <w:left w:w="108" w:type="dxa"/>
            <w:bottom w:w="0" w:type="dxa"/>
            <w:right w:w="108" w:type="dxa"/>
          </w:tblCellMar>
        </w:tblPrEx>
        <w:trPr>
          <w:trHeight w:val="396" w:hRule="atLeast"/>
        </w:trPr>
        <w:tc>
          <w:tcPr>
            <w:tcW w:w="3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5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56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829" w:type="pct"/>
            <w:gridSpan w:val="2"/>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学生及家庭满意度</w:t>
            </w:r>
          </w:p>
        </w:tc>
        <w:tc>
          <w:tcPr>
            <w:tcW w:w="61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&gt;=95%</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266"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79.67分</w:t>
            </w:r>
          </w:p>
        </w:tc>
        <w:tc>
          <w:tcPr>
            <w:tcW w:w="8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line="520" w:lineRule="exact"/>
        <w:ind w:left="118" w:firstLine="480"/>
        <w:rPr>
          <w:rFonts w:eastAsia="Times New Roman"/>
          <w:kern w:val="0"/>
          <w:sz w:val="18"/>
          <w:szCs w:val="18"/>
        </w:rPr>
      </w:pPr>
    </w:p>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line="360" w:lineRule="auto"/>
        <w:ind w:firstLine="640"/>
        <w:rPr>
          <w:rFonts w:eastAsia="Times New Roman"/>
          <w:kern w:val="0"/>
          <w:sz w:val="32"/>
        </w:rPr>
      </w:pPr>
    </w:p>
    <w:p>
      <w:pPr>
        <w:shd w:val="clear" w:color="auto" w:fill="FFFFFF"/>
        <w:spacing w:before="100" w:after="240"/>
        <w:jc w:val="center"/>
        <w:rPr>
          <w:rFonts w:eastAsia="Times New Roman"/>
          <w:kern w:val="0"/>
          <w:sz w:val="32"/>
        </w:rPr>
      </w:pPr>
      <w:bookmarkStart w:id="3" w:name="_GoBack"/>
      <w:bookmarkEnd w:id="3"/>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C5DDA"/>
    <w:rsid w:val="003B5497"/>
    <w:rsid w:val="00427E39"/>
    <w:rsid w:val="006C0064"/>
    <w:rsid w:val="00751E88"/>
    <w:rsid w:val="00856059"/>
    <w:rsid w:val="00931764"/>
    <w:rsid w:val="00A81E27"/>
    <w:rsid w:val="00F90BC3"/>
    <w:rsid w:val="00F95C8E"/>
    <w:rsid w:val="0BB30FDF"/>
    <w:rsid w:val="166632FD"/>
    <w:rsid w:val="20AB1451"/>
    <w:rsid w:val="65221C62"/>
    <w:rsid w:val="68950E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rFonts w:hint="default"/>
      <w:kern w:val="2"/>
      <w:sz w:val="18"/>
      <w:szCs w:val="18"/>
    </w:rPr>
  </w:style>
  <w:style w:type="character" w:customStyle="1" w:styleId="7">
    <w:name w:val="页脚 字符"/>
    <w:link w:val="2"/>
    <w:qFormat/>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8159</Words>
  <Characters>9208</Characters>
  <Lines>70</Lines>
  <Paragraphs>19</Paragraphs>
  <TotalTime>6</TotalTime>
  <ScaleCrop>false</ScaleCrop>
  <LinksUpToDate>false</LinksUpToDate>
  <CharactersWithSpaces>9220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2023-08-17T10:17:00Z</dcterms:created>
  <dc:creator>Administrator</dc:creator>
  <cp:lastModifiedBy>逐梦令</cp:lastModifiedBy>
  <dcterms:modified xsi:type="dcterms:W3CDTF">2023-09-01T07:15:11Z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E179D86C2FE44F8CA353786387F9C144_13</vt:lpwstr>
  </property>
</Properties>
</file>