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公用经费--关于提前下达2022年教育直达资金的通知（乌财科教2021【96、120、23】号）</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第</w:t>
      </w:r>
      <w:r>
        <w:rPr>
          <w:rStyle w:val="18"/>
          <w:rFonts w:hint="eastAsia" w:ascii="楷体" w:hAnsi="楷体" w:eastAsia="楷体"/>
          <w:spacing w:val="-4"/>
          <w:sz w:val="28"/>
          <w:szCs w:val="28"/>
          <w:lang w:val="en-US" w:eastAsia="zh-CN"/>
        </w:rPr>
        <w:t>140</w:t>
      </w:r>
      <w:r>
        <w:rPr>
          <w:rStyle w:val="18"/>
          <w:rFonts w:hint="eastAsia" w:ascii="楷体" w:hAnsi="楷体" w:eastAsia="楷体"/>
          <w:spacing w:val="-4"/>
          <w:sz w:val="28"/>
          <w:szCs w:val="28"/>
        </w:rPr>
        <w:t>中学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第</w:t>
      </w:r>
      <w:r>
        <w:rPr>
          <w:rStyle w:val="18"/>
          <w:rFonts w:hint="eastAsia" w:ascii="楷体" w:hAnsi="楷体" w:eastAsia="楷体"/>
          <w:spacing w:val="-4"/>
          <w:sz w:val="28"/>
          <w:szCs w:val="28"/>
          <w:lang w:val="en-US" w:eastAsia="zh-CN"/>
        </w:rPr>
        <w:t>140</w:t>
      </w:r>
      <w:r>
        <w:rPr>
          <w:rStyle w:val="18"/>
          <w:rFonts w:hint="eastAsia" w:ascii="楷体" w:hAnsi="楷体" w:eastAsia="楷体"/>
          <w:spacing w:val="-4"/>
          <w:sz w:val="28"/>
          <w:szCs w:val="28"/>
        </w:rPr>
        <w:t>中学</w:t>
      </w:r>
    </w:p>
    <w:p>
      <w:pPr>
        <w:spacing w:line="540" w:lineRule="exact"/>
        <w:ind w:firstLine="900" w:firstLineChars="250"/>
        <w:rPr>
          <w:rFonts w:hint="eastAsia" w:ascii="楷体" w:hAnsi="楷体" w:eastAsia="仿宋_GB2312"/>
          <w:b/>
          <w:bCs/>
          <w:spacing w:val="-4"/>
          <w:sz w:val="32"/>
          <w:szCs w:val="32"/>
          <w:lang w:eastAsia="zh-CN"/>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lang w:val="en-US" w:eastAsia="zh-CN"/>
        </w:rPr>
        <w:t>冯剑晖</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2023年05月</w:t>
      </w:r>
      <w:r>
        <w:rPr>
          <w:rStyle w:val="18"/>
          <w:rFonts w:hint="eastAsia" w:ascii="楷体" w:hAnsi="楷体" w:eastAsia="楷体"/>
          <w:spacing w:val="-4"/>
          <w:sz w:val="32"/>
          <w:szCs w:val="32"/>
          <w:lang w:val="en-US" w:eastAsia="zh-CN"/>
        </w:rPr>
        <w:t>28</w:t>
      </w:r>
      <w:r>
        <w:rPr>
          <w:rStyle w:val="18"/>
          <w:rFonts w:hint="eastAsia" w:ascii="楷体" w:hAnsi="楷体" w:eastAsia="楷体"/>
          <w:spacing w:val="-4"/>
          <w:sz w:val="32"/>
          <w:szCs w:val="32"/>
        </w:rPr>
        <w:t>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公用经费-关于提前下达2022年教育直达资金的通知》（乌财科教2021【96】号）、（乌财科教2021【120】号）、（乌财科教2021【23】号）文件，城乡义务教育经费保障机制—公用经费项目主要用于学校绿化及新建学校班级校园文化建设、学校硬件设施完善及修葺、学生的日常活动所需的办公用品及劳保用品，教师所需的课本费，报刊费及各项软件的使用服务费、安保服务费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经《公用经费-关于提前下达2022年教育直达资金的通知》（乌财科教2021【96】号）、（乌财科教2021【120】号）、（乌财科教2021【23】号）文件批准，项目系2022年中央资金，共安排预算</w:t>
      </w:r>
      <w:r>
        <w:rPr>
          <w:rStyle w:val="18"/>
          <w:rFonts w:hint="eastAsia" w:ascii="楷体" w:hAnsi="楷体" w:eastAsia="楷体"/>
          <w:b w:val="0"/>
          <w:bCs w:val="0"/>
          <w:spacing w:val="-4"/>
          <w:sz w:val="32"/>
          <w:szCs w:val="32"/>
          <w:lang w:val="en-US" w:eastAsia="zh-CN"/>
        </w:rPr>
        <w:t>46.11</w:t>
      </w:r>
      <w:r>
        <w:rPr>
          <w:rStyle w:val="18"/>
          <w:rFonts w:hint="eastAsia" w:ascii="楷体" w:hAnsi="楷体" w:eastAsia="楷体"/>
          <w:b w:val="0"/>
          <w:bCs w:val="0"/>
          <w:spacing w:val="-4"/>
          <w:sz w:val="32"/>
          <w:szCs w:val="32"/>
        </w:rPr>
        <w:t>万元，为2022年年中追加批复项目，资金到位</w:t>
      </w:r>
      <w:r>
        <w:rPr>
          <w:rStyle w:val="18"/>
          <w:rFonts w:hint="eastAsia" w:ascii="楷体" w:hAnsi="楷体" w:eastAsia="楷体"/>
          <w:b w:val="0"/>
          <w:bCs w:val="0"/>
          <w:spacing w:val="-4"/>
          <w:sz w:val="32"/>
          <w:szCs w:val="32"/>
          <w:lang w:val="en-US" w:eastAsia="zh-CN"/>
        </w:rPr>
        <w:t>40.02</w:t>
      </w:r>
      <w:r>
        <w:rPr>
          <w:rStyle w:val="18"/>
          <w:rFonts w:hint="eastAsia" w:ascii="楷体" w:hAnsi="楷体" w:eastAsia="楷体"/>
          <w:b w:val="0"/>
          <w:bCs w:val="0"/>
          <w:spacing w:val="-4"/>
          <w:sz w:val="32"/>
          <w:szCs w:val="32"/>
        </w:rPr>
        <w:t>万元，支付资金</w:t>
      </w:r>
      <w:r>
        <w:rPr>
          <w:rStyle w:val="18"/>
          <w:rFonts w:hint="eastAsia" w:ascii="楷体" w:hAnsi="楷体" w:eastAsia="楷体"/>
          <w:b w:val="0"/>
          <w:bCs w:val="0"/>
          <w:spacing w:val="-4"/>
          <w:sz w:val="32"/>
          <w:szCs w:val="32"/>
          <w:lang w:val="en-US" w:eastAsia="zh-CN"/>
        </w:rPr>
        <w:t>40.02</w:t>
      </w:r>
      <w:r>
        <w:rPr>
          <w:rStyle w:val="18"/>
          <w:rFonts w:hint="eastAsia" w:ascii="楷体" w:hAnsi="楷体" w:eastAsia="楷体"/>
          <w:b w:val="0"/>
          <w:bCs w:val="0"/>
          <w:spacing w:val="-4"/>
          <w:sz w:val="32"/>
          <w:szCs w:val="32"/>
        </w:rPr>
        <w:t>万元，均为年中资金进行追加调增的项目。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该项目绩效目标设置横跨项目期1年，为总体绩效目标，预计在1年教学期间，计划完成供暖面积</w:t>
      </w:r>
      <w:r>
        <w:rPr>
          <w:rStyle w:val="18"/>
          <w:rFonts w:hint="eastAsia" w:ascii="楷体" w:hAnsi="楷体" w:eastAsia="楷体"/>
          <w:b w:val="0"/>
          <w:bCs w:val="0"/>
          <w:spacing w:val="-4"/>
          <w:sz w:val="32"/>
          <w:szCs w:val="32"/>
          <w:lang w:val="en-US" w:eastAsia="zh-CN"/>
        </w:rPr>
        <w:t>11175</w:t>
      </w:r>
      <w:r>
        <w:rPr>
          <w:rStyle w:val="18"/>
          <w:rFonts w:hint="eastAsia" w:ascii="楷体" w:hAnsi="楷体" w:eastAsia="楷体"/>
          <w:b w:val="0"/>
          <w:bCs w:val="0"/>
          <w:spacing w:val="-4"/>
          <w:sz w:val="32"/>
          <w:szCs w:val="32"/>
        </w:rPr>
        <w:t>平方米，办公用品及劳保用品采购次数达1</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次，安保人员数量为6人。实际完成供暖面积</w:t>
      </w:r>
      <w:r>
        <w:rPr>
          <w:rStyle w:val="18"/>
          <w:rFonts w:hint="eastAsia" w:ascii="楷体" w:hAnsi="楷体" w:eastAsia="楷体"/>
          <w:b w:val="0"/>
          <w:bCs w:val="0"/>
          <w:spacing w:val="-4"/>
          <w:sz w:val="32"/>
          <w:szCs w:val="32"/>
          <w:lang w:val="en-US" w:eastAsia="zh-CN"/>
        </w:rPr>
        <w:t>11175</w:t>
      </w:r>
      <w:r>
        <w:rPr>
          <w:rStyle w:val="18"/>
          <w:rFonts w:hint="eastAsia" w:ascii="楷体" w:hAnsi="楷体" w:eastAsia="楷体"/>
          <w:b w:val="0"/>
          <w:bCs w:val="0"/>
          <w:spacing w:val="-4"/>
          <w:sz w:val="32"/>
          <w:szCs w:val="32"/>
        </w:rPr>
        <w:t>平方米，办公用品及劳保用品采购次数达6次，安保人员数量为6人。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（1）绩效评价的对象：城乡义务教育经费保障机制—公用经费项目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1.项目范围：城乡义务教育经费保障机制—公用经费的完成情况、资金投入的运行情况、项目实施后产生的绩效及影响效果。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2.时间范围：2022年1月1日至2022年12月31日。</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根据以上原则，绩效评价应遵循如下要求：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（1）在数据收集时，采取客观数据，并结合问卷调查结果，以保证各项指标的真实性。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本项目的评价指标体系建立如附件所示。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本项目（城乡义务教育经费保障机制—公用经费）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·《关于印发&lt;乌鲁木齐市本级部门预算绩效目标管理暂行办法&gt;的通知》（乌财预〔2018〕56号）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·《关于做好2019年部门预算项目支出绩效目标管理有关事宜的通知》（乌财预〔2018〕76号）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城乡义务教育经费保障机制—公用经费进行客观评价，最终评分结果为：总分为89.9分，绩效评级为“良”[ 参考《关于印发&lt;项目支出绩效评价管理办法&gt;的通知》（财预〔2020〕10号）中的规定，本次绩效评价结果实施百分制和四级分类，其中90（含）-100分为优、80（含）-90分为良、60（含）-80分为中、60分以下为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项目各部分权重和绩效分值如附表所示：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（二）主要绩效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区财政及时拨付，单位在此次评价期间内，有序完成设定目标的部分工作任务，本项目通过支付保运转的水费、电费、电话费；6个月购买办公用品及劳保用品，安保人员工资，保障学校办学水平，保障教育教学工作正常开展。有序完成教学任务，为义务段教育工作提供强有力的支撑。</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项目决算指标由3个二级指标和6个三级指标构成，权重为20分，实际得分20分。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项目立项符合国家法律法规、政策要求。同时，项目与部门职责范围相符，属于部门履职所需。此外，本项目属于公共财政支持范围，符合中央、地方事权支出责任划分原则。因此，立项依据充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 项目按照规定的程序申请设立，审批文件、材料符合相关要求，故立项程序规范，得4分。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综上，该指标满分8分，得分8分。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绩效目标明确性： 按月经财政审批支付给国网新疆电力有限公司电费合计</w:t>
      </w:r>
      <w:r>
        <w:rPr>
          <w:rStyle w:val="18"/>
          <w:rFonts w:hint="eastAsia" w:ascii="楷体" w:hAnsi="楷体" w:eastAsia="楷体"/>
          <w:b w:val="0"/>
          <w:bCs w:val="0"/>
          <w:spacing w:val="-4"/>
          <w:sz w:val="32"/>
          <w:szCs w:val="32"/>
          <w:lang w:val="en-US" w:eastAsia="zh-CN"/>
        </w:rPr>
        <w:t>3.76</w:t>
      </w:r>
      <w:r>
        <w:rPr>
          <w:rStyle w:val="18"/>
          <w:rFonts w:hint="eastAsia" w:ascii="楷体" w:hAnsi="楷体" w:eastAsia="楷体"/>
          <w:b w:val="0"/>
          <w:bCs w:val="0"/>
          <w:spacing w:val="-4"/>
          <w:sz w:val="32"/>
          <w:szCs w:val="32"/>
        </w:rPr>
        <w:t>万元，按月经财政审批支付给新疆睿智恒安保科技有限公司安保服务费合计</w:t>
      </w:r>
      <w:r>
        <w:rPr>
          <w:rStyle w:val="18"/>
          <w:rFonts w:hint="eastAsia" w:ascii="楷体" w:hAnsi="楷体" w:eastAsia="楷体"/>
          <w:b w:val="0"/>
          <w:bCs w:val="0"/>
          <w:spacing w:val="-4"/>
          <w:sz w:val="32"/>
          <w:szCs w:val="32"/>
          <w:lang w:val="en-US" w:eastAsia="zh-CN"/>
        </w:rPr>
        <w:t>18</w:t>
      </w:r>
      <w:r>
        <w:rPr>
          <w:rStyle w:val="18"/>
          <w:rFonts w:hint="eastAsia" w:ascii="楷体" w:hAnsi="楷体" w:eastAsia="楷体"/>
          <w:b w:val="0"/>
          <w:bCs w:val="0"/>
          <w:spacing w:val="-4"/>
          <w:sz w:val="32"/>
          <w:szCs w:val="32"/>
        </w:rPr>
        <w:t>万；按月经财政审批支付给乌鲁木齐市米东区供排水公司合计</w:t>
      </w:r>
      <w:r>
        <w:rPr>
          <w:rStyle w:val="18"/>
          <w:rFonts w:hint="eastAsia" w:ascii="楷体" w:hAnsi="楷体" w:eastAsia="楷体"/>
          <w:b w:val="0"/>
          <w:bCs w:val="0"/>
          <w:spacing w:val="-4"/>
          <w:sz w:val="32"/>
          <w:szCs w:val="32"/>
          <w:lang w:val="en-US" w:eastAsia="zh-CN"/>
        </w:rPr>
        <w:t>0.46</w:t>
      </w:r>
      <w:r>
        <w:rPr>
          <w:rStyle w:val="18"/>
          <w:rFonts w:hint="eastAsia" w:ascii="楷体" w:hAnsi="楷体" w:eastAsia="楷体"/>
          <w:b w:val="0"/>
          <w:bCs w:val="0"/>
          <w:spacing w:val="-4"/>
          <w:sz w:val="32"/>
          <w:szCs w:val="32"/>
        </w:rPr>
        <w:t>万元，按月经财政审批支付给中国电信、中国移动电话费及网络通信费合计</w:t>
      </w:r>
      <w:r>
        <w:rPr>
          <w:rStyle w:val="18"/>
          <w:rFonts w:hint="eastAsia" w:ascii="楷体" w:hAnsi="楷体" w:eastAsia="楷体"/>
          <w:b w:val="0"/>
          <w:bCs w:val="0"/>
          <w:spacing w:val="-4"/>
          <w:sz w:val="32"/>
          <w:szCs w:val="32"/>
          <w:lang w:val="en-US" w:eastAsia="zh-CN"/>
        </w:rPr>
        <w:t>0.3</w:t>
      </w:r>
      <w:r>
        <w:rPr>
          <w:rStyle w:val="18"/>
          <w:rFonts w:hint="eastAsia" w:ascii="楷体" w:hAnsi="楷体" w:eastAsia="楷体"/>
          <w:b w:val="0"/>
          <w:bCs w:val="0"/>
          <w:spacing w:val="-4"/>
          <w:sz w:val="32"/>
          <w:szCs w:val="32"/>
        </w:rPr>
        <w:t>万元；经财政审批于2022年6月31日前支付给中国邮政、乌鲁木齐市米东区金蝶儿商行、昌吉新华书店有限责任公司米东区分公司等文化用品店等办公劳保费用合计</w:t>
      </w:r>
      <w:r>
        <w:rPr>
          <w:rStyle w:val="18"/>
          <w:rFonts w:hint="eastAsia" w:ascii="楷体" w:hAnsi="楷体" w:eastAsia="楷体"/>
          <w:b w:val="0"/>
          <w:bCs w:val="0"/>
          <w:spacing w:val="-4"/>
          <w:sz w:val="32"/>
          <w:szCs w:val="32"/>
          <w:lang w:val="en-US" w:eastAsia="zh-CN"/>
        </w:rPr>
        <w:t>26.39</w:t>
      </w:r>
      <w:bookmarkStart w:id="0" w:name="_GoBack"/>
      <w:bookmarkEnd w:id="0"/>
      <w:r>
        <w:rPr>
          <w:rStyle w:val="18"/>
          <w:rFonts w:hint="eastAsia" w:ascii="楷体" w:hAnsi="楷体" w:eastAsia="楷体"/>
          <w:b w:val="0"/>
          <w:bCs w:val="0"/>
          <w:spacing w:val="-4"/>
          <w:sz w:val="32"/>
          <w:szCs w:val="32"/>
        </w:rPr>
        <w:t>万元。解决单位的基本正常运转的后顾之忧，起到了促进教育教学活动的正常开展，保障教育教学质量的作用。项目明确水费、电费、电话费的实时数据，安保服务人员的数量及标准，要求按规定缴纳运转费用。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预算编制按照会计期间下发的公用经费分配表做项目框架。分配表按照2022年预算学生人数和财教【2021】56号文件中规定公用经费补助生均标准进行测算，因而额度指标生成均有所依据。资金安排使用公用经费讲究轻重缓急，统筹兼顾，按照政府采购有关法律法规制度执行。故预算编制科学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我校各部门对经费的使用进行监管，按照政府采购要求已在范围内使用政采云进行采购，采购流程需经过部门领导，专管校领导，主要领导签字，金额较大会开会议决定，大额上报教育局财政局领导审批。因而资金使用规范合理。故资金分配合理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项目过程指标由2个二级指标和5个三级指标构成，权重为20分，实际得分17.55分。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 本项目预算资金为</w:t>
      </w:r>
      <w:r>
        <w:rPr>
          <w:rStyle w:val="18"/>
          <w:rFonts w:hint="eastAsia" w:ascii="楷体" w:hAnsi="楷体" w:eastAsia="楷体"/>
          <w:b w:val="0"/>
          <w:bCs w:val="0"/>
          <w:spacing w:val="-4"/>
          <w:sz w:val="32"/>
          <w:szCs w:val="32"/>
          <w:lang w:val="en-US" w:eastAsia="zh-CN"/>
        </w:rPr>
        <w:t>46.11</w:t>
      </w:r>
      <w:r>
        <w:rPr>
          <w:rStyle w:val="18"/>
          <w:rFonts w:hint="eastAsia" w:ascii="楷体" w:hAnsi="楷体" w:eastAsia="楷体"/>
          <w:b w:val="0"/>
          <w:bCs w:val="0"/>
          <w:spacing w:val="-4"/>
          <w:sz w:val="32"/>
          <w:szCs w:val="32"/>
        </w:rPr>
        <w:t>万元，拨付了</w:t>
      </w:r>
      <w:r>
        <w:rPr>
          <w:rStyle w:val="18"/>
          <w:rFonts w:hint="eastAsia" w:ascii="楷体" w:hAnsi="楷体" w:eastAsia="楷体"/>
          <w:b w:val="0"/>
          <w:bCs w:val="0"/>
          <w:spacing w:val="-4"/>
          <w:sz w:val="32"/>
          <w:szCs w:val="32"/>
          <w:lang w:val="en-US" w:eastAsia="zh-CN"/>
        </w:rPr>
        <w:t>40.02</w:t>
      </w:r>
      <w:r>
        <w:rPr>
          <w:rStyle w:val="18"/>
          <w:rFonts w:hint="eastAsia" w:ascii="楷体" w:hAnsi="楷体" w:eastAsia="楷体"/>
          <w:b w:val="0"/>
          <w:bCs w:val="0"/>
          <w:spacing w:val="-4"/>
          <w:sz w:val="32"/>
          <w:szCs w:val="32"/>
        </w:rPr>
        <w:t>万元，到位资金为</w:t>
      </w:r>
      <w:r>
        <w:rPr>
          <w:rStyle w:val="18"/>
          <w:rFonts w:hint="eastAsia" w:ascii="楷体" w:hAnsi="楷体" w:eastAsia="楷体"/>
          <w:b w:val="0"/>
          <w:bCs w:val="0"/>
          <w:spacing w:val="-4"/>
          <w:sz w:val="32"/>
          <w:szCs w:val="32"/>
          <w:lang w:val="en-US" w:eastAsia="zh-CN"/>
        </w:rPr>
        <w:t>40.02</w:t>
      </w:r>
      <w:r>
        <w:rPr>
          <w:rStyle w:val="18"/>
          <w:rFonts w:hint="eastAsia" w:ascii="楷体" w:hAnsi="楷体" w:eastAsia="楷体"/>
          <w:b w:val="0"/>
          <w:bCs w:val="0"/>
          <w:spacing w:val="-4"/>
          <w:sz w:val="32"/>
          <w:szCs w:val="32"/>
        </w:rPr>
        <w:t>万元，资金到位率为</w:t>
      </w:r>
      <w:r>
        <w:rPr>
          <w:rStyle w:val="18"/>
          <w:rFonts w:hint="eastAsia" w:ascii="楷体" w:hAnsi="楷体" w:eastAsia="楷体"/>
          <w:b w:val="0"/>
          <w:bCs w:val="0"/>
          <w:spacing w:val="-4"/>
          <w:sz w:val="32"/>
          <w:szCs w:val="32"/>
          <w:lang w:val="en-US" w:eastAsia="zh-CN"/>
        </w:rPr>
        <w:t>86.79</w:t>
      </w:r>
      <w:r>
        <w:rPr>
          <w:rStyle w:val="18"/>
          <w:rFonts w:hint="eastAsia" w:ascii="楷体" w:hAnsi="楷体" w:eastAsia="楷体"/>
          <w:b w:val="0"/>
          <w:bCs w:val="0"/>
          <w:spacing w:val="-4"/>
          <w:sz w:val="32"/>
          <w:szCs w:val="32"/>
        </w:rPr>
        <w:t>%，故资金到位率指标得分2.55分。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 本项目实际到位资金为</w:t>
      </w:r>
      <w:r>
        <w:rPr>
          <w:rStyle w:val="18"/>
          <w:rFonts w:hint="eastAsia" w:ascii="楷体" w:hAnsi="楷体" w:eastAsia="楷体"/>
          <w:b w:val="0"/>
          <w:bCs w:val="0"/>
          <w:spacing w:val="-4"/>
          <w:sz w:val="32"/>
          <w:szCs w:val="32"/>
          <w:lang w:val="en-US" w:eastAsia="zh-CN"/>
        </w:rPr>
        <w:t>40.02</w:t>
      </w:r>
      <w:r>
        <w:rPr>
          <w:rStyle w:val="18"/>
          <w:rFonts w:hint="eastAsia" w:ascii="楷体" w:hAnsi="楷体" w:eastAsia="楷体"/>
          <w:b w:val="0"/>
          <w:bCs w:val="0"/>
          <w:spacing w:val="-4"/>
          <w:sz w:val="32"/>
          <w:szCs w:val="32"/>
        </w:rPr>
        <w:t>万元，终审了</w:t>
      </w:r>
      <w:r>
        <w:rPr>
          <w:rStyle w:val="18"/>
          <w:rFonts w:hint="eastAsia" w:ascii="楷体" w:hAnsi="楷体" w:eastAsia="楷体"/>
          <w:b w:val="0"/>
          <w:bCs w:val="0"/>
          <w:spacing w:val="-4"/>
          <w:sz w:val="32"/>
          <w:szCs w:val="32"/>
          <w:lang w:val="en-US" w:eastAsia="zh-CN"/>
        </w:rPr>
        <w:t>40.02</w:t>
      </w:r>
      <w:r>
        <w:rPr>
          <w:rStyle w:val="18"/>
          <w:rFonts w:hint="eastAsia" w:ascii="楷体" w:hAnsi="楷体" w:eastAsia="楷体"/>
          <w:b w:val="0"/>
          <w:bCs w:val="0"/>
          <w:spacing w:val="-4"/>
          <w:sz w:val="32"/>
          <w:szCs w:val="32"/>
        </w:rPr>
        <w:t>万元，实际支付资金</w:t>
      </w:r>
      <w:r>
        <w:rPr>
          <w:rStyle w:val="18"/>
          <w:rFonts w:hint="eastAsia" w:ascii="楷体" w:hAnsi="楷体" w:eastAsia="楷体"/>
          <w:b w:val="0"/>
          <w:bCs w:val="0"/>
          <w:spacing w:val="-4"/>
          <w:sz w:val="32"/>
          <w:szCs w:val="32"/>
          <w:lang w:val="en-US" w:eastAsia="zh-CN"/>
        </w:rPr>
        <w:t>40.02</w:t>
      </w:r>
      <w:r>
        <w:rPr>
          <w:rStyle w:val="18"/>
          <w:rFonts w:hint="eastAsia" w:ascii="楷体" w:hAnsi="楷体" w:eastAsia="楷体"/>
          <w:b w:val="0"/>
          <w:bCs w:val="0"/>
          <w:spacing w:val="-4"/>
          <w:sz w:val="32"/>
          <w:szCs w:val="32"/>
        </w:rPr>
        <w:t>万元，预算执行率为100%。故预算执行率得分为5分。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综上，该指标满分13分，得分10.55分。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管理制度健全性：乌鲁木齐市第122中学已制定相应的财务和业务管理制度，且制度合法、合规、完整，为项目顺利实施提供重要保障。故管理制度健全性得分为3分。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制度执行有效性：根据现场调研和资料抽查情况，乌鲁木齐市第</w:t>
      </w:r>
      <w:r>
        <w:rPr>
          <w:rStyle w:val="18"/>
          <w:rFonts w:hint="eastAsia" w:ascii="楷体" w:hAnsi="楷体" w:eastAsia="楷体"/>
          <w:b w:val="0"/>
          <w:bCs w:val="0"/>
          <w:spacing w:val="-4"/>
          <w:sz w:val="32"/>
          <w:szCs w:val="32"/>
          <w:lang w:val="en-US" w:eastAsia="zh-CN"/>
        </w:rPr>
        <w:t>140</w:t>
      </w:r>
      <w:r>
        <w:rPr>
          <w:rStyle w:val="18"/>
          <w:rFonts w:hint="eastAsia" w:ascii="楷体" w:hAnsi="楷体" w:eastAsia="楷体"/>
          <w:b w:val="0"/>
          <w:bCs w:val="0"/>
          <w:spacing w:val="-4"/>
          <w:sz w:val="32"/>
          <w:szCs w:val="32"/>
        </w:rPr>
        <w:t>中学严格遵守相关法律法规和相关管理规定，项目调整及支出调整手续完备，整体管理合理有序，项目完成后，及时将会计凭证、付款资料、合同资料、劳资支付审批资料、固定资产入库单等相关资料分类归档，制度执行有效。故制度执行有效性指标得分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综上，该指标满分7分，得分7分。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项目产出指标由4个二级指标和10个三级指标构成，权重为40分，实际得分35.5分。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数量指标“供暖面积”的目标值是大于等于</w:t>
      </w:r>
      <w:r>
        <w:rPr>
          <w:rStyle w:val="18"/>
          <w:rFonts w:hint="eastAsia" w:ascii="楷体" w:hAnsi="楷体" w:eastAsia="楷体"/>
          <w:b w:val="0"/>
          <w:bCs w:val="0"/>
          <w:spacing w:val="-4"/>
          <w:sz w:val="32"/>
          <w:szCs w:val="32"/>
          <w:lang w:val="en-US" w:eastAsia="zh-CN"/>
        </w:rPr>
        <w:t>11175</w:t>
      </w:r>
      <w:r>
        <w:rPr>
          <w:rStyle w:val="18"/>
          <w:rFonts w:hint="eastAsia" w:ascii="楷体" w:hAnsi="楷体" w:eastAsia="楷体"/>
          <w:b w:val="0"/>
          <w:bCs w:val="0"/>
          <w:spacing w:val="-4"/>
          <w:sz w:val="32"/>
          <w:szCs w:val="32"/>
        </w:rPr>
        <w:t>平方米，2022年度我单位实际完成等于</w:t>
      </w:r>
      <w:r>
        <w:rPr>
          <w:rStyle w:val="18"/>
          <w:rFonts w:hint="eastAsia" w:ascii="楷体" w:hAnsi="楷体" w:eastAsia="楷体"/>
          <w:b w:val="0"/>
          <w:bCs w:val="0"/>
          <w:spacing w:val="-4"/>
          <w:sz w:val="32"/>
          <w:szCs w:val="32"/>
          <w:lang w:val="en-US" w:eastAsia="zh-CN"/>
        </w:rPr>
        <w:t>11175</w:t>
      </w:r>
      <w:r>
        <w:rPr>
          <w:rStyle w:val="18"/>
          <w:rFonts w:hint="eastAsia" w:ascii="楷体" w:hAnsi="楷体" w:eastAsia="楷体"/>
          <w:b w:val="0"/>
          <w:bCs w:val="0"/>
          <w:spacing w:val="-4"/>
          <w:sz w:val="32"/>
          <w:szCs w:val="32"/>
        </w:rPr>
        <w:t>平方米。故实际完成率：100%，供暖面积指标得分为3分。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数量指标“办公用品及劳保用品采购次数”的目标值是大于等于1</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次，2022年度我单位实际完成6次，主要原因为下半年疫情影响采购。故实际完成率：50%，办公用品及劳保用品采购次数指标得分为1.5分。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数量指标“安保人员数量”的目标值是小于等于6人，2022年度我单位实际完成4人，主要原因为下半年疫情影响，4人完成6人的安保防护的工作。故实际完成率：100%，安保人员数量指标得分为4分。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办公用品及劳保用品质量达标率：年度指标值为“=100%”，实际完成值为“100%”，故办公用品及劳保用品质量达标率指标得分为4分。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供暖面积覆盖率：年度指标值为“=100%”，实际完成值为“100%”，故供暖面积覆盖率指标得分为3分。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安保人员上岗率：年度指标值为“=100%”，实际完成值为“100%”，故安保人员上岗率指标得分为3分。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项目完成时限：年度指标值为“=12个月”，实际完成值为“12个月”，故项目完成时限指标得分为10分。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供暖费成本：年度指标值为“&lt;=27万元”，实际完成值为“0万元”，实际完成率为“0%”，故供暖费成本指标得分0分。主要为预计27万元，但本年度并未终审，未支付。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安保人员工资：年度指标值为“&lt;=18万元”，实际完成值为“18万”，完成值为“100%”，故安保人员工资指标得分为3分。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购买办公用品及劳保用品成本：年度指标值为“&lt;=51万元”，实际完成值为“29.31万元”，完成值为“100%”，故购买办公用品及劳保用品成本指标得分为4分。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综上，该指标满分40分，得分35.5分。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经济效益指标：不适用。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保障教育教学工作正常开展”，指标值：有效保障开展，实际完成值：基本达到预期效果，实际完成率79%，故保障教育教学工作正常开展指标得分为11.85分。本项目的实施提高资金的使用效益，推动义务教育均衡发展，巩固完善校舍安全保障长效机制，使教育教学活动得以正常开展，但因为财政资金紧张，疫情影响政府采购工作，经费需更节约使用，所以一些业务未能有序开展，故社会效益指标完成值为基本达到预期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生态效益指标：不适用。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可持续影响指标：不适用。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综上，该指标满分15分，得分11.85分。</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Style w:val="18"/>
          <w:rFonts w:hint="eastAsia"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评价指标“教师满意度”，指标值：≥90%，实际完成值：90%，实际完成率100%。通过设置问卷调查的方式进行考评评价，共计调查样本总量为20个样本，有效调查问卷20份。其中，统计“学校实际工作情况理”的平均值为90%。故满意度指标得分为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综上，该指标满分5分，得分5分。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本项目预算执行率为100%，指标总体完成率为89.9%，二者之间的偏差值为10.1%，小于20%。因此，本项目较好地完成了年度总体目标，财政资金使用效益和效率较高。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主要经验与做法是通过绩效评价总结出来的可能有助于开展其他类似项目或提高被评价项目成效的信息,具体包括项目在实施过程的最佳实践和突出问题,及其对项目绩效的影响。经验教训需要针对被评价项目, 立在客观证据的基础之上指出其参考价值。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因疫情影响政府采购，财政预算资金紧张，城乡义务教育经费保障机制—公用经费资金不能及时进行拨付，影响了我校正常办公、教学及劳保用品采购，教育教学相关业务活动工作未能更好开展。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城乡义务教育经费保障机制—公用经费能够有按时拨付到账，有利于学校更好进行开展教育教学相关业务活动相关工作。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13D7B67"/>
    <w:rsid w:val="07261865"/>
    <w:rsid w:val="0856517C"/>
    <w:rsid w:val="0BFB189F"/>
    <w:rsid w:val="0E3B6BD1"/>
    <w:rsid w:val="11BD75F7"/>
    <w:rsid w:val="13BE561A"/>
    <w:rsid w:val="15392994"/>
    <w:rsid w:val="18FE139B"/>
    <w:rsid w:val="1AE82603"/>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Words>
  <Characters>588</Characters>
  <Lines>4</Lines>
  <Paragraphs>1</Paragraphs>
  <TotalTime>44</TotalTime>
  <ScaleCrop>false</ScaleCrop>
  <LinksUpToDate>false</LinksUpToDate>
  <CharactersWithSpaces>689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2023-08-30T09:01:51Z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