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乌鲁木齐市米东区第61中学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（一）正确贯彻执行党和国家的教育方针、政策、法规。</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（二）维护学校的教学秩序，为学生创造良好的学习环境。</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（三）积极稳妥地推进教育改革，按教育规律办事，不断提高教育质量。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（四）根据学校规模，设置学校管理机构，建立健全各项规章制度和岗位责任制。</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（五）坚持教书育人，服务育人，环境育人方针，加强对学生的思想品德教育，使学生的德智体全面发展。</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（六）抓好教师队伍建设，使每个教师都热心于教育事业。</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（七）做好安全防范，保证学生的人生安全。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乌鲁木齐市米东区第61中学2022年度，实有人数214人，其中：在职人员136人，离休人员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人，退休人员78人。</w:t>
      </w:r>
    </w:p>
    <w:p>
      <w:pPr>
        <w:shd w:val="clear" w:color="auto" w:fill="FFFFFF"/>
        <w:spacing w:beforeLines="0" w:afterLines="0" w:line="360" w:lineRule="auto"/>
        <w:ind w:firstLine="640"/>
        <w:rPr>
          <w:rFonts w:hint="eastAsia" w:ascii="仿宋_GB2312" w:eastAsia="仿宋_GB2312" w:cs="仿宋_GB2312"/>
          <w:kern w:val="0"/>
          <w:sz w:val="32"/>
          <w:szCs w:val="32"/>
          <w:lang w:val="zh-CN"/>
        </w:rPr>
      </w:pPr>
      <w:r>
        <w:rPr>
          <w:rFonts w:hint="eastAsia" w:ascii="仿宋_GB2312" w:hAnsi="仿宋_GB2312" w:eastAsia="仿宋_GB2312"/>
          <w:kern w:val="0"/>
          <w:sz w:val="32"/>
          <w:szCs w:val="24"/>
        </w:rPr>
        <w:t>从部门决算单位构成看，乌鲁木齐市米东区第61中学部门决算包括：乌鲁木齐市米东区第61中学</w:t>
      </w:r>
      <w:r>
        <w:rPr>
          <w:rFonts w:hint="eastAsia" w:ascii="仿宋_GB2312" w:hAnsi="仿宋_GB2312" w:eastAsia="仿宋_GB2312"/>
          <w:kern w:val="0"/>
          <w:sz w:val="32"/>
          <w:szCs w:val="24"/>
          <w:lang w:val="zh-CN"/>
        </w:rPr>
        <w:t>决算。单位无下属预算单位，下设5个科室，分别是：</w:t>
      </w:r>
      <w:r>
        <w:rPr>
          <w:rFonts w:hint="eastAsia" w:ascii="仿宋_GB2312" w:eastAsia="仿宋_GB2312" w:cs="仿宋_GB2312"/>
          <w:kern w:val="0"/>
          <w:sz w:val="32"/>
          <w:szCs w:val="32"/>
          <w:lang w:val="zh-CN"/>
        </w:rPr>
        <w:t>教务科、德育科、综合科、总务科、安全科。</w:t>
      </w:r>
    </w:p>
    <w:p>
      <w:pPr>
        <w:shd w:val="clear" w:color="auto" w:fill="FFFFFF"/>
        <w:spacing w:beforeLines="0" w:afterLines="0" w:line="360" w:lineRule="auto"/>
        <w:ind w:firstLine="640"/>
        <w:rPr>
          <w:rFonts w:hint="default" w:ascii="仿宋_GB2312" w:eastAsia="仿宋_GB2312" w:cs="仿宋_GB2312"/>
          <w:kern w:val="0"/>
          <w:sz w:val="32"/>
          <w:szCs w:val="32"/>
          <w:lang w:val="ar-SA"/>
        </w:rPr>
      </w:pP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3,871.80万元，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3,853.61</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18.19</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与上年相比，减少430.16万元，下降10.00%，主要原因是：今年较上年新建宿舍楼项目收入减少。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3,871.80万元，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3,817.78</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54.02</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与上年相比，减少430.16万元，下降10.00%，主要原因是：今年较上年新建宿舍楼项目支出减少。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2022年度本年收入3,853.61万元，其中：财政拨款收入3,853.61万元，占100.00%；上级补助收入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2022年度本年支出3,817.78万元，其中：基本支出2,795.99万元，占73.24%；项目支出1,021.79万元，占26.76%；上缴上级支出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3,871.80万元，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18.19</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3,853.61</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与上年相比，减少426.57万元，下降9.92%，主要原因是：</w:t>
      </w:r>
      <w:bookmarkStart w:id="0" w:name="_Hlk143601738"/>
      <w:r>
        <w:rPr>
          <w:rFonts w:hint="eastAsia" w:ascii="仿宋_GB2312" w:hAnsi="仿宋_GB2312" w:eastAsia="仿宋_GB2312"/>
          <w:kern w:val="0"/>
          <w:sz w:val="32"/>
          <w:szCs w:val="24"/>
        </w:rPr>
        <w:t>今年较上年新建宿舍楼项目收入减少</w:t>
      </w:r>
      <w:bookmarkEnd w:id="0"/>
      <w:r>
        <w:rPr>
          <w:rFonts w:hint="eastAsia" w:ascii="仿宋_GB2312" w:hAnsi="仿宋_GB2312" w:eastAsia="仿宋_GB2312"/>
          <w:kern w:val="0"/>
          <w:sz w:val="32"/>
          <w:szCs w:val="24"/>
        </w:rPr>
        <w:t>。</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3,871.80万元，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54.02</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3,817.78</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与上年相比，减少426.57万元，下降9.92%，主要原因是：今年较上年新建宿舍楼项目支出减少。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年初预算数3,054.78万元，决算数3,871.80万元，预决算差异率26.75%，主要原因是：调减新建宿舍楼项目收入，导致预决算存在差异。财政拨款支出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年初预算数3,054.78万元，决算数3,871.80万元，预决算差异率26.75%，主要原因是：调减新建宿舍楼项目支出，导致预决算存在差异。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3,817.78</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减少463.41万元，下降10.82%，主要原因是：。</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ascii="仿宋_GB2312" w:hAnsi="仿宋_GB2312" w:eastAsia="仿宋_GB2312"/>
          <w:sz w:val="32"/>
          <w:szCs w:val="24"/>
        </w:rPr>
      </w:pPr>
      <w:r>
        <w:rPr>
          <w:rFonts w:hint="eastAsia" w:ascii="仿宋_GB2312" w:hAnsi="仿宋_GB2312" w:eastAsia="仿宋_GB2312"/>
          <w:sz w:val="32"/>
          <w:szCs w:val="24"/>
        </w:rPr>
        <w:t>1.教育支出（类）3,517.78万元，占92.14%；</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2.科学技术支出（类）300.00万元，占7.86%。</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1.教育支出（类）普通教育（款）初中教育（项）:支出决算数为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万元，比上年决算减少1,000.00万元，下降100.00%，主要原因是：本年教育支出（类）普通教育（款）初中教育（项）未发生支出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2.教育支出（类）普通教育（款）高中教育（项）:支出决算数为2,797.13万元，比上年决算增加220.68万元，增长8.57%，主要原因是：在编人员增加，工资及社保等增加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3.教育支出（类）普通教育（款）其他普通教育支出（项）:支出决算数为20.65万元，比上年决算减少15.11万元，下降42.25%，主要原因是：本年度秋季助学金未发放造成减少</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4.教育支出（类）教育费附加安排的支出（款）城市中小学校舍建设（项）:支出决算数为700.00万元，比上年决算减少200.00万元，下降40.00%，主要原因是：上级安排新建宿舍楼项目款减少</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5.科学技术支出（类）其他科学技术支出（款）其他科学技术支出（项）:支出决算数为300.00万元，比上年决算增加300.00万元，增长100.00%，主要原因是：本年新建宿舍楼项目款资金支出从科学技术支出（类）其他科学技术支出（款）其他科学技术支出（项）列支</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6.社会保障和就业支出（类）民政管理事务（款）  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万元，比上年决算减少1.80万元，下降100.00%，主要原因是：本年度无南疆支教人员，南疆支教人员津贴补贴较上年减少</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7.社会保障和就业支出（类）行政事业单位养老支出（款）机关事业单位基本养老保险缴费支出（项）:支出决算数为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万元，比上年决算减少167.18万元，下降100.00%，主要原因是：本年</w:t>
      </w:r>
      <w:r>
        <w:rPr>
          <w:rFonts w:hint="eastAsia" w:ascii="仿宋_GB2312" w:hAnsi="仿宋_GB2312" w:eastAsia="仿宋_GB2312"/>
          <w:kern w:val="0"/>
          <w:sz w:val="32"/>
          <w:szCs w:val="24"/>
          <w:lang w:val="en-US" w:eastAsia="zh-CN"/>
        </w:rPr>
        <w:t>此功能科目调至2050204高中教育列支，此功能科目</w:t>
      </w:r>
      <w:bookmarkStart w:id="1" w:name="_GoBack"/>
      <w:bookmarkEnd w:id="1"/>
      <w:r>
        <w:rPr>
          <w:rFonts w:hint="eastAsia" w:ascii="仿宋_GB2312" w:hAnsi="仿宋_GB2312" w:eastAsia="仿宋_GB2312"/>
          <w:kern w:val="0"/>
          <w:sz w:val="32"/>
          <w:szCs w:val="24"/>
        </w:rPr>
        <w:t>未支出。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2022年度一般公共预算财政拨款基本支出2,795.99万元，其中：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2,654.18万元，包括：基本工资、津贴补贴、奖金、绩效工资、机关事业单位基本养老保险缴费、职业年金缴费、职工基本医疗保险缴费、公务员医疗补助缴费、其他社会保障缴费、住房公积金、退休费、抚恤金、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公用经费141.81万元，包括：办公费、水费、电费、差旅费、专用材料费、劳务费、公务用车运行维护费、其他交通费用、其他商品和服务支出。</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“三公”经费支出决算0.57万元，比上年减少3.14万元，下降84.64%，主要原因是：单位车辆使用减少，维修维护费、燃油费等支出减少。其中：因公出国（境）费支出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0.57万元，占100.00%，比上年减少3.14万元，下降84.64%，主要原因是：单位车辆使用减少，维修维护费、燃油费等支出减少；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公务用车购置及运行维护费0.57万元，其中：公务用车购置费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万元，公务用车运行维护费0.57万元。公务用车运行维护费开支内容包括公务用车燃油费、车辆维修维护费、保险费、过路费等。公务用车购置数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辆，公务用车保有量3辆。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0.57万元，决算数0.57万元，预决算差异率0.00%，主要原因是：我单位厉行节约，严格按照预算执行。其中：因公出国（境）费全年预算数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万元，预决算差异率0.00%，主要原因是：本年单位无此项支出；公务用车运行费全年预算数0.57万元，决算数0.57万元，预决算差异率0.00%，主要原因是：我单位厉行节约，严格按照预算执行；公务接待费全年预算数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2022年度乌鲁木齐市米东区第61中学单位公用经费141.80万元，比上年增加6.83万元，增长5.06%，主要原因是：办公费、电费、劳务费等经费支出增加。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5,464.92</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房屋19,750.60平方米，价值3,511.10万元。车辆3辆，价值36.00万元，其中：副部（省）级及以上领导用车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辆、其他用车3辆，其他用车主要是：学校业务用车；单价100万元（含）以上设备（不含车辆）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eastAsia" w:ascii="仿宋_GB2312" w:hAnsi="仿宋_GB2312" w:eastAsia="仿宋_GB2312"/>
          <w:kern w:val="0"/>
          <w:sz w:val="32"/>
          <w:szCs w:val="24"/>
          <w:lang w:val="en-US" w:eastAsia="zh-CN"/>
        </w:rPr>
        <w:t>1</w:t>
      </w:r>
      <w:r>
        <w:rPr>
          <w:rFonts w:hint="eastAsia" w:ascii="仿宋_GB2312" w:hAnsi="仿宋_GB2312" w:eastAsia="仿宋_GB2312"/>
          <w:kern w:val="0"/>
          <w:sz w:val="32"/>
          <w:szCs w:val="24"/>
        </w:rPr>
        <w:t>个，全年预算数</w:t>
      </w:r>
      <w:r>
        <w:rPr>
          <w:rFonts w:hint="eastAsia" w:ascii="仿宋_GB2312" w:hAnsi="仿宋_GB2312" w:eastAsia="仿宋_GB2312"/>
          <w:kern w:val="0"/>
          <w:sz w:val="32"/>
          <w:szCs w:val="24"/>
          <w:lang w:val="en-US" w:eastAsia="zh-CN"/>
        </w:rPr>
        <w:t>1.77</w:t>
      </w:r>
      <w:r>
        <w:rPr>
          <w:rFonts w:hint="eastAsia" w:ascii="仿宋_GB2312" w:hAnsi="仿宋_GB2312" w:eastAsia="仿宋_GB2312"/>
          <w:kern w:val="0"/>
          <w:sz w:val="32"/>
          <w:szCs w:val="24"/>
        </w:rPr>
        <w:t>万元，全年执行数1.14万元。预算绩效管理取得的成效：一是上级资金补助公用经费用于支付学生试卷印刷费，帮助减轻学生家庭经济负担；二是有助于提高学生学习能力，帮助学生提高成绩。发现的问题及原因：一是对绩效评价工作认识不够；二是了解还不够深入，对单位绩效不重视。下一步改进措施：一是落实主体责任，明确预算单位各部门是绩效运行监控的主体，定期对绩效监控信息进行收集、汇总、分析等。各主管部门加强监督，及时审核、汇总、报告本部门及所属预算单位项目跟踪监控情况；二是加强对项目实施的风险管控意识，加强对项目实施的过程控制。具体项目自评情况附项目支出绩效自评表。具体项目自评情况附项目支出绩效自评表。</w:t>
      </w:r>
    </w:p>
    <w:tbl>
      <w:tblPr>
        <w:tblStyle w:val="4"/>
        <w:tblW w:w="4878"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1"/>
        <w:gridCol w:w="719"/>
        <w:gridCol w:w="885"/>
        <w:gridCol w:w="713"/>
        <w:gridCol w:w="907"/>
        <w:gridCol w:w="1155"/>
        <w:gridCol w:w="1155"/>
        <w:gridCol w:w="662"/>
        <w:gridCol w:w="700"/>
        <w:gridCol w:w="303"/>
        <w:gridCol w:w="352"/>
        <w:gridCol w:w="6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22" w:type="pct"/>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关于提前下达2022年学生资助补助直达资金的通知（乌财科教【2021】95号）—转移支付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118"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第61中学</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153"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第61中学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3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1.77</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1.77</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1.14</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64.41%</w:t>
            </w: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6.44分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1.77</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1.77</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1.14</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10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53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2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53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项目资金主要用于为16名建档立卡学生提供免学费补助，该项目的实施可达到以下效果：1.高中阶段教育各项资助按规定落实到位2.教育公平显著提升，满足建档立卡学生基本学习生活需要3.补充学校高中免学费补助。</w:t>
            </w:r>
          </w:p>
        </w:tc>
        <w:tc>
          <w:tcPr>
            <w:tcW w:w="22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11440元资金落实到位，帮助满足建档立卡学生学习考试等需要。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51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93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6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6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8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7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41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建档立卡学生分配人数</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=16人</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16人</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学生资助管理系统对建档立卡学生识别率</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资金补助发放及时率</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剩余资金申请了，财政未拨付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高中免学费人均补助资金</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=0.177万元</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0.07万元</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剩余资金申请了，财政未拨付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帮助建档立卡学生接受高中阶段教育</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有效帮助</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保障建档立卡学生完成学业</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有所保障</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51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937"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学生满意度</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8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76.44分</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100" w:beforeLines="0" w:after="240" w:afterLines="0"/>
        <w:jc w:val="center"/>
        <w:rPr>
          <w:rFonts w:hint="default" w:eastAsia="Times New Roman"/>
          <w:kern w:val="0"/>
          <w:sz w:val="32"/>
          <w:szCs w:val="24"/>
        </w:rPr>
      </w:pP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1D190BB5"/>
    <w:rsid w:val="22F05F2A"/>
    <w:rsid w:val="3E6F148E"/>
    <w:rsid w:val="7E222B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uiPriority w:val="99"/>
    <w:rPr>
      <w:rFonts w:hint="default" w:cs="Times New Roman"/>
      <w:sz w:val="18"/>
      <w:szCs w:val="18"/>
    </w:rPr>
  </w:style>
  <w:style w:type="character" w:customStyle="1" w:styleId="7">
    <w:name w:val="页脚 字符"/>
    <w:basedOn w:val="5"/>
    <w:link w:val="2"/>
    <w:unhideWhenUsed/>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5713</Words>
  <Characters>6490</Characters>
  <TotalTime>8</TotalTime>
  <ScaleCrop>false</ScaleCrop>
  <LinksUpToDate>false</LinksUpToDate>
  <CharactersWithSpaces>6503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2023-08-24T02:48:00Z</dcterms:created>
  <dc:creator>asus</dc:creator>
  <cp:lastModifiedBy>逐梦令</cp:lastModifiedBy>
  <dcterms:modified xsi:type="dcterms:W3CDTF">2023-09-01T13:40:54Z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E7A61D69376D47BCB57FB11A22D76DC0_13</vt:lpwstr>
  </property>
</Properties>
</file>