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0" w:firstLineChars="0"/>
        <w:rPr>
          <w:rFonts w:ascii="Times New Roman" w:hAnsi="Times New Roman" w:eastAsia="黑体" w:cs="Times New Roman"/>
          <w:b/>
          <w:kern w:val="0"/>
          <w:sz w:val="50"/>
          <w:szCs w:val="50"/>
          <w:lang w:bidi="en-US"/>
        </w:rPr>
      </w:pPr>
    </w:p>
    <w:p>
      <w:pPr>
        <w:spacing w:line="480" w:lineRule="auto"/>
        <w:ind w:firstLine="0" w:firstLineChars="0"/>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before="120" w:after="120" w:line="480" w:lineRule="auto"/>
        <w:ind w:firstLine="0" w:firstLineChars="0"/>
        <w:jc w:val="center"/>
        <w:rPr>
          <w:rFonts w:ascii="仿宋_GB2312" w:hAnsi="Arial"/>
          <w:b/>
          <w:sz w:val="44"/>
          <w:szCs w:val="44"/>
        </w:rPr>
      </w:pPr>
      <w:r>
        <w:rPr>
          <w:rFonts w:hint="eastAsia" w:ascii="仿宋_GB2312" w:hAnsi="Arial"/>
          <w:b/>
          <w:sz w:val="44"/>
          <w:szCs w:val="44"/>
        </w:rPr>
        <w:t>财政项目支出绩效评价报告</w:t>
      </w: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仿宋_GB2312" w:hAnsi="Times New Roman" w:cs="Times New Roman"/>
          <w:kern w:val="0"/>
          <w:sz w:val="30"/>
          <w:szCs w:val="30"/>
          <w:lang w:bidi="en-US"/>
        </w:rPr>
      </w:pPr>
    </w:p>
    <w:p>
      <w:pPr>
        <w:spacing w:line="480" w:lineRule="auto"/>
        <w:ind w:firstLine="1411" w:firstLineChars="4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项目名称：</w:t>
      </w:r>
      <w:r>
        <w:rPr>
          <w:rFonts w:hint="eastAsia" w:ascii="仿宋_GB2312" w:hAnsi="Times New Roman" w:cs="Times New Roman"/>
          <w:kern w:val="0"/>
          <w:sz w:val="32"/>
          <w:szCs w:val="32"/>
          <w:lang w:eastAsia="zh-CN" w:bidi="en-US"/>
        </w:rPr>
        <w:t>新建学生宿舍一体楼</w:t>
      </w:r>
      <w:r>
        <w:rPr>
          <w:rFonts w:hint="eastAsia" w:ascii="仿宋_GB2312" w:hAnsi="Times New Roman" w:cs="Times New Roman"/>
          <w:kern w:val="0"/>
          <w:sz w:val="32"/>
          <w:szCs w:val="32"/>
          <w:lang w:bidi="en-US"/>
        </w:rPr>
        <w:t xml:space="preserve"> </w:t>
      </w:r>
    </w:p>
    <w:p>
      <w:pPr>
        <w:spacing w:line="480" w:lineRule="auto"/>
        <w:ind w:left="280" w:leftChars="100" w:firstLine="1091" w:firstLineChars="3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项目单位：</w:t>
      </w:r>
      <w:r>
        <w:rPr>
          <w:rFonts w:hint="eastAsia" w:ascii="仿宋_GB2312" w:hAnsi="Times New Roman" w:cs="Times New Roman"/>
          <w:kern w:val="0"/>
          <w:sz w:val="32"/>
          <w:szCs w:val="32"/>
          <w:lang w:eastAsia="zh-CN" w:bidi="en-US"/>
        </w:rPr>
        <w:t>乌鲁木齐市第六十一中学</w:t>
      </w:r>
      <w:r>
        <w:rPr>
          <w:rFonts w:ascii="仿宋_GB2312" w:hAnsi="Times New Roman" w:cs="Times New Roman"/>
          <w:kern w:val="0"/>
          <w:sz w:val="32"/>
          <w:szCs w:val="32"/>
          <w:lang w:bidi="en-US"/>
        </w:rPr>
        <w:t xml:space="preserve"> </w:t>
      </w:r>
    </w:p>
    <w:p>
      <w:pPr>
        <w:spacing w:line="480" w:lineRule="auto"/>
        <w:ind w:left="280" w:leftChars="100" w:firstLine="1091" w:firstLineChars="3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主管部门：</w:t>
      </w:r>
      <w:r>
        <w:rPr>
          <w:rFonts w:hint="eastAsia" w:ascii="仿宋_GB2312" w:hAnsi="Times New Roman" w:cs="Times New Roman"/>
          <w:kern w:val="0"/>
          <w:sz w:val="32"/>
          <w:szCs w:val="32"/>
          <w:lang w:eastAsia="zh-CN" w:bidi="en-US"/>
        </w:rPr>
        <w:t>米东区教育局</w:t>
      </w:r>
    </w:p>
    <w:p>
      <w:pPr>
        <w:spacing w:line="480" w:lineRule="auto"/>
        <w:ind w:firstLine="1411" w:firstLineChars="441"/>
        <w:jc w:val="left"/>
        <w:rPr>
          <w:rFonts w:ascii="仿宋_GB2312" w:hAnsi="Times New Roman" w:cs="Times New Roman"/>
          <w:kern w:val="0"/>
          <w:sz w:val="32"/>
          <w:szCs w:val="32"/>
          <w:lang w:bidi="en-US"/>
        </w:rPr>
      </w:pPr>
    </w:p>
    <w:p>
      <w:pPr>
        <w:spacing w:line="480" w:lineRule="auto"/>
        <w:ind w:firstLine="0" w:firstLineChars="0"/>
        <w:rPr>
          <w:rFonts w:ascii="黑体" w:hAnsi="Times New Roman" w:eastAsia="黑体" w:cs="Times New Roman"/>
          <w:b/>
          <w:kern w:val="0"/>
          <w:sz w:val="32"/>
          <w:szCs w:val="32"/>
          <w:lang w:bidi="en-US"/>
        </w:rPr>
      </w:pPr>
    </w:p>
    <w:p>
      <w:pPr>
        <w:spacing w:line="480" w:lineRule="auto"/>
        <w:ind w:firstLine="0" w:firstLineChars="0"/>
        <w:rPr>
          <w:rFonts w:ascii="黑体" w:hAnsi="Times New Roman" w:eastAsia="黑体" w:cs="Times New Roman"/>
          <w:b/>
          <w:kern w:val="0"/>
          <w:sz w:val="32"/>
          <w:szCs w:val="32"/>
          <w:lang w:bidi="en-US"/>
        </w:rPr>
      </w:pPr>
    </w:p>
    <w:p>
      <w:pPr>
        <w:spacing w:line="480" w:lineRule="auto"/>
        <w:ind w:firstLine="0" w:firstLineChars="0"/>
        <w:jc w:val="center"/>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2023年0</w:t>
      </w:r>
      <w:r>
        <w:rPr>
          <w:rFonts w:hint="eastAsia" w:ascii="仿宋_GB2312" w:hAnsi="Times New Roman" w:cs="Times New Roman"/>
          <w:kern w:val="0"/>
          <w:sz w:val="32"/>
          <w:szCs w:val="32"/>
          <w:lang w:val="en-US" w:eastAsia="zh-CN" w:bidi="en-US"/>
        </w:rPr>
        <w:t>5</w:t>
      </w:r>
      <w:r>
        <w:rPr>
          <w:rFonts w:hint="eastAsia" w:ascii="仿宋_GB2312" w:hAnsi="Times New Roman" w:cs="Times New Roman"/>
          <w:kern w:val="0"/>
          <w:sz w:val="32"/>
          <w:szCs w:val="32"/>
          <w:lang w:bidi="en-US"/>
        </w:rPr>
        <w:t>月</w:t>
      </w:r>
    </w:p>
    <w:p>
      <w:pPr>
        <w:spacing w:line="480" w:lineRule="auto"/>
        <w:ind w:firstLine="0" w:firstLineChars="0"/>
        <w:jc w:val="center"/>
        <w:rPr>
          <w:rFonts w:ascii="仿宋_GB2312" w:hAnsi="Times New Roman" w:cs="Times New Roman"/>
          <w:kern w:val="0"/>
          <w:sz w:val="32"/>
          <w:szCs w:val="32"/>
          <w:lang w:bidi="en-US"/>
        </w:rPr>
      </w:pPr>
    </w:p>
    <w:p>
      <w:pPr>
        <w:tabs>
          <w:tab w:val="left" w:pos="3324"/>
        </w:tabs>
        <w:spacing w:line="480" w:lineRule="auto"/>
        <w:ind w:firstLine="0" w:firstLineChars="0"/>
        <w:rPr>
          <w:rFonts w:ascii="仿宋_GB2312" w:hAnsi="Times New Roman" w:cs="Times New Roman"/>
          <w:kern w:val="0"/>
          <w:sz w:val="32"/>
          <w:szCs w:val="32"/>
          <w:lang w:bidi="en-US"/>
        </w:rPr>
      </w:pPr>
      <w:r>
        <w:rPr>
          <w:rFonts w:ascii="仿宋_GB2312" w:hAnsi="Times New Roman" w:cs="Times New Roman"/>
          <w:kern w:val="0"/>
          <w:sz w:val="32"/>
          <w:szCs w:val="32"/>
          <w:lang w:bidi="en-US"/>
        </w:rPr>
        <w:tab/>
      </w:r>
    </w:p>
    <w:p>
      <w:pPr>
        <w:ind w:firstLine="640"/>
        <w:rPr>
          <w:rFonts w:ascii="仿宋_GB2312" w:hAnsi="Times New Roman" w:cs="Times New Roman"/>
          <w:kern w:val="0"/>
          <w:sz w:val="32"/>
          <w:szCs w:val="32"/>
          <w:lang w:bidi="en-US"/>
        </w:rPr>
      </w:pPr>
    </w:p>
    <w:sdt>
      <w:sdtPr>
        <w:rPr>
          <w:rFonts w:ascii="Calibri" w:hAnsi="Calibri" w:eastAsia="仿宋_GB2312" w:cs="黑体"/>
          <w:color w:val="auto"/>
          <w:kern w:val="2"/>
          <w:sz w:val="28"/>
          <w:szCs w:val="22"/>
          <w:lang w:val="zh-CN"/>
        </w:rPr>
        <w:id w:val="-1822651860"/>
        <w:docPartObj>
          <w:docPartGallery w:val="Table of Contents"/>
          <w:docPartUnique/>
        </w:docPartObj>
      </w:sdtPr>
      <w:sdtEndPr>
        <w:rPr>
          <w:rFonts w:ascii="Calibri" w:hAnsi="Calibri" w:eastAsia="仿宋_GB2312" w:cs="黑体"/>
          <w:b/>
          <w:bCs/>
          <w:color w:val="auto"/>
          <w:kern w:val="2"/>
          <w:sz w:val="28"/>
          <w:szCs w:val="22"/>
          <w:lang w:val="zh-CN"/>
        </w:rPr>
      </w:sdtEndPr>
      <w:sdtContent>
        <w:p>
          <w:pPr>
            <w:pStyle w:val="30"/>
            <w:ind w:firstLine="560"/>
            <w:jc w:val="center"/>
          </w:pPr>
          <w:r>
            <w:rPr>
              <w:lang w:val="zh-CN"/>
            </w:rPr>
            <w:t>目录</w:t>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TOC \o "1-3" \h \z \u </w:instrText>
          </w:r>
          <w:r>
            <w:fldChar w:fldCharType="separate"/>
          </w:r>
          <w:r>
            <w:fldChar w:fldCharType="begin"/>
          </w:r>
          <w:r>
            <w:instrText xml:space="preserve"> HYPERLINK \l "_Toc100784583" </w:instrText>
          </w:r>
          <w:r>
            <w:fldChar w:fldCharType="separate"/>
          </w:r>
          <w:r>
            <w:rPr>
              <w:rStyle w:val="18"/>
              <w:rFonts w:hint="eastAsia" w:ascii="仿宋" w:hAnsi="仿宋" w:eastAsia="仿宋"/>
              <w:lang w:bidi="en-US"/>
            </w:rPr>
            <w:t>一、基本情况</w:t>
          </w:r>
          <w:r>
            <w:tab/>
          </w:r>
          <w:r>
            <w:fldChar w:fldCharType="begin"/>
          </w:r>
          <w:r>
            <w:instrText xml:space="preserve"> PAGEREF _Toc100784583 \h </w:instrText>
          </w:r>
          <w:r>
            <w:fldChar w:fldCharType="separate"/>
          </w:r>
          <w:r>
            <w:t>1</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"_Toc100784584" </w:instrText>
          </w:r>
          <w:r>
            <w:fldChar w:fldCharType="separate"/>
          </w:r>
          <w:r>
            <w:rPr>
              <w:rStyle w:val="18"/>
              <w:rFonts w:hint="eastAsia" w:ascii="仿宋" w:hAnsi="仿宋" w:eastAsia="仿宋"/>
              <w:lang w:bidi="en-US"/>
            </w:rPr>
            <w:t>（一）项目概况</w:t>
          </w:r>
          <w:r>
            <w:tab/>
          </w:r>
          <w:r>
            <w:fldChar w:fldCharType="begin"/>
          </w:r>
          <w:r>
            <w:instrText xml:space="preserve"> PAGEREF _Toc100784584 \h </w:instrText>
          </w:r>
          <w:r>
            <w:fldChar w:fldCharType="separate"/>
          </w:r>
          <w:r>
            <w:t>1</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"_Toc100784585" </w:instrText>
          </w:r>
          <w:r>
            <w:fldChar w:fldCharType="separate"/>
          </w:r>
          <w:r>
            <w:rPr>
              <w:rStyle w:val="18"/>
              <w:rFonts w:hint="eastAsia" w:ascii="仿宋" w:hAnsi="仿宋" w:eastAsia="仿宋"/>
              <w:lang w:bidi="en-US"/>
            </w:rPr>
            <w:t>（二）项目绩效目标</w:t>
          </w:r>
          <w:r>
            <w:tab/>
          </w:r>
          <w:r>
            <w:fldChar w:fldCharType="begin"/>
          </w:r>
          <w:r>
            <w:instrText xml:space="preserve"> PAGEREF _Toc100784585 \h </w:instrText>
          </w:r>
          <w:r>
            <w:fldChar w:fldCharType="separate"/>
          </w:r>
          <w:r>
            <w:t>1</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"_Toc100784586" </w:instrText>
          </w:r>
          <w:r>
            <w:fldChar w:fldCharType="separate"/>
          </w:r>
          <w:r>
            <w:rPr>
              <w:rStyle w:val="18"/>
              <w:rFonts w:hint="eastAsia" w:ascii="仿宋" w:hAnsi="仿宋" w:eastAsia="仿宋"/>
              <w:lang w:bidi="en-US"/>
            </w:rPr>
            <w:t>二、绩效评价工作开展情况</w:t>
          </w:r>
          <w:r>
            <w:tab/>
          </w:r>
          <w:r>
            <w:fldChar w:fldCharType="begin"/>
          </w:r>
          <w:r>
            <w:instrText xml:space="preserve"> PAGEREF _Toc100784586 \h </w:instrText>
          </w:r>
          <w:r>
            <w:fldChar w:fldCharType="separate"/>
          </w:r>
          <w:r>
            <w:t>2</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"_Toc100784587" </w:instrText>
          </w:r>
          <w:r>
            <w:fldChar w:fldCharType="separate"/>
          </w:r>
          <w:r>
            <w:rPr>
              <w:rStyle w:val="18"/>
              <w:rFonts w:hint="eastAsia" w:ascii="仿宋" w:hAnsi="仿宋" w:eastAsia="仿宋"/>
              <w:lang w:bidi="en-US"/>
            </w:rPr>
            <w:t>（一）绩效评价目的、对象和范围</w:t>
          </w:r>
          <w:r>
            <w:tab/>
          </w:r>
          <w:r>
            <w:fldChar w:fldCharType="begin"/>
          </w:r>
          <w:r>
            <w:instrText xml:space="preserve"> PAGEREF _Toc100784587 \h </w:instrText>
          </w:r>
          <w:r>
            <w:fldChar w:fldCharType="separate"/>
          </w:r>
          <w:r>
            <w:t>2</w:t>
          </w:r>
          <w:r>
            <w:fldChar w:fldCharType="end"/>
          </w:r>
          <w:r>
            <w:fldChar w:fldCharType="end"/>
          </w:r>
        </w:p>
        <w:p>
          <w:pPr>
            <w:pStyle w:val="6"/>
            <w:tabs>
              <w:tab w:val="right" w:leader="dot" w:pos="8296"/>
            </w:tabs>
            <w:ind w:left="1120" w:firstLine="560"/>
          </w:pPr>
          <w:r>
            <w:fldChar w:fldCharType="begin"/>
          </w:r>
          <w:r>
            <w:instrText xml:space="preserve"> HYPERLINK \l "_Toc100784588" </w:instrText>
          </w:r>
          <w:r>
            <w:fldChar w:fldCharType="separate"/>
          </w:r>
          <w:r>
            <w:rPr>
              <w:rStyle w:val="18"/>
            </w:rPr>
            <w:t>1.</w:t>
          </w:r>
          <w:r>
            <w:rPr>
              <w:rStyle w:val="18"/>
              <w:rFonts w:hint="eastAsia"/>
            </w:rPr>
            <w:t>评价目的</w:t>
          </w:r>
          <w:r>
            <w:tab/>
          </w:r>
          <w:r>
            <w:fldChar w:fldCharType="begin"/>
          </w:r>
          <w:r>
            <w:instrText xml:space="preserve"> PAGEREF _Toc100784588 \h </w:instrText>
          </w:r>
          <w:r>
            <w:fldChar w:fldCharType="separate"/>
          </w:r>
          <w:r>
            <w:t>2</w:t>
          </w:r>
          <w:r>
            <w:fldChar w:fldCharType="end"/>
          </w:r>
          <w:r>
            <w:fldChar w:fldCharType="end"/>
          </w:r>
        </w:p>
        <w:p>
          <w:pPr>
            <w:pStyle w:val="6"/>
            <w:tabs>
              <w:tab w:val="right" w:leader="dot" w:pos="8296"/>
            </w:tabs>
            <w:ind w:left="1120" w:firstLine="560"/>
          </w:pPr>
          <w:r>
            <w:fldChar w:fldCharType="begin"/>
          </w:r>
          <w:r>
            <w:instrText xml:space="preserve"> HYPERLINK \l "_Toc100784589" </w:instrText>
          </w:r>
          <w:r>
            <w:fldChar w:fldCharType="separate"/>
          </w:r>
          <w:r>
            <w:rPr>
              <w:rStyle w:val="18"/>
            </w:rPr>
            <w:t>2.</w:t>
          </w:r>
          <w:r>
            <w:rPr>
              <w:rStyle w:val="18"/>
              <w:rFonts w:hint="eastAsia"/>
            </w:rPr>
            <w:t>评价对象和范围</w:t>
          </w:r>
          <w:r>
            <w:tab/>
          </w:r>
          <w:r>
            <w:fldChar w:fldCharType="begin"/>
          </w:r>
          <w:r>
            <w:instrText xml:space="preserve"> PAGEREF _Toc100784589 \h </w:instrText>
          </w:r>
          <w:r>
            <w:fldChar w:fldCharType="separate"/>
          </w:r>
          <w:r>
            <w:t>3</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"_Toc100784590" </w:instrText>
          </w:r>
          <w:r>
            <w:fldChar w:fldCharType="separate"/>
          </w:r>
          <w:r>
            <w:rPr>
              <w:rStyle w:val="18"/>
              <w:rFonts w:hint="eastAsia" w:ascii="仿宋" w:hAnsi="仿宋" w:eastAsia="仿宋"/>
              <w:lang w:bidi="en-US"/>
            </w:rPr>
            <w:t>（二）绩效评价原则、指标体系、方法及标准</w:t>
          </w:r>
          <w:r>
            <w:tab/>
          </w:r>
          <w:r>
            <w:fldChar w:fldCharType="begin"/>
          </w:r>
          <w:r>
            <w:instrText xml:space="preserve"> PAGEREF _Toc100784590 \h </w:instrText>
          </w:r>
          <w:r>
            <w:fldChar w:fldCharType="separate"/>
          </w:r>
          <w:r>
            <w:t>3</w:t>
          </w:r>
          <w:r>
            <w:fldChar w:fldCharType="end"/>
          </w:r>
          <w:r>
            <w:fldChar w:fldCharType="end"/>
          </w:r>
        </w:p>
        <w:p>
          <w:pPr>
            <w:pStyle w:val="6"/>
            <w:tabs>
              <w:tab w:val="right" w:leader="dot" w:pos="8296"/>
            </w:tabs>
            <w:ind w:left="1120" w:firstLine="560"/>
          </w:pPr>
          <w:r>
            <w:fldChar w:fldCharType="begin"/>
          </w:r>
          <w:r>
            <w:instrText xml:space="preserve"> HYPERLINK \l "_Toc100784591" </w:instrText>
          </w:r>
          <w:r>
            <w:fldChar w:fldCharType="separate"/>
          </w:r>
          <w:r>
            <w:rPr>
              <w:rStyle w:val="18"/>
            </w:rPr>
            <w:t>1.</w:t>
          </w:r>
          <w:r>
            <w:rPr>
              <w:rStyle w:val="18"/>
              <w:rFonts w:hint="eastAsia"/>
            </w:rPr>
            <w:t>评价原则</w:t>
          </w:r>
          <w:r>
            <w:tab/>
          </w:r>
          <w:r>
            <w:fldChar w:fldCharType="begin"/>
          </w:r>
          <w:r>
            <w:instrText xml:space="preserve"> PAGEREF _Toc100784591 \h </w:instrText>
          </w:r>
          <w:r>
            <w:fldChar w:fldCharType="separate"/>
          </w:r>
          <w:r>
            <w:t>3</w:t>
          </w:r>
          <w:r>
            <w:fldChar w:fldCharType="end"/>
          </w:r>
          <w:r>
            <w:fldChar w:fldCharType="end"/>
          </w:r>
        </w:p>
        <w:p>
          <w:pPr>
            <w:pStyle w:val="6"/>
            <w:tabs>
              <w:tab w:val="right" w:leader="dot" w:pos="8296"/>
            </w:tabs>
            <w:ind w:left="1120" w:firstLine="560"/>
          </w:pPr>
          <w:r>
            <w:fldChar w:fldCharType="begin"/>
          </w:r>
          <w:r>
            <w:instrText xml:space="preserve"> HYPERLINK \l "_Toc100784592" </w:instrText>
          </w:r>
          <w:r>
            <w:fldChar w:fldCharType="separate"/>
          </w:r>
          <w:r>
            <w:rPr>
              <w:rStyle w:val="18"/>
            </w:rPr>
            <w:t>2.</w:t>
          </w:r>
          <w:r>
            <w:rPr>
              <w:rStyle w:val="18"/>
              <w:rFonts w:hint="eastAsia"/>
            </w:rPr>
            <w:t>评价指标体系</w:t>
          </w:r>
          <w:r>
            <w:tab/>
          </w:r>
          <w:r>
            <w:fldChar w:fldCharType="begin"/>
          </w:r>
          <w:r>
            <w:instrText xml:space="preserve"> PAGEREF _Toc100784592 \h </w:instrText>
          </w:r>
          <w:r>
            <w:fldChar w:fldCharType="separate"/>
          </w:r>
          <w:r>
            <w:t>4</w:t>
          </w:r>
          <w:r>
            <w:fldChar w:fldCharType="end"/>
          </w:r>
          <w:r>
            <w:fldChar w:fldCharType="end"/>
          </w:r>
        </w:p>
        <w:p>
          <w:pPr>
            <w:pStyle w:val="6"/>
            <w:tabs>
              <w:tab w:val="right" w:leader="dot" w:pos="8296"/>
            </w:tabs>
            <w:ind w:left="1120" w:firstLine="560"/>
          </w:pPr>
          <w:r>
            <w:fldChar w:fldCharType="begin"/>
          </w:r>
          <w:r>
            <w:instrText xml:space="preserve"> HYPERLINK \l "_Toc100784593" </w:instrText>
          </w:r>
          <w:r>
            <w:fldChar w:fldCharType="separate"/>
          </w:r>
          <w:r>
            <w:rPr>
              <w:rStyle w:val="18"/>
            </w:rPr>
            <w:t>3.</w:t>
          </w:r>
          <w:r>
            <w:rPr>
              <w:rStyle w:val="18"/>
              <w:rFonts w:hint="eastAsia"/>
            </w:rPr>
            <w:t>评价方法</w:t>
          </w:r>
          <w:r>
            <w:tab/>
          </w:r>
          <w:r>
            <w:fldChar w:fldCharType="begin"/>
          </w:r>
          <w:r>
            <w:instrText xml:space="preserve"> PAGEREF _Toc100784593 \h </w:instrText>
          </w:r>
          <w:r>
            <w:fldChar w:fldCharType="separate"/>
          </w:r>
          <w:r>
            <w:t>11</w:t>
          </w:r>
          <w:r>
            <w:fldChar w:fldCharType="end"/>
          </w:r>
          <w:r>
            <w:fldChar w:fldCharType="end"/>
          </w:r>
        </w:p>
        <w:p>
          <w:pPr>
            <w:pStyle w:val="6"/>
            <w:tabs>
              <w:tab w:val="right" w:leader="dot" w:pos="8296"/>
            </w:tabs>
            <w:ind w:left="1120" w:firstLine="560"/>
          </w:pPr>
          <w:r>
            <w:fldChar w:fldCharType="begin"/>
          </w:r>
          <w:r>
            <w:instrText xml:space="preserve"> HYPERLINK \l "_Toc100784594" </w:instrText>
          </w:r>
          <w:r>
            <w:fldChar w:fldCharType="separate"/>
          </w:r>
          <w:r>
            <w:rPr>
              <w:rStyle w:val="18"/>
            </w:rPr>
            <w:t>4.</w:t>
          </w:r>
          <w:r>
            <w:rPr>
              <w:rStyle w:val="18"/>
              <w:rFonts w:hint="eastAsia"/>
            </w:rPr>
            <w:t>评价标准</w:t>
          </w:r>
          <w:r>
            <w:tab/>
          </w:r>
          <w:r>
            <w:fldChar w:fldCharType="begin"/>
          </w:r>
          <w:r>
            <w:instrText xml:space="preserve"> PAGEREF _Toc100784594 \h </w:instrText>
          </w:r>
          <w:r>
            <w:fldChar w:fldCharType="separate"/>
          </w:r>
          <w:r>
            <w:t>12</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"_Toc100784595" </w:instrText>
          </w:r>
          <w:r>
            <w:fldChar w:fldCharType="separate"/>
          </w:r>
          <w:r>
            <w:rPr>
              <w:rStyle w:val="18"/>
              <w:rFonts w:hint="eastAsia" w:ascii="仿宋" w:hAnsi="仿宋" w:eastAsia="仿宋"/>
              <w:lang w:bidi="en-US"/>
            </w:rPr>
            <w:t>（三）绩效评价工作过程</w:t>
          </w:r>
          <w:r>
            <w:tab/>
          </w:r>
          <w:r>
            <w:fldChar w:fldCharType="begin"/>
          </w:r>
          <w:r>
            <w:instrText xml:space="preserve"> PAGEREF _Toc100784595 \h </w:instrText>
          </w:r>
          <w:r>
            <w:fldChar w:fldCharType="separate"/>
          </w:r>
          <w:r>
            <w:t>12</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"_Toc100784596" </w:instrText>
          </w:r>
          <w:r>
            <w:fldChar w:fldCharType="separate"/>
          </w:r>
          <w:r>
            <w:rPr>
              <w:rStyle w:val="18"/>
              <w:rFonts w:hint="eastAsia" w:ascii="仿宋" w:hAnsi="仿宋" w:eastAsia="仿宋"/>
              <w:lang w:bidi="en-US"/>
            </w:rPr>
            <w:t>三、综合评价情况及评价结论</w:t>
          </w:r>
          <w:r>
            <w:tab/>
          </w:r>
          <w:r>
            <w:fldChar w:fldCharType="begin"/>
          </w:r>
          <w:r>
            <w:instrText xml:space="preserve"> PAGEREF _Toc100784596 \h </w:instrText>
          </w:r>
          <w:r>
            <w:fldChar w:fldCharType="separate"/>
          </w:r>
          <w:r>
            <w:t>13</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"_Toc100784597" </w:instrText>
          </w:r>
          <w:r>
            <w:fldChar w:fldCharType="separate"/>
          </w:r>
          <w:r>
            <w:rPr>
              <w:rStyle w:val="18"/>
              <w:rFonts w:hint="eastAsia" w:ascii="仿宋" w:hAnsi="仿宋" w:eastAsia="仿宋"/>
              <w:lang w:bidi="en-US"/>
            </w:rPr>
            <w:t>（一）评价结论</w:t>
          </w:r>
          <w:r>
            <w:tab/>
          </w:r>
          <w:r>
            <w:fldChar w:fldCharType="begin"/>
          </w:r>
          <w:r>
            <w:instrText xml:space="preserve"> PAGEREF _Toc100784597 \h </w:instrText>
          </w:r>
          <w:r>
            <w:fldChar w:fldCharType="separate"/>
          </w:r>
          <w:r>
            <w:t>13</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"_Toc100784598" </w:instrText>
          </w:r>
          <w:r>
            <w:fldChar w:fldCharType="separate"/>
          </w:r>
          <w:r>
            <w:rPr>
              <w:rStyle w:val="18"/>
              <w:rFonts w:hint="eastAsia" w:ascii="仿宋" w:hAnsi="仿宋" w:eastAsia="仿宋"/>
              <w:lang w:bidi="en-US"/>
            </w:rPr>
            <w:t>（二）主要绩效</w:t>
          </w:r>
          <w:r>
            <w:tab/>
          </w:r>
          <w:r>
            <w:fldChar w:fldCharType="begin"/>
          </w:r>
          <w:r>
            <w:instrText xml:space="preserve"> PAGEREF _Toc100784598 \h </w:instrText>
          </w:r>
          <w:r>
            <w:fldChar w:fldCharType="separate"/>
          </w:r>
          <w:r>
            <w:t>14</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"_Toc100784599" </w:instrText>
          </w:r>
          <w:r>
            <w:fldChar w:fldCharType="separate"/>
          </w:r>
          <w:r>
            <w:rPr>
              <w:rStyle w:val="18"/>
              <w:rFonts w:hint="eastAsia" w:ascii="仿宋" w:hAnsi="仿宋" w:eastAsia="仿宋"/>
              <w:lang w:bidi="en-US"/>
            </w:rPr>
            <w:t>四、绩效评价指标分析</w:t>
          </w:r>
          <w:r>
            <w:tab/>
          </w:r>
          <w:r>
            <w:fldChar w:fldCharType="begin"/>
          </w:r>
          <w:r>
            <w:instrText xml:space="preserve"> PAGEREF _Toc100784599 \h </w:instrText>
          </w:r>
          <w:r>
            <w:fldChar w:fldCharType="separate"/>
          </w:r>
          <w:r>
            <w:t>14</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"_Toc100784600" </w:instrText>
          </w:r>
          <w:r>
            <w:fldChar w:fldCharType="separate"/>
          </w:r>
          <w:r>
            <w:rPr>
              <w:rStyle w:val="18"/>
              <w:rFonts w:hint="eastAsia" w:ascii="仿宋" w:hAnsi="仿宋" w:eastAsia="仿宋"/>
              <w:lang w:bidi="en-US"/>
            </w:rPr>
            <w:t>（一）项目决策情况</w:t>
          </w:r>
          <w:r>
            <w:tab/>
          </w:r>
          <w:r>
            <w:fldChar w:fldCharType="begin"/>
          </w:r>
          <w:r>
            <w:instrText xml:space="preserve"> PAGEREF _Toc100784600 \h </w:instrText>
          </w:r>
          <w:r>
            <w:fldChar w:fldCharType="separate"/>
          </w:r>
          <w:r>
            <w:t>14</w:t>
          </w:r>
          <w:r>
            <w:fldChar w:fldCharType="end"/>
          </w:r>
          <w:r>
            <w:fldChar w:fldCharType="end"/>
          </w:r>
        </w:p>
        <w:p>
          <w:pPr>
            <w:pStyle w:val="6"/>
            <w:tabs>
              <w:tab w:val="right" w:leader="dot" w:pos="8296"/>
            </w:tabs>
            <w:ind w:left="1120" w:firstLine="560"/>
          </w:pPr>
          <w:r>
            <w:fldChar w:fldCharType="begin"/>
          </w:r>
          <w:r>
            <w:instrText xml:space="preserve"> HYPERLINK \l "_Toc100784601" </w:instrText>
          </w:r>
          <w:r>
            <w:fldChar w:fldCharType="separate"/>
          </w:r>
          <w:r>
            <w:rPr>
              <w:rStyle w:val="18"/>
            </w:rPr>
            <w:t>1.</w:t>
          </w:r>
          <w:r>
            <w:rPr>
              <w:rStyle w:val="18"/>
              <w:rFonts w:hint="eastAsia"/>
            </w:rPr>
            <w:t>项目立项</w:t>
          </w:r>
          <w:r>
            <w:tab/>
          </w:r>
          <w:r>
            <w:fldChar w:fldCharType="begin"/>
          </w:r>
          <w:r>
            <w:instrText xml:space="preserve"> PAGEREF _Toc100784601 \h </w:instrText>
          </w:r>
          <w:r>
            <w:fldChar w:fldCharType="separate"/>
          </w:r>
          <w:r>
            <w:t>15</w:t>
          </w:r>
          <w:r>
            <w:fldChar w:fldCharType="end"/>
          </w:r>
          <w:r>
            <w:fldChar w:fldCharType="end"/>
          </w:r>
        </w:p>
        <w:p>
          <w:pPr>
            <w:pStyle w:val="6"/>
            <w:tabs>
              <w:tab w:val="right" w:leader="dot" w:pos="8296"/>
            </w:tabs>
            <w:ind w:left="1120" w:firstLine="560"/>
          </w:pPr>
          <w:r>
            <w:fldChar w:fldCharType="begin"/>
          </w:r>
          <w:r>
            <w:instrText xml:space="preserve"> HYPERLINK \l "_Toc100784602" </w:instrText>
          </w:r>
          <w:r>
            <w:fldChar w:fldCharType="separate"/>
          </w:r>
          <w:r>
            <w:rPr>
              <w:rStyle w:val="18"/>
            </w:rPr>
            <w:t>2.</w:t>
          </w:r>
          <w:r>
            <w:rPr>
              <w:rStyle w:val="18"/>
              <w:rFonts w:hint="eastAsia"/>
            </w:rPr>
            <w:t>绩效目标</w:t>
          </w:r>
          <w:r>
            <w:tab/>
          </w:r>
          <w:r>
            <w:fldChar w:fldCharType="begin"/>
          </w:r>
          <w:r>
            <w:instrText xml:space="preserve"> PAGEREF _Toc100784602 \h </w:instrText>
          </w:r>
          <w:r>
            <w:fldChar w:fldCharType="separate"/>
          </w:r>
          <w:r>
            <w:t>15</w:t>
          </w:r>
          <w:r>
            <w:fldChar w:fldCharType="end"/>
          </w:r>
          <w:r>
            <w:fldChar w:fldCharType="end"/>
          </w:r>
        </w:p>
        <w:p>
          <w:pPr>
            <w:pStyle w:val="6"/>
            <w:tabs>
              <w:tab w:val="right" w:leader="dot" w:pos="8296"/>
            </w:tabs>
            <w:ind w:left="1120" w:firstLine="560"/>
          </w:pPr>
          <w:r>
            <w:fldChar w:fldCharType="begin"/>
          </w:r>
          <w:r>
            <w:instrText xml:space="preserve"> HYPERLINK \l "_Toc100784603" </w:instrText>
          </w:r>
          <w:r>
            <w:fldChar w:fldCharType="separate"/>
          </w:r>
          <w:r>
            <w:rPr>
              <w:rStyle w:val="18"/>
            </w:rPr>
            <w:t>3.</w:t>
          </w:r>
          <w:r>
            <w:rPr>
              <w:rStyle w:val="18"/>
              <w:rFonts w:hint="eastAsia"/>
            </w:rPr>
            <w:t>资金投入</w:t>
          </w:r>
          <w:r>
            <w:tab/>
          </w:r>
          <w:r>
            <w:fldChar w:fldCharType="begin"/>
          </w:r>
          <w:r>
            <w:instrText xml:space="preserve"> PAGEREF _Toc100784603 \h </w:instrText>
          </w:r>
          <w:r>
            <w:fldChar w:fldCharType="separate"/>
          </w:r>
          <w:r>
            <w:t>16</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"_Toc100784604" </w:instrText>
          </w:r>
          <w:r>
            <w:fldChar w:fldCharType="separate"/>
          </w:r>
          <w:r>
            <w:rPr>
              <w:rStyle w:val="18"/>
              <w:rFonts w:hint="eastAsia" w:ascii="仿宋" w:hAnsi="仿宋" w:eastAsia="仿宋"/>
              <w:lang w:bidi="en-US"/>
            </w:rPr>
            <w:t>（二）项目过程情况</w:t>
          </w:r>
          <w:r>
            <w:tab/>
          </w:r>
          <w:r>
            <w:fldChar w:fldCharType="begin"/>
          </w:r>
          <w:r>
            <w:instrText xml:space="preserve"> PAGEREF _Toc100784604 \h </w:instrText>
          </w:r>
          <w:r>
            <w:fldChar w:fldCharType="separate"/>
          </w:r>
          <w:r>
            <w:t>16</w:t>
          </w:r>
          <w:r>
            <w:fldChar w:fldCharType="end"/>
          </w:r>
          <w:r>
            <w:fldChar w:fldCharType="end"/>
          </w:r>
        </w:p>
        <w:p>
          <w:pPr>
            <w:pStyle w:val="6"/>
            <w:tabs>
              <w:tab w:val="right" w:leader="dot" w:pos="8296"/>
            </w:tabs>
            <w:ind w:left="1120" w:firstLine="560"/>
          </w:pPr>
          <w:r>
            <w:fldChar w:fldCharType="begin"/>
          </w:r>
          <w:r>
            <w:instrText xml:space="preserve"> HYPERLINK \l "_Toc100784605" </w:instrText>
          </w:r>
          <w:r>
            <w:fldChar w:fldCharType="separate"/>
          </w:r>
          <w:r>
            <w:rPr>
              <w:rStyle w:val="18"/>
            </w:rPr>
            <w:t>1.</w:t>
          </w:r>
          <w:r>
            <w:rPr>
              <w:rStyle w:val="18"/>
              <w:rFonts w:hint="eastAsia"/>
            </w:rPr>
            <w:t>资金管理</w:t>
          </w:r>
          <w:r>
            <w:tab/>
          </w:r>
          <w:r>
            <w:fldChar w:fldCharType="begin"/>
          </w:r>
          <w:r>
            <w:instrText xml:space="preserve"> PAGEREF _Toc100784605 \h </w:instrText>
          </w:r>
          <w:r>
            <w:fldChar w:fldCharType="separate"/>
          </w:r>
          <w:r>
            <w:t>16</w:t>
          </w:r>
          <w:r>
            <w:fldChar w:fldCharType="end"/>
          </w:r>
          <w:r>
            <w:fldChar w:fldCharType="end"/>
          </w:r>
        </w:p>
        <w:p>
          <w:pPr>
            <w:pStyle w:val="6"/>
            <w:tabs>
              <w:tab w:val="right" w:leader="dot" w:pos="8296"/>
            </w:tabs>
            <w:ind w:left="1120" w:firstLine="560"/>
          </w:pPr>
          <w:r>
            <w:fldChar w:fldCharType="begin"/>
          </w:r>
          <w:r>
            <w:instrText xml:space="preserve"> HYPERLINK \l "_Toc100784606" </w:instrText>
          </w:r>
          <w:r>
            <w:fldChar w:fldCharType="separate"/>
          </w:r>
          <w:r>
            <w:rPr>
              <w:rStyle w:val="18"/>
            </w:rPr>
            <w:t>2.</w:t>
          </w:r>
          <w:r>
            <w:rPr>
              <w:rStyle w:val="18"/>
              <w:rFonts w:hint="eastAsia"/>
            </w:rPr>
            <w:t>组织实施</w:t>
          </w:r>
          <w:r>
            <w:tab/>
          </w:r>
          <w:r>
            <w:fldChar w:fldCharType="begin"/>
          </w:r>
          <w:r>
            <w:instrText xml:space="preserve"> PAGEREF _Toc100784606 \h </w:instrText>
          </w:r>
          <w:r>
            <w:fldChar w:fldCharType="separate"/>
          </w:r>
          <w:r>
            <w:t>17</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"_Toc100784607" </w:instrText>
          </w:r>
          <w:r>
            <w:fldChar w:fldCharType="separate"/>
          </w:r>
          <w:r>
            <w:rPr>
              <w:rStyle w:val="18"/>
              <w:rFonts w:hint="eastAsia" w:ascii="仿宋" w:hAnsi="仿宋" w:eastAsia="仿宋"/>
              <w:lang w:bidi="en-US"/>
            </w:rPr>
            <w:t>（三）项目产出情况</w:t>
          </w:r>
          <w:r>
            <w:tab/>
          </w:r>
          <w:r>
            <w:fldChar w:fldCharType="begin"/>
          </w:r>
          <w:r>
            <w:instrText xml:space="preserve"> PAGEREF _Toc100784607 \h </w:instrText>
          </w:r>
          <w:r>
            <w:fldChar w:fldCharType="separate"/>
          </w:r>
          <w:r>
            <w:t>17</w:t>
          </w:r>
          <w:r>
            <w:fldChar w:fldCharType="end"/>
          </w:r>
          <w:r>
            <w:fldChar w:fldCharType="end"/>
          </w:r>
        </w:p>
        <w:p>
          <w:pPr>
            <w:pStyle w:val="6"/>
            <w:tabs>
              <w:tab w:val="right" w:leader="dot" w:pos="8296"/>
            </w:tabs>
            <w:ind w:left="1120" w:firstLine="560"/>
          </w:pPr>
          <w:r>
            <w:fldChar w:fldCharType="begin"/>
          </w:r>
          <w:r>
            <w:instrText xml:space="preserve"> HYPERLINK \l "_Toc100784608" </w:instrText>
          </w:r>
          <w:r>
            <w:fldChar w:fldCharType="separate"/>
          </w:r>
          <w:r>
            <w:rPr>
              <w:rStyle w:val="18"/>
            </w:rPr>
            <w:t>1.</w:t>
          </w:r>
          <w:r>
            <w:rPr>
              <w:rStyle w:val="18"/>
              <w:rFonts w:hint="eastAsia"/>
            </w:rPr>
            <w:t>产出数量</w:t>
          </w:r>
          <w:r>
            <w:tab/>
          </w:r>
          <w:r>
            <w:fldChar w:fldCharType="begin"/>
          </w:r>
          <w:r>
            <w:instrText xml:space="preserve"> PAGEREF _Toc100784608 \h </w:instrText>
          </w:r>
          <w:r>
            <w:fldChar w:fldCharType="separate"/>
          </w:r>
          <w:r>
            <w:t>17</w:t>
          </w:r>
          <w:r>
            <w:fldChar w:fldCharType="end"/>
          </w:r>
          <w:r>
            <w:fldChar w:fldCharType="end"/>
          </w:r>
        </w:p>
        <w:p>
          <w:pPr>
            <w:pStyle w:val="6"/>
            <w:tabs>
              <w:tab w:val="right" w:leader="dot" w:pos="8296"/>
            </w:tabs>
            <w:ind w:left="1120" w:firstLine="560"/>
          </w:pPr>
          <w:r>
            <w:fldChar w:fldCharType="begin"/>
          </w:r>
          <w:r>
            <w:instrText xml:space="preserve"> HYPERLINK \l "_Toc100784609" </w:instrText>
          </w:r>
          <w:r>
            <w:fldChar w:fldCharType="separate"/>
          </w:r>
          <w:r>
            <w:rPr>
              <w:rStyle w:val="18"/>
            </w:rPr>
            <w:t>2.</w:t>
          </w:r>
          <w:r>
            <w:rPr>
              <w:rStyle w:val="18"/>
              <w:rFonts w:hint="eastAsia"/>
            </w:rPr>
            <w:t>产出质量</w:t>
          </w:r>
          <w:r>
            <w:tab/>
          </w:r>
          <w:r>
            <w:fldChar w:fldCharType="begin"/>
          </w:r>
          <w:r>
            <w:instrText xml:space="preserve"> PAGEREF _Toc100784609 \h </w:instrText>
          </w:r>
          <w:r>
            <w:fldChar w:fldCharType="separate"/>
          </w:r>
          <w:r>
            <w:t>18</w:t>
          </w:r>
          <w:r>
            <w:fldChar w:fldCharType="end"/>
          </w:r>
          <w:r>
            <w:fldChar w:fldCharType="end"/>
          </w:r>
        </w:p>
        <w:p>
          <w:pPr>
            <w:pStyle w:val="6"/>
            <w:tabs>
              <w:tab w:val="right" w:leader="dot" w:pos="8296"/>
            </w:tabs>
            <w:ind w:left="1120" w:firstLine="560"/>
          </w:pPr>
          <w:r>
            <w:fldChar w:fldCharType="begin"/>
          </w:r>
          <w:r>
            <w:instrText xml:space="preserve"> HYPERLINK \l "_Toc100784610" </w:instrText>
          </w:r>
          <w:r>
            <w:fldChar w:fldCharType="separate"/>
          </w:r>
          <w:r>
            <w:rPr>
              <w:rStyle w:val="18"/>
            </w:rPr>
            <w:t>3.</w:t>
          </w:r>
          <w:r>
            <w:rPr>
              <w:rStyle w:val="18"/>
              <w:rFonts w:hint="eastAsia"/>
            </w:rPr>
            <w:t>产出时效</w:t>
          </w:r>
          <w:r>
            <w:tab/>
          </w:r>
          <w:r>
            <w:fldChar w:fldCharType="begin"/>
          </w:r>
          <w:r>
            <w:instrText xml:space="preserve"> PAGEREF _Toc100784610 \h </w:instrText>
          </w:r>
          <w:r>
            <w:fldChar w:fldCharType="separate"/>
          </w:r>
          <w:r>
            <w:t>18</w:t>
          </w:r>
          <w:r>
            <w:fldChar w:fldCharType="end"/>
          </w:r>
          <w:r>
            <w:fldChar w:fldCharType="end"/>
          </w:r>
        </w:p>
        <w:p>
          <w:pPr>
            <w:pStyle w:val="6"/>
            <w:tabs>
              <w:tab w:val="right" w:leader="dot" w:pos="8296"/>
            </w:tabs>
            <w:ind w:left="1120" w:firstLine="560"/>
          </w:pPr>
          <w:r>
            <w:fldChar w:fldCharType="begin"/>
          </w:r>
          <w:r>
            <w:instrText xml:space="preserve"> HYPERLINK \l "_Toc100784611" </w:instrText>
          </w:r>
          <w:r>
            <w:fldChar w:fldCharType="separate"/>
          </w:r>
          <w:r>
            <w:rPr>
              <w:rStyle w:val="18"/>
            </w:rPr>
            <w:t>4.</w:t>
          </w:r>
          <w:r>
            <w:rPr>
              <w:rStyle w:val="18"/>
              <w:rFonts w:hint="eastAsia"/>
            </w:rPr>
            <w:t>产出成本</w:t>
          </w:r>
          <w:r>
            <w:tab/>
          </w:r>
          <w:r>
            <w:fldChar w:fldCharType="begin"/>
          </w:r>
          <w:r>
            <w:instrText xml:space="preserve"> PAGEREF _Toc100784611 \h </w:instrText>
          </w:r>
          <w:r>
            <w:fldChar w:fldCharType="separate"/>
          </w:r>
          <w:r>
            <w:t>18</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"_Toc100784612" </w:instrText>
          </w:r>
          <w:r>
            <w:fldChar w:fldCharType="separate"/>
          </w:r>
          <w:r>
            <w:rPr>
              <w:rStyle w:val="18"/>
              <w:rFonts w:hint="eastAsia" w:ascii="仿宋" w:hAnsi="仿宋" w:eastAsia="仿宋"/>
              <w:lang w:bidi="en-US"/>
            </w:rPr>
            <w:t>（四）项目效益情况</w:t>
          </w:r>
          <w:r>
            <w:tab/>
          </w:r>
          <w:r>
            <w:fldChar w:fldCharType="begin"/>
          </w:r>
          <w:r>
            <w:instrText xml:space="preserve"> PAGEREF _Toc100784612 \h </w:instrText>
          </w:r>
          <w:r>
            <w:fldChar w:fldCharType="separate"/>
          </w:r>
          <w:r>
            <w:t>18</w:t>
          </w:r>
          <w:r>
            <w:fldChar w:fldCharType="end"/>
          </w:r>
          <w:r>
            <w:fldChar w:fldCharType="end"/>
          </w:r>
        </w:p>
        <w:p>
          <w:pPr>
            <w:pStyle w:val="6"/>
            <w:tabs>
              <w:tab w:val="right" w:leader="dot" w:pos="8296"/>
            </w:tabs>
            <w:ind w:left="1120" w:firstLine="560"/>
          </w:pPr>
          <w:r>
            <w:fldChar w:fldCharType="begin"/>
          </w:r>
          <w:r>
            <w:instrText xml:space="preserve"> HYPERLINK \l "_Toc100784613" </w:instrText>
          </w:r>
          <w:r>
            <w:fldChar w:fldCharType="separate"/>
          </w:r>
          <w:r>
            <w:rPr>
              <w:rStyle w:val="18"/>
            </w:rPr>
            <w:t>1.</w:t>
          </w:r>
          <w:r>
            <w:rPr>
              <w:rStyle w:val="18"/>
              <w:rFonts w:hint="eastAsia"/>
            </w:rPr>
            <w:t>项目效益</w:t>
          </w:r>
          <w:r>
            <w:tab/>
          </w:r>
          <w:r>
            <w:fldChar w:fldCharType="begin"/>
          </w:r>
          <w:r>
            <w:instrText xml:space="preserve"> PAGEREF _Toc100784613 \h </w:instrText>
          </w:r>
          <w:r>
            <w:fldChar w:fldCharType="separate"/>
          </w:r>
          <w:r>
            <w:t>18</w:t>
          </w:r>
          <w:r>
            <w:fldChar w:fldCharType="end"/>
          </w:r>
          <w:r>
            <w:fldChar w:fldCharType="end"/>
          </w:r>
        </w:p>
        <w:p>
          <w:pPr>
            <w:pStyle w:val="6"/>
            <w:tabs>
              <w:tab w:val="right" w:leader="dot" w:pos="8296"/>
            </w:tabs>
            <w:ind w:left="1120" w:firstLine="560"/>
          </w:pPr>
          <w:r>
            <w:fldChar w:fldCharType="begin"/>
          </w:r>
          <w:r>
            <w:instrText xml:space="preserve"> HYPERLINK \l "_Toc100784614" </w:instrText>
          </w:r>
          <w:r>
            <w:fldChar w:fldCharType="separate"/>
          </w:r>
          <w:r>
            <w:rPr>
              <w:rStyle w:val="18"/>
            </w:rPr>
            <w:t xml:space="preserve">2. </w:t>
          </w:r>
          <w:r>
            <w:rPr>
              <w:rStyle w:val="18"/>
              <w:rFonts w:hint="eastAsia"/>
            </w:rPr>
            <w:t>满意度指标完成情况分析</w:t>
          </w:r>
          <w:r>
            <w:tab/>
          </w:r>
          <w:r>
            <w:fldChar w:fldCharType="begin"/>
          </w:r>
          <w:r>
            <w:instrText xml:space="preserve"> PAGEREF _Toc100784614 \h </w:instrText>
          </w:r>
          <w:r>
            <w:fldChar w:fldCharType="separate"/>
          </w:r>
          <w:r>
            <w:t>19</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"_Toc100784615" </w:instrText>
          </w:r>
          <w:r>
            <w:fldChar w:fldCharType="separate"/>
          </w:r>
          <w:r>
            <w:rPr>
              <w:rStyle w:val="18"/>
              <w:rFonts w:hint="eastAsia" w:ascii="仿宋" w:hAnsi="仿宋" w:eastAsia="仿宋"/>
              <w:lang w:bidi="en-US"/>
            </w:rPr>
            <w:t>五、预算执行进度与绩效指标偏差</w:t>
          </w:r>
          <w:r>
            <w:tab/>
          </w:r>
          <w:r>
            <w:fldChar w:fldCharType="begin"/>
          </w:r>
          <w:r>
            <w:instrText xml:space="preserve"> PAGEREF _Toc100784615 \h </w:instrText>
          </w:r>
          <w:r>
            <w:fldChar w:fldCharType="separate"/>
          </w:r>
          <w:r>
            <w:t>19</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"_Toc100784616" </w:instrText>
          </w:r>
          <w:r>
            <w:fldChar w:fldCharType="separate"/>
          </w:r>
          <w:r>
            <w:rPr>
              <w:rStyle w:val="18"/>
              <w:rFonts w:hint="eastAsia" w:ascii="仿宋" w:hAnsi="仿宋" w:eastAsia="仿宋"/>
              <w:lang w:bidi="en-US"/>
            </w:rPr>
            <w:t>六、主要经验及做法、存在的问题及原因分析</w:t>
          </w:r>
          <w:r>
            <w:tab/>
          </w:r>
          <w:r>
            <w:fldChar w:fldCharType="begin"/>
          </w:r>
          <w:r>
            <w:instrText xml:space="preserve"> PAGEREF _Toc100784616 \h </w:instrText>
          </w:r>
          <w:r>
            <w:fldChar w:fldCharType="separate"/>
          </w:r>
          <w:r>
            <w:t>20</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"_Toc100784617" </w:instrText>
          </w:r>
          <w:r>
            <w:fldChar w:fldCharType="separate"/>
          </w:r>
          <w:r>
            <w:rPr>
              <w:rStyle w:val="18"/>
              <w:rFonts w:hint="eastAsia" w:ascii="仿宋" w:hAnsi="仿宋" w:eastAsia="仿宋"/>
              <w:lang w:bidi="en-US"/>
            </w:rPr>
            <w:t>（一）主要经验及做法</w:t>
          </w:r>
          <w:r>
            <w:tab/>
          </w:r>
          <w:r>
            <w:fldChar w:fldCharType="begin"/>
          </w:r>
          <w:r>
            <w:instrText xml:space="preserve"> PAGEREF _Toc100784617 \h </w:instrText>
          </w:r>
          <w:r>
            <w:fldChar w:fldCharType="separate"/>
          </w:r>
          <w:r>
            <w:t>20</w:t>
          </w:r>
          <w:r>
            <w:fldChar w:fldCharType="end"/>
          </w:r>
          <w:r>
            <w:fldChar w:fldCharType="end"/>
          </w:r>
        </w:p>
        <w:p>
          <w:pPr>
            <w:pStyle w:val="13"/>
            <w:tabs>
              <w:tab w:val="right" w:leader="dot" w:pos="8296"/>
            </w:tabs>
            <w:ind w:left="560" w:firstLine="560"/>
            <w:rPr>
              <w:rFonts w:asciiTheme="minorHAnsi" w:hAnsiTheme="minorHAnsi" w:eastAsiaTheme="minorEastAsia" w:cstheme="minorBidi"/>
              <w:sz w:val="21"/>
            </w:rPr>
          </w:pPr>
          <w:r>
            <w:fldChar w:fldCharType="begin"/>
          </w:r>
          <w:r>
            <w:instrText xml:space="preserve"> HYPERLINK \l "_Toc100784618" </w:instrText>
          </w:r>
          <w:r>
            <w:fldChar w:fldCharType="separate"/>
          </w:r>
          <w:r>
            <w:rPr>
              <w:rStyle w:val="18"/>
              <w:rFonts w:hint="eastAsia" w:ascii="仿宋" w:hAnsi="仿宋" w:eastAsia="仿宋"/>
              <w:lang w:bidi="en-US"/>
            </w:rPr>
            <w:t>（二）存在的问题及原因分析</w:t>
          </w:r>
          <w:r>
            <w:tab/>
          </w:r>
          <w:r>
            <w:fldChar w:fldCharType="begin"/>
          </w:r>
          <w:r>
            <w:instrText xml:space="preserve"> PAGEREF _Toc100784618 \h </w:instrText>
          </w:r>
          <w:r>
            <w:fldChar w:fldCharType="separate"/>
          </w:r>
          <w:r>
            <w:t>20</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"_Toc100784619" </w:instrText>
          </w:r>
          <w:r>
            <w:fldChar w:fldCharType="separate"/>
          </w:r>
          <w:r>
            <w:rPr>
              <w:rStyle w:val="18"/>
              <w:rFonts w:hint="eastAsia" w:ascii="仿宋" w:hAnsi="仿宋" w:eastAsia="仿宋"/>
              <w:lang w:bidi="en-US"/>
            </w:rPr>
            <w:t>七、其他需要说明的问题</w:t>
          </w:r>
          <w:r>
            <w:tab/>
          </w:r>
          <w:r>
            <w:fldChar w:fldCharType="begin"/>
          </w:r>
          <w:r>
            <w:instrText xml:space="preserve"> PAGEREF _Toc100784619 \h </w:instrText>
          </w:r>
          <w:r>
            <w:fldChar w:fldCharType="separate"/>
          </w:r>
          <w:r>
            <w:t>20</w:t>
          </w:r>
          <w:r>
            <w:fldChar w:fldCharType="end"/>
          </w:r>
          <w:r>
            <w:fldChar w:fldCharType="end"/>
          </w:r>
        </w:p>
        <w:p>
          <w:pPr>
            <w:pStyle w:val="11"/>
            <w:tabs>
              <w:tab w:val="right" w:leader="dot" w:pos="8296"/>
            </w:tabs>
            <w:ind w:firstLine="560"/>
            <w:rPr>
              <w:rFonts w:asciiTheme="minorHAnsi" w:hAnsiTheme="minorHAnsi" w:eastAsiaTheme="minorEastAsia" w:cstheme="minorBidi"/>
              <w:sz w:val="21"/>
            </w:rPr>
          </w:pPr>
          <w:r>
            <w:fldChar w:fldCharType="begin"/>
          </w:r>
          <w:r>
            <w:instrText xml:space="preserve"> HYPERLINK \l "_Toc100784620" </w:instrText>
          </w:r>
          <w:r>
            <w:fldChar w:fldCharType="separate"/>
          </w:r>
          <w:r>
            <w:rPr>
              <w:rStyle w:val="18"/>
              <w:rFonts w:hint="eastAsia" w:ascii="仿宋" w:hAnsi="仿宋" w:eastAsia="仿宋"/>
              <w:lang w:bidi="en-US"/>
            </w:rPr>
            <w:t>八、有关建议</w:t>
          </w:r>
          <w:r>
            <w:tab/>
          </w:r>
          <w:r>
            <w:fldChar w:fldCharType="begin"/>
          </w:r>
          <w:r>
            <w:instrText xml:space="preserve"> PAGEREF _Toc100784620 \h </w:instrText>
          </w:r>
          <w:r>
            <w:fldChar w:fldCharType="separate"/>
          </w:r>
          <w:r>
            <w:t>20</w:t>
          </w:r>
          <w:r>
            <w:fldChar w:fldCharType="end"/>
          </w:r>
          <w:r>
            <w:fldChar w:fldCharType="end"/>
          </w:r>
        </w:p>
        <w:p>
          <w:pPr>
            <w:ind w:firstLine="562"/>
          </w:pPr>
          <w:r>
            <w:rPr>
              <w:b/>
              <w:bCs/>
              <w:lang w:val="zh-CN"/>
            </w:rPr>
            <w:fldChar w:fldCharType="end"/>
          </w:r>
        </w:p>
      </w:sdtContent>
    </w:sdt>
    <w:p>
      <w:pPr>
        <w:ind w:firstLine="598" w:firstLineChars="187"/>
        <w:rPr>
          <w:rFonts w:ascii="仿宋_GB2312" w:hAnsi="Times New Roman" w:cs="Times New Roman"/>
          <w:sz w:val="32"/>
          <w:szCs w:val="32"/>
          <w:lang w:bidi="en-US"/>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p>
    <w:p>
      <w:pPr>
        <w:pStyle w:val="2"/>
        <w:ind w:firstLine="0" w:firstLineChars="0"/>
        <w:jc w:val="left"/>
        <w:rPr>
          <w:rFonts w:ascii="仿宋" w:hAnsi="仿宋" w:eastAsia="仿宋"/>
          <w:sz w:val="36"/>
          <w:szCs w:val="36"/>
          <w:lang w:bidi="en-US"/>
        </w:rPr>
      </w:pPr>
      <w:bookmarkStart w:id="0" w:name="_Toc67911601"/>
      <w:bookmarkStart w:id="1" w:name="_Toc100784583"/>
      <w:r>
        <w:rPr>
          <w:rFonts w:hint="eastAsia" w:ascii="仿宋" w:hAnsi="仿宋" w:eastAsia="仿宋"/>
          <w:sz w:val="36"/>
          <w:szCs w:val="36"/>
          <w:lang w:bidi="en-US"/>
        </w:rPr>
        <w:t>一、基本情况</w:t>
      </w:r>
      <w:bookmarkEnd w:id="0"/>
      <w:bookmarkEnd w:id="1"/>
    </w:p>
    <w:p>
      <w:pPr>
        <w:pStyle w:val="3"/>
        <w:ind w:firstLine="643"/>
        <w:rPr>
          <w:rFonts w:ascii="仿宋" w:hAnsi="仿宋" w:eastAsia="仿宋"/>
          <w:lang w:bidi="en-US"/>
        </w:rPr>
      </w:pPr>
      <w:bookmarkStart w:id="2" w:name="_Toc67911602"/>
      <w:bookmarkStart w:id="3" w:name="_Toc100784584"/>
      <w:r>
        <w:rPr>
          <w:rFonts w:hint="eastAsia" w:ascii="仿宋" w:hAnsi="仿宋" w:eastAsia="仿宋"/>
          <w:lang w:bidi="en-US"/>
        </w:rPr>
        <w:t>（一）项目概况：</w:t>
      </w:r>
      <w:bookmarkEnd w:id="2"/>
      <w:bookmarkEnd w:id="3"/>
    </w:p>
    <w:p>
      <w:pPr>
        <w:spacing w:line="360" w:lineRule="auto"/>
        <w:ind w:firstLine="560"/>
        <w:rPr>
          <w:rFonts w:ascii="仿宋_GB2312"/>
        </w:rPr>
      </w:pPr>
      <w:r>
        <w:rPr>
          <w:rFonts w:hint="eastAsia" w:ascii="仿宋_GB2312"/>
        </w:rPr>
        <w:t>根据</w:t>
      </w:r>
      <w:r>
        <w:rPr>
          <w:rFonts w:hint="eastAsia" w:ascii="仿宋_GB2312"/>
          <w:lang w:eastAsia="zh-CN"/>
        </w:rPr>
        <w:t>乌鲁木齐市发展和改革委员会乌发改函【</w:t>
      </w:r>
      <w:r>
        <w:rPr>
          <w:rFonts w:hint="eastAsia" w:ascii="仿宋_GB2312"/>
          <w:lang w:val="en-US" w:eastAsia="zh-CN"/>
        </w:rPr>
        <w:t>2019</w:t>
      </w:r>
      <w:r>
        <w:rPr>
          <w:rFonts w:hint="eastAsia" w:ascii="仿宋_GB2312"/>
          <w:lang w:eastAsia="zh-CN"/>
        </w:rPr>
        <w:t>】</w:t>
      </w:r>
      <w:r>
        <w:rPr>
          <w:rFonts w:hint="eastAsia" w:ascii="仿宋_GB2312"/>
          <w:lang w:val="en-US" w:eastAsia="zh-CN"/>
        </w:rPr>
        <w:t>244号批复文件同意市第61中学新建学生宿舍、食堂、浴室、室外卫生间及教学楼、行政楼维修改造、设备购置项目。项目建设规模及主要内容由土建、维修改造、设备购置三部分构成：（一）土建部分。新建宿舍、食堂、浴室、水冲厕所一体楼，建筑面积15500平方米，及室外供排水管网、校园高压供电增容、供电路改造、暖气、燃气管网及场地硬化等附属设施工程；（二）维修改造部分。原教学楼、实验楼和办公楼改造为学生宿舍、临时食堂，及室外供排水、暖气管网、燃气管网、彩板库房等配套设施工程；（三）设备购置部分。购置宿舍生活用品、洗衣房设备、食堂餐桌厨具等辅助设施设备。</w:t>
      </w:r>
    </w:p>
    <w:p>
      <w:pPr>
        <w:spacing w:line="360" w:lineRule="auto"/>
        <w:ind w:firstLine="560"/>
        <w:rPr>
          <w:rFonts w:ascii="仿宋_GB2312"/>
        </w:rPr>
      </w:pPr>
      <w:r>
        <w:rPr>
          <w:rFonts w:hint="eastAsia" w:ascii="仿宋_GB2312"/>
        </w:rPr>
        <w:t>经乌财建[2021]136号-</w:t>
      </w:r>
      <w:r>
        <w:rPr>
          <w:rFonts w:hint="eastAsia" w:ascii="仿宋_GB2312"/>
          <w:lang w:eastAsia="zh-CN"/>
        </w:rPr>
        <w:t>《</w:t>
      </w:r>
      <w:r>
        <w:rPr>
          <w:rFonts w:hint="eastAsia" w:ascii="仿宋_GB2312"/>
        </w:rPr>
        <w:t>关于下达2021年政府投资计划教育系统（第二批）资金预算的通知</w:t>
      </w:r>
      <w:r>
        <w:rPr>
          <w:rFonts w:hint="eastAsia" w:ascii="仿宋_GB2312"/>
          <w:lang w:eastAsia="zh-CN"/>
        </w:rPr>
        <w:t>》</w:t>
      </w:r>
      <w:r>
        <w:rPr>
          <w:rFonts w:hint="eastAsia" w:ascii="仿宋_GB2312"/>
        </w:rPr>
        <w:t>文件批准，项目系</w:t>
      </w:r>
      <w:r>
        <w:rPr>
          <w:rFonts w:ascii="仿宋_GB2312"/>
        </w:rPr>
        <w:t>202</w:t>
      </w:r>
      <w:r>
        <w:rPr>
          <w:rFonts w:hint="eastAsia" w:ascii="仿宋_GB2312"/>
          <w:lang w:val="en-US" w:eastAsia="zh-CN"/>
        </w:rPr>
        <w:t>1</w:t>
      </w:r>
      <w:r>
        <w:rPr>
          <w:rFonts w:hint="eastAsia" w:ascii="仿宋_GB2312"/>
        </w:rPr>
        <w:t>年</w:t>
      </w:r>
      <w:r>
        <w:rPr>
          <w:rFonts w:hint="eastAsia" w:ascii="仿宋_GB2312"/>
          <w:lang w:eastAsia="zh-CN"/>
        </w:rPr>
        <w:t>市</w:t>
      </w:r>
      <w:r>
        <w:rPr>
          <w:rFonts w:hint="eastAsia" w:ascii="仿宋_GB2312"/>
        </w:rPr>
        <w:t>本级资金，共安排</w:t>
      </w:r>
      <w:r>
        <w:rPr>
          <w:rFonts w:hint="eastAsia" w:ascii="仿宋_GB2312"/>
          <w:lang w:eastAsia="zh-CN"/>
        </w:rPr>
        <w:t>资金</w:t>
      </w:r>
      <w:r>
        <w:rPr>
          <w:rFonts w:hint="eastAsia" w:ascii="仿宋_GB2312"/>
          <w:lang w:val="en-US" w:eastAsia="zh-CN"/>
        </w:rPr>
        <w:t>1000</w:t>
      </w:r>
      <w:r>
        <w:rPr>
          <w:rFonts w:hint="eastAsia" w:ascii="仿宋_GB2312"/>
        </w:rPr>
        <w:t>万元，</w:t>
      </w:r>
      <w:r>
        <w:rPr>
          <w:rFonts w:hint="eastAsia" w:ascii="仿宋_GB2312"/>
          <w:lang w:eastAsia="zh-CN"/>
        </w:rPr>
        <w:t>是</w:t>
      </w:r>
      <w:r>
        <w:rPr>
          <w:rFonts w:hint="eastAsia" w:ascii="仿宋_GB2312"/>
        </w:rPr>
        <w:t>202</w:t>
      </w:r>
      <w:r>
        <w:rPr>
          <w:rFonts w:hint="eastAsia" w:ascii="仿宋_GB2312"/>
          <w:lang w:val="en-US" w:eastAsia="zh-CN"/>
        </w:rPr>
        <w:t>1</w:t>
      </w:r>
      <w:r>
        <w:rPr>
          <w:rFonts w:hint="eastAsia" w:ascii="仿宋_GB2312"/>
        </w:rPr>
        <w:t>年</w:t>
      </w:r>
      <w:r>
        <w:rPr>
          <w:rFonts w:hint="eastAsia" w:ascii="仿宋_GB2312"/>
          <w:lang w:eastAsia="zh-CN"/>
        </w:rPr>
        <w:t>结转资金</w:t>
      </w:r>
      <w:r>
        <w:rPr>
          <w:rFonts w:hint="eastAsia" w:ascii="仿宋_GB2312"/>
        </w:rPr>
        <w:t>项目，资金</w:t>
      </w:r>
      <w:r>
        <w:rPr>
          <w:rFonts w:hint="eastAsia" w:ascii="仿宋_GB2312"/>
          <w:lang w:eastAsia="zh-CN"/>
        </w:rPr>
        <w:t>到位</w:t>
      </w:r>
      <w:r>
        <w:rPr>
          <w:rFonts w:hint="eastAsia" w:ascii="仿宋_GB2312"/>
          <w:lang w:val="en-US" w:eastAsia="zh-CN"/>
        </w:rPr>
        <w:t>1000万</w:t>
      </w:r>
      <w:r>
        <w:rPr>
          <w:rFonts w:hint="eastAsia" w:ascii="仿宋_GB2312"/>
        </w:rPr>
        <w:t>且支付完毕</w:t>
      </w:r>
      <w:r>
        <w:rPr>
          <w:rFonts w:hint="eastAsia" w:ascii="仿宋_GB2312"/>
          <w:lang w:val="en-US" w:eastAsia="zh-CN"/>
        </w:rPr>
        <w:t>1000万</w:t>
      </w:r>
      <w:r>
        <w:rPr>
          <w:rFonts w:hint="eastAsia" w:ascii="仿宋_GB2312"/>
        </w:rPr>
        <w:t>，年中没有对资金进行调增、调减。</w:t>
      </w:r>
    </w:p>
    <w:p>
      <w:pPr>
        <w:pStyle w:val="3"/>
        <w:ind w:firstLine="643"/>
        <w:rPr>
          <w:rFonts w:ascii="仿宋" w:hAnsi="仿宋" w:eastAsia="仿宋"/>
          <w:lang w:bidi="en-US"/>
        </w:rPr>
      </w:pPr>
      <w:bookmarkStart w:id="4" w:name="_Toc67911603"/>
      <w:bookmarkStart w:id="5" w:name="_Toc100784585"/>
      <w:r>
        <w:rPr>
          <w:rFonts w:hint="eastAsia" w:ascii="仿宋" w:hAnsi="仿宋" w:eastAsia="仿宋"/>
          <w:lang w:bidi="en-US"/>
        </w:rPr>
        <w:t>（二）项目绩效目标：</w:t>
      </w:r>
      <w:bookmarkEnd w:id="4"/>
      <w:bookmarkEnd w:id="5"/>
    </w:p>
    <w:p>
      <w:pPr>
        <w:spacing w:line="360" w:lineRule="auto"/>
        <w:ind w:firstLine="560"/>
        <w:rPr>
          <w:rFonts w:ascii="仿宋_GB2312" w:hAnsi="仿宋"/>
          <w:szCs w:val="28"/>
        </w:rPr>
      </w:pPr>
      <w:r>
        <w:rPr>
          <w:rFonts w:hint="eastAsia" w:ascii="仿宋_GB2312" w:hAnsi="仿宋"/>
          <w:szCs w:val="28"/>
        </w:rPr>
        <w:t>本项目依据《中共中央 国务院关于全面实施预算绩效管理的意见》（中发〔2018〕</w:t>
      </w:r>
      <w:r>
        <w:rPr>
          <w:rFonts w:ascii="仿宋_GB2312" w:hAnsi="仿宋"/>
          <w:szCs w:val="28"/>
        </w:rPr>
        <w:t>34</w:t>
      </w:r>
      <w:r>
        <w:rPr>
          <w:rFonts w:hint="eastAsia" w:ascii="仿宋_GB2312" w:hAnsi="仿宋"/>
          <w:szCs w:val="28"/>
        </w:rPr>
        <w:t>号）、《关于印发&lt;乌鲁木齐市本级部门预算绩效目标管理暂行办法</w:t>
      </w:r>
      <w:r>
        <w:rPr>
          <w:rFonts w:ascii="仿宋_GB2312" w:hAnsi="仿宋"/>
          <w:szCs w:val="28"/>
        </w:rPr>
        <w:t>&gt;</w:t>
      </w:r>
      <w:r>
        <w:rPr>
          <w:rFonts w:hint="eastAsia" w:ascii="仿宋_GB2312" w:hAnsi="仿宋"/>
          <w:szCs w:val="28"/>
        </w:rPr>
        <w:t>的通知》（乌财预</w:t>
      </w:r>
      <w:bookmarkStart w:id="6" w:name="_Hlk67566397"/>
      <w:r>
        <w:rPr>
          <w:rFonts w:hint="eastAsia" w:ascii="仿宋_GB2312" w:hAnsi="仿宋"/>
          <w:szCs w:val="28"/>
        </w:rPr>
        <w:t>〔2018〕</w:t>
      </w:r>
      <w:r>
        <w:rPr>
          <w:rFonts w:ascii="仿宋_GB2312" w:hAnsi="仿宋"/>
          <w:szCs w:val="28"/>
        </w:rPr>
        <w:t>5</w:t>
      </w:r>
      <w:r>
        <w:rPr>
          <w:rFonts w:hint="eastAsia" w:ascii="仿宋_GB2312" w:hAnsi="仿宋"/>
          <w:szCs w:val="28"/>
        </w:rPr>
        <w:t>6号</w:t>
      </w:r>
      <w:bookmarkEnd w:id="6"/>
      <w:r>
        <w:rPr>
          <w:rFonts w:hint="eastAsia" w:ascii="仿宋_GB2312" w:hAnsi="仿宋"/>
          <w:szCs w:val="28"/>
        </w:rPr>
        <w:t>）、《关于做好2</w:t>
      </w:r>
      <w:r>
        <w:rPr>
          <w:rFonts w:ascii="仿宋_GB2312" w:hAnsi="仿宋"/>
          <w:szCs w:val="28"/>
        </w:rPr>
        <w:t>019</w:t>
      </w:r>
      <w:r>
        <w:rPr>
          <w:rFonts w:hint="eastAsia" w:ascii="仿宋_GB2312" w:hAnsi="仿宋"/>
          <w:szCs w:val="28"/>
        </w:rPr>
        <w:t>年部门预算项目支出绩效目标管理有关事宜的通知》（乌财预〔20</w:t>
      </w:r>
      <w:r>
        <w:rPr>
          <w:rFonts w:ascii="仿宋_GB2312" w:hAnsi="仿宋"/>
          <w:szCs w:val="28"/>
        </w:rPr>
        <w:t>18</w:t>
      </w:r>
      <w:r>
        <w:rPr>
          <w:rFonts w:hint="eastAsia" w:ascii="仿宋_GB2312" w:hAnsi="仿宋"/>
          <w:szCs w:val="28"/>
        </w:rPr>
        <w:t>〕</w:t>
      </w:r>
      <w:r>
        <w:rPr>
          <w:rFonts w:ascii="仿宋_GB2312" w:hAnsi="仿宋"/>
          <w:szCs w:val="28"/>
        </w:rPr>
        <w:t>76</w:t>
      </w:r>
      <w:r>
        <w:rPr>
          <w:rFonts w:hint="eastAsia" w:ascii="仿宋_GB2312" w:hAnsi="仿宋"/>
          <w:szCs w:val="28"/>
        </w:rPr>
        <w:t>号）和《项目支出绩效评价管理办法》（财预〔20</w:t>
      </w:r>
      <w:r>
        <w:rPr>
          <w:rFonts w:ascii="仿宋_GB2312" w:hAnsi="仿宋"/>
          <w:szCs w:val="28"/>
        </w:rPr>
        <w:t>20</w:t>
      </w:r>
      <w:r>
        <w:rPr>
          <w:rFonts w:hint="eastAsia" w:ascii="仿宋_GB2312" w:hAnsi="仿宋"/>
          <w:szCs w:val="28"/>
        </w:rPr>
        <w:t>〕</w:t>
      </w:r>
      <w:r>
        <w:rPr>
          <w:rFonts w:ascii="仿宋_GB2312" w:hAnsi="仿宋"/>
          <w:szCs w:val="28"/>
        </w:rPr>
        <w:t>10</w:t>
      </w:r>
      <w:r>
        <w:rPr>
          <w:rFonts w:hint="eastAsia" w:ascii="仿宋_GB2312" w:hAnsi="仿宋"/>
          <w:szCs w:val="28"/>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360" w:lineRule="auto"/>
        <w:ind w:firstLine="560"/>
        <w:rPr>
          <w:rFonts w:hint="default" w:ascii="仿宋_GB2312" w:hAnsi="仿宋" w:eastAsia="仿宋_GB2312"/>
          <w:color w:val="auto"/>
          <w:szCs w:val="28"/>
          <w:highlight w:val="none"/>
          <w:lang w:val="en-US" w:eastAsia="zh-CN"/>
        </w:rPr>
      </w:pPr>
      <w:r>
        <w:rPr>
          <w:rFonts w:hint="eastAsia" w:ascii="仿宋_GB2312" w:hAnsi="仿宋"/>
          <w:color w:val="auto"/>
          <w:szCs w:val="28"/>
          <w:highlight w:val="none"/>
        </w:rPr>
        <w:t>该项目绩效目标设置横跨项目期</w:t>
      </w:r>
      <w:r>
        <w:rPr>
          <w:rFonts w:hint="eastAsia" w:ascii="仿宋_GB2312" w:hAnsi="仿宋"/>
          <w:color w:val="auto"/>
          <w:szCs w:val="28"/>
          <w:highlight w:val="none"/>
          <w:lang w:eastAsia="zh-CN"/>
        </w:rPr>
        <w:t>两</w:t>
      </w:r>
      <w:r>
        <w:rPr>
          <w:rFonts w:hint="eastAsia" w:ascii="仿宋_GB2312" w:hAnsi="仿宋"/>
          <w:color w:val="auto"/>
          <w:szCs w:val="28"/>
          <w:highlight w:val="none"/>
        </w:rPr>
        <w:t>年，为总体绩效目标，预计在</w:t>
      </w:r>
      <w:r>
        <w:rPr>
          <w:rFonts w:hint="eastAsia" w:ascii="仿宋_GB2312" w:hAnsi="仿宋"/>
          <w:color w:val="auto"/>
          <w:szCs w:val="28"/>
          <w:highlight w:val="none"/>
          <w:lang w:eastAsia="zh-CN"/>
        </w:rPr>
        <w:t>两</w:t>
      </w:r>
      <w:r>
        <w:rPr>
          <w:rFonts w:hint="eastAsia" w:ascii="仿宋_GB2312" w:hAnsi="仿宋"/>
          <w:color w:val="auto"/>
          <w:szCs w:val="28"/>
          <w:highlight w:val="none"/>
        </w:rPr>
        <w:t>年建设期间，</w:t>
      </w:r>
      <w:r>
        <w:rPr>
          <w:rFonts w:hint="eastAsia" w:ascii="仿宋_GB2312" w:hAnsi="Calibri" w:eastAsia="仿宋_GB2312" w:cs="黑体"/>
          <w:color w:val="auto"/>
          <w:kern w:val="2"/>
          <w:sz w:val="28"/>
          <w:szCs w:val="28"/>
          <w:highlight w:val="none"/>
          <w:lang w:val="en-US" w:eastAsia="zh-CN" w:bidi="ar-SA"/>
        </w:rPr>
        <w:t>项目建设规模及主要内容由土建、维修改造、设备购置三部分构成：（一）土建部分。新建宿舍、食堂、浴室、水冲厕所一体楼，建筑面积15500平方米，及室外供排水管网、校园高压供电增容、供电路改造、暖气、燃气管网及场地硬化等附属设施工程；（二）维修改造部分。原教学楼、实验楼和办公楼改造为学生宿舍、临时食堂，及室外供排水、暖气管网、燃气管网、彩板库房等配套设施工程；（三）设备购置部分。购置宿舍生活用品、洗衣房设备、食堂餐桌厨具等辅助设施设备。我校新建学生宿舍和食堂建成以后，提高学生和教师在校生活水平，改善学生的学习生活的环境。</w:t>
      </w:r>
      <w:r>
        <w:rPr>
          <w:rStyle w:val="19"/>
          <w:rFonts w:hint="eastAsia"/>
          <w:color w:val="auto"/>
          <w:highlight w:val="none"/>
          <w:lang w:eastAsia="zh-CN"/>
        </w:rPr>
        <w:t>（</w:t>
      </w:r>
      <w:r>
        <w:rPr>
          <w:rStyle w:val="19"/>
          <w:rFonts w:hint="eastAsia"/>
          <w:color w:val="auto"/>
          <w:highlight w:val="none"/>
          <w:lang w:val="en-US" w:eastAsia="zh-CN"/>
        </w:rPr>
        <w:t>请补充2022年年度绩效目标内容）</w:t>
      </w:r>
    </w:p>
    <w:p>
      <w:pPr>
        <w:pStyle w:val="2"/>
        <w:ind w:firstLine="0" w:firstLineChars="0"/>
        <w:jc w:val="left"/>
        <w:rPr>
          <w:rFonts w:ascii="仿宋" w:hAnsi="仿宋" w:eastAsia="仿宋"/>
          <w:sz w:val="36"/>
          <w:szCs w:val="36"/>
          <w:lang w:bidi="en-US"/>
        </w:rPr>
      </w:pPr>
      <w:bookmarkStart w:id="7" w:name="_Toc100784586"/>
      <w:bookmarkStart w:id="8" w:name="_Toc67911604"/>
      <w:r>
        <w:rPr>
          <w:rFonts w:hint="eastAsia" w:ascii="仿宋" w:hAnsi="仿宋" w:eastAsia="仿宋"/>
          <w:sz w:val="36"/>
          <w:szCs w:val="36"/>
          <w:lang w:bidi="en-US"/>
        </w:rPr>
        <w:t>二、绩效评价工作开展情况</w:t>
      </w:r>
      <w:bookmarkEnd w:id="7"/>
      <w:bookmarkEnd w:id="8"/>
    </w:p>
    <w:p>
      <w:pPr>
        <w:pStyle w:val="3"/>
        <w:ind w:firstLine="643"/>
        <w:rPr>
          <w:rFonts w:ascii="仿宋" w:hAnsi="仿宋" w:eastAsia="仿宋"/>
          <w:lang w:bidi="en-US"/>
        </w:rPr>
      </w:pPr>
      <w:bookmarkStart w:id="9" w:name="_Toc67911605"/>
      <w:bookmarkStart w:id="10" w:name="_Toc100784587"/>
      <w:r>
        <w:rPr>
          <w:rFonts w:hint="eastAsia" w:ascii="仿宋" w:hAnsi="仿宋" w:eastAsia="仿宋"/>
          <w:lang w:bidi="en-US"/>
        </w:rPr>
        <w:t>（一）绩效评价目的、对象和范围</w:t>
      </w:r>
      <w:bookmarkEnd w:id="9"/>
      <w:bookmarkEnd w:id="10"/>
    </w:p>
    <w:p>
      <w:pPr>
        <w:pStyle w:val="4"/>
        <w:ind w:firstLine="643"/>
      </w:pPr>
      <w:bookmarkStart w:id="11" w:name="_Toc100784588"/>
      <w:r>
        <w:rPr>
          <w:rFonts w:hint="eastAsia"/>
        </w:rPr>
        <w:t>1.评价目的</w:t>
      </w:r>
      <w:bookmarkEnd w:id="11"/>
    </w:p>
    <w:p>
      <w:pPr>
        <w:spacing w:line="360" w:lineRule="auto"/>
        <w:ind w:firstLine="560"/>
        <w:rPr>
          <w:rFonts w:ascii="仿宋_GB2312"/>
          <w:b/>
          <w:bCs/>
        </w:rPr>
      </w:pPr>
      <w:r>
        <w:rPr>
          <w:rFonts w:hint="eastAsia" w:ascii="仿宋_GB231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pStyle w:val="4"/>
        <w:ind w:firstLine="643"/>
      </w:pPr>
      <w:bookmarkStart w:id="12" w:name="_Toc100784589"/>
      <w:r>
        <w:t>2</w:t>
      </w:r>
      <w:r>
        <w:rPr>
          <w:rFonts w:hint="eastAsia"/>
        </w:rPr>
        <w:t>.评价对象和范围</w:t>
      </w:r>
      <w:bookmarkEnd w:id="12"/>
    </w:p>
    <w:p>
      <w:pPr>
        <w:spacing w:line="360" w:lineRule="auto"/>
        <w:ind w:firstLine="560"/>
        <w:rPr>
          <w:rFonts w:ascii="仿宋_GB2312"/>
        </w:rPr>
      </w:pPr>
      <w:r>
        <w:rPr>
          <w:rFonts w:hint="eastAsia" w:ascii="仿宋_GB2312"/>
        </w:rPr>
        <w:t>（1）绩效评价的对象：</w:t>
      </w:r>
      <w:r>
        <w:rPr>
          <w:rFonts w:hint="eastAsia" w:ascii="仿宋_GB2312" w:hAnsi="Times New Roman" w:cs="Times New Roman"/>
          <w:kern w:val="0"/>
          <w:sz w:val="32"/>
          <w:szCs w:val="32"/>
          <w:lang w:eastAsia="zh-CN" w:bidi="en-US"/>
        </w:rPr>
        <w:t>新建学生宿舍一体楼</w:t>
      </w:r>
      <w:r>
        <w:rPr>
          <w:rFonts w:ascii="仿宋_GB2312"/>
        </w:rPr>
        <w:t xml:space="preserve"> </w:t>
      </w:r>
    </w:p>
    <w:p>
      <w:pPr>
        <w:spacing w:line="360" w:lineRule="auto"/>
        <w:ind w:firstLine="560"/>
        <w:rPr>
          <w:rFonts w:ascii="仿宋_GB2312"/>
        </w:rPr>
      </w:pPr>
      <w:r>
        <w:rPr>
          <w:rFonts w:hint="eastAsia" w:ascii="仿宋_GB2312"/>
        </w:rPr>
        <w:t>（2）绩效评价范围：</w:t>
      </w:r>
    </w:p>
    <w:p>
      <w:pPr>
        <w:spacing w:line="360" w:lineRule="auto"/>
        <w:ind w:firstLine="560"/>
        <w:rPr>
          <w:rFonts w:ascii="仿宋_GB2312"/>
        </w:rPr>
      </w:pPr>
      <w:r>
        <w:rPr>
          <w:rFonts w:hint="eastAsia" w:ascii="仿宋_GB2312"/>
        </w:rPr>
        <w:t>1</w:t>
      </w:r>
      <w:r>
        <w:rPr>
          <w:rFonts w:ascii="仿宋_GB2312"/>
        </w:rPr>
        <w:t>.</w:t>
      </w:r>
      <w:r>
        <w:rPr>
          <w:rFonts w:hint="eastAsia" w:ascii="仿宋_GB2312"/>
        </w:rPr>
        <w:t>项目范围：</w:t>
      </w:r>
      <w:r>
        <w:rPr>
          <w:rFonts w:hint="eastAsia" w:ascii="仿宋_GB2312" w:hAnsi="Times New Roman" w:cs="Times New Roman"/>
          <w:kern w:val="0"/>
          <w:sz w:val="32"/>
          <w:szCs w:val="32"/>
          <w:lang w:eastAsia="zh-CN" w:bidi="en-US"/>
        </w:rPr>
        <w:t>新建学生宿舍一体楼</w:t>
      </w:r>
      <w:r>
        <w:rPr>
          <w:rFonts w:hint="eastAsia" w:ascii="仿宋_GB2312"/>
        </w:rPr>
        <w:t>的完成情况、资金投入的运行情况、项目实施后产生的绩效及影响效果。</w:t>
      </w:r>
    </w:p>
    <w:p>
      <w:pPr>
        <w:spacing w:line="360" w:lineRule="auto"/>
        <w:ind w:firstLine="560"/>
        <w:rPr>
          <w:rFonts w:ascii="仿宋_GB2312"/>
        </w:rPr>
      </w:pPr>
      <w:r>
        <w:rPr>
          <w:rFonts w:hint="eastAsia" w:ascii="仿宋_GB2312"/>
        </w:rPr>
        <w:t>2</w:t>
      </w:r>
      <w:r>
        <w:rPr>
          <w:rFonts w:ascii="仿宋_GB2312"/>
        </w:rPr>
        <w:t>.</w:t>
      </w:r>
      <w:r>
        <w:rPr>
          <w:rFonts w:hint="eastAsia" w:ascii="仿宋_GB2312"/>
        </w:rPr>
        <w:t>时间范围：2</w:t>
      </w:r>
      <w:r>
        <w:rPr>
          <w:rFonts w:ascii="仿宋_GB2312"/>
        </w:rPr>
        <w:t>02</w:t>
      </w:r>
      <w:r>
        <w:rPr>
          <w:rFonts w:hint="eastAsia" w:ascii="仿宋_GB2312"/>
        </w:rPr>
        <w:t>2年1月1日至2</w:t>
      </w:r>
      <w:r>
        <w:rPr>
          <w:rFonts w:ascii="仿宋_GB2312"/>
        </w:rPr>
        <w:t>02</w:t>
      </w:r>
      <w:r>
        <w:rPr>
          <w:rFonts w:hint="eastAsia" w:ascii="仿宋_GB2312"/>
        </w:rPr>
        <w:t>2年1</w:t>
      </w:r>
      <w:r>
        <w:rPr>
          <w:rFonts w:ascii="仿宋_GB2312"/>
        </w:rPr>
        <w:t>2</w:t>
      </w:r>
      <w:r>
        <w:rPr>
          <w:rFonts w:hint="eastAsia" w:ascii="仿宋_GB2312"/>
        </w:rPr>
        <w:t>月3</w:t>
      </w:r>
      <w:r>
        <w:rPr>
          <w:rFonts w:ascii="仿宋_GB2312"/>
        </w:rPr>
        <w:t>1</w:t>
      </w:r>
      <w:r>
        <w:rPr>
          <w:rFonts w:hint="eastAsia" w:ascii="仿宋_GB2312"/>
        </w:rPr>
        <w:t>日。</w:t>
      </w:r>
    </w:p>
    <w:p>
      <w:pPr>
        <w:pStyle w:val="3"/>
        <w:ind w:firstLine="643"/>
        <w:rPr>
          <w:rFonts w:ascii="仿宋" w:hAnsi="仿宋" w:eastAsia="仿宋"/>
          <w:lang w:bidi="en-US"/>
        </w:rPr>
      </w:pPr>
      <w:bookmarkStart w:id="13" w:name="_Toc100784590"/>
      <w:bookmarkStart w:id="14" w:name="_Toc67911606"/>
      <w:bookmarkStart w:id="15" w:name="_Hlk67586765"/>
      <w:r>
        <w:rPr>
          <w:rFonts w:hint="eastAsia" w:ascii="仿宋" w:hAnsi="仿宋" w:eastAsia="仿宋"/>
          <w:lang w:bidi="en-US"/>
        </w:rPr>
        <w:t>（二）绩效评价原则、指标体系、方法及标准</w:t>
      </w:r>
      <w:bookmarkEnd w:id="13"/>
      <w:bookmarkEnd w:id="14"/>
    </w:p>
    <w:bookmarkEnd w:id="15"/>
    <w:p>
      <w:pPr>
        <w:pStyle w:val="4"/>
        <w:ind w:firstLine="643"/>
      </w:pPr>
      <w:bookmarkStart w:id="16" w:name="_Toc100784591"/>
      <w:r>
        <w:rPr>
          <w:rFonts w:hint="eastAsia"/>
        </w:rPr>
        <w:t>1</w:t>
      </w:r>
      <w:r>
        <w:t>.</w:t>
      </w:r>
      <w:r>
        <w:rPr>
          <w:rFonts w:hint="eastAsia"/>
        </w:rPr>
        <w:t>评价原则</w:t>
      </w:r>
      <w:bookmarkEnd w:id="16"/>
    </w:p>
    <w:p>
      <w:pPr>
        <w:spacing w:line="360" w:lineRule="auto"/>
        <w:ind w:firstLine="560"/>
        <w:rPr>
          <w:rFonts w:ascii="仿宋_GB2312"/>
        </w:rPr>
      </w:pPr>
      <w:r>
        <w:rPr>
          <w:rFonts w:hint="eastAsia" w:ascii="仿宋_GB2312"/>
        </w:rPr>
        <w:t>（1）科学规范原则：绩效评价应当严格执行规定的程序，按照科学可行的要求，采用定量与定性分析相结合的方法。</w:t>
      </w:r>
    </w:p>
    <w:p>
      <w:pPr>
        <w:spacing w:line="360" w:lineRule="auto"/>
        <w:ind w:firstLine="560"/>
        <w:rPr>
          <w:rFonts w:ascii="仿宋_GB2312"/>
        </w:rPr>
      </w:pPr>
      <w:r>
        <w:rPr>
          <w:rFonts w:hint="eastAsia" w:ascii="仿宋_GB2312"/>
        </w:rPr>
        <w:t>（2）公正公开原则：绩效评价应当符合真实、客观、公正的要求，依法公开并接受监督。</w:t>
      </w:r>
    </w:p>
    <w:p>
      <w:pPr>
        <w:spacing w:line="360" w:lineRule="auto"/>
        <w:ind w:firstLine="560"/>
        <w:rPr>
          <w:rFonts w:ascii="仿宋_GB2312"/>
        </w:rPr>
      </w:pPr>
      <w:r>
        <w:rPr>
          <w:rFonts w:hint="eastAsia" w:ascii="仿宋_GB2312"/>
        </w:rPr>
        <w:t>（3）分级分类原则：根据评价对象特点分类组织实施。</w:t>
      </w:r>
    </w:p>
    <w:p>
      <w:pPr>
        <w:spacing w:line="360" w:lineRule="auto"/>
        <w:ind w:firstLine="560"/>
        <w:rPr>
          <w:rFonts w:ascii="仿宋_GB2312"/>
        </w:rPr>
      </w:pPr>
      <w:r>
        <w:rPr>
          <w:rFonts w:hint="eastAsia" w:ascii="仿宋_GB2312"/>
        </w:rPr>
        <w:t>（4）绩效相关原则：绩效评价应当针对具体支出及其产出绩效进行，评价结果应当清晰反映支出和产出绩效之间的紧密对应关系。</w:t>
      </w:r>
    </w:p>
    <w:p>
      <w:pPr>
        <w:spacing w:line="360" w:lineRule="auto"/>
        <w:ind w:firstLine="560"/>
        <w:rPr>
          <w:rFonts w:ascii="仿宋_GB2312"/>
        </w:rPr>
      </w:pPr>
      <w:r>
        <w:rPr>
          <w:rFonts w:hint="eastAsia" w:ascii="仿宋_GB2312"/>
        </w:rPr>
        <w:t>根据以上原则，绩效评价应遵循如下要求：</w:t>
      </w:r>
    </w:p>
    <w:p>
      <w:pPr>
        <w:spacing w:line="360" w:lineRule="auto"/>
        <w:ind w:firstLine="560"/>
        <w:rPr>
          <w:rFonts w:ascii="仿宋_GB2312"/>
        </w:rPr>
      </w:pPr>
      <w:r>
        <w:rPr>
          <w:rFonts w:hint="eastAsia" w:ascii="仿宋_GB2312"/>
        </w:rPr>
        <w:t>（1）在数据收集时，采取客观数据，并结合问卷调查结果，以保证各项指标的真实性。</w:t>
      </w:r>
    </w:p>
    <w:p>
      <w:pPr>
        <w:spacing w:line="360" w:lineRule="auto"/>
        <w:ind w:firstLine="560"/>
        <w:rPr>
          <w:rFonts w:ascii="仿宋_GB2312"/>
        </w:rPr>
      </w:pPr>
      <w:r>
        <w:rPr>
          <w:rFonts w:hint="eastAsia" w:ascii="仿宋_GB2312"/>
        </w:rPr>
        <w:t>（2）保证评价结果的真实性、公正性，提高评价报告的公信力。</w:t>
      </w:r>
    </w:p>
    <w:p>
      <w:pPr>
        <w:spacing w:line="360" w:lineRule="auto"/>
        <w:ind w:firstLine="560"/>
        <w:rPr>
          <w:rFonts w:ascii="仿宋_GB2312"/>
        </w:rPr>
      </w:pPr>
      <w:r>
        <w:rPr>
          <w:rFonts w:hint="eastAsia" w:ascii="仿宋_GB2312"/>
        </w:rPr>
        <w:t>（3）绩效评价报告应当简明扼要，除了对绩效评价的过程、结果描述外，还应总结经验，指出问题，并就项目实施过程中所存在的问题提出可操作性改进建议。</w:t>
      </w:r>
    </w:p>
    <w:p>
      <w:pPr>
        <w:pStyle w:val="4"/>
        <w:ind w:firstLine="643"/>
      </w:pPr>
      <w:bookmarkStart w:id="17" w:name="_Toc100784592"/>
      <w:r>
        <w:t>2.</w:t>
      </w:r>
      <w:r>
        <w:rPr>
          <w:rFonts w:hint="eastAsia"/>
        </w:rPr>
        <w:t>评价指标体系</w:t>
      </w:r>
      <w:bookmarkEnd w:id="17"/>
    </w:p>
    <w:p>
      <w:pPr>
        <w:spacing w:line="360" w:lineRule="auto"/>
        <w:ind w:firstLine="560"/>
        <w:rPr>
          <w:rFonts w:ascii="仿宋_GB2312"/>
        </w:rPr>
      </w:pPr>
      <w:r>
        <w:rPr>
          <w:rFonts w:hint="eastAsia" w:ascii="仿宋_GB2312"/>
        </w:rPr>
        <w:t>绩效评价指标体系作为衡量绩效目标实现程度的考核工具，一般遵循以下原则：</w:t>
      </w:r>
    </w:p>
    <w:p>
      <w:pPr>
        <w:spacing w:line="360" w:lineRule="auto"/>
        <w:ind w:firstLine="560"/>
        <w:rPr>
          <w:rFonts w:ascii="仿宋_GB2312"/>
        </w:rPr>
      </w:pPr>
      <w:r>
        <w:rPr>
          <w:rFonts w:hint="eastAsia" w:ascii="仿宋_GB2312"/>
        </w:rPr>
        <w:t>（1）相关性原则：绩效评价指标应当与绩效目标有直接的联系，能够恰当反映目标的实现程度。</w:t>
      </w:r>
    </w:p>
    <w:p>
      <w:pPr>
        <w:spacing w:line="360" w:lineRule="auto"/>
        <w:ind w:firstLine="560"/>
        <w:rPr>
          <w:rFonts w:ascii="仿宋_GB2312"/>
        </w:rPr>
      </w:pPr>
      <w:r>
        <w:rPr>
          <w:rFonts w:hint="eastAsia" w:ascii="仿宋_GB2312"/>
        </w:rPr>
        <w:t>（2）重要性原则：应当优先使用最具评价对象代表性、最能反映评价要求的核心指标。</w:t>
      </w:r>
    </w:p>
    <w:p>
      <w:pPr>
        <w:spacing w:line="360" w:lineRule="auto"/>
        <w:ind w:firstLine="560"/>
        <w:rPr>
          <w:rFonts w:ascii="仿宋_GB2312"/>
        </w:rPr>
      </w:pPr>
      <w:r>
        <w:rPr>
          <w:rFonts w:hint="eastAsia" w:ascii="仿宋_GB2312"/>
        </w:rPr>
        <w:t>（3）可比性原则：对同类评价对象要设定共性的绩效评价指标，以便于评价结果可以相互比较。</w:t>
      </w:r>
    </w:p>
    <w:p>
      <w:pPr>
        <w:spacing w:line="360" w:lineRule="auto"/>
        <w:ind w:firstLine="560"/>
        <w:rPr>
          <w:rFonts w:ascii="仿宋_GB2312"/>
        </w:rPr>
      </w:pPr>
      <w:r>
        <w:rPr>
          <w:rFonts w:hint="eastAsia" w:ascii="仿宋_GB2312"/>
        </w:rPr>
        <w:t>（4）系统性原则：绩效评价指标的设置应当将定量指标与定性指标相结合，能系统反映财政支出所产生的社会效益、经济效益和可持续影响等。</w:t>
      </w:r>
    </w:p>
    <w:p>
      <w:pPr>
        <w:spacing w:line="360" w:lineRule="auto"/>
        <w:ind w:firstLine="560"/>
        <w:rPr>
          <w:rFonts w:ascii="仿宋_GB2312"/>
        </w:rPr>
      </w:pPr>
      <w:r>
        <w:rPr>
          <w:rFonts w:hint="eastAsia" w:ascii="仿宋_GB2312"/>
        </w:rPr>
        <w:t>（5）经济性原则：绩效评价指标设计应当通俗易懂、简便易行，数据的获得应当考虑现实条件和可操作性，符合成本效益原则。</w:t>
      </w:r>
    </w:p>
    <w:p>
      <w:pPr>
        <w:spacing w:line="360" w:lineRule="auto"/>
        <w:ind w:firstLine="560"/>
        <w:rPr>
          <w:rFonts w:ascii="仿宋_GB2312"/>
          <w:highlight w:val="none"/>
        </w:rPr>
      </w:pPr>
      <w:r>
        <w:rPr>
          <w:rFonts w:hint="eastAsia" w:ascii="仿宋_GB2312"/>
          <w:highlight w:val="none"/>
        </w:rPr>
        <w:t>本项目的评价指标体系建立如附件所示。</w:t>
      </w:r>
    </w:p>
    <w:p>
      <w:pPr>
        <w:spacing w:line="360" w:lineRule="auto"/>
        <w:ind w:firstLine="560"/>
        <w:rPr>
          <w:rFonts w:ascii="仿宋_GB2312"/>
        </w:rPr>
      </w:pPr>
    </w:p>
    <w:p>
      <w:pPr>
        <w:spacing w:line="360" w:lineRule="auto"/>
        <w:ind w:firstLine="560"/>
        <w:rPr>
          <w:rFonts w:ascii="仿宋_GB2312"/>
        </w:rPr>
      </w:pPr>
    </w:p>
    <w:p>
      <w:pPr>
        <w:spacing w:line="360" w:lineRule="auto"/>
        <w:ind w:firstLine="560"/>
        <w:rPr>
          <w:rFonts w:ascii="仿宋_GB2312"/>
        </w:rPr>
        <w:sectPr>
          <w:headerReference r:id="rId11" w:type="default"/>
          <w:footerReference r:id="rId12"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pPr>
        <w:spacing w:line="360" w:lineRule="auto"/>
        <w:ind w:firstLine="0" w:firstLineChars="0"/>
        <w:jc w:val="center"/>
        <w:rPr>
          <w:rFonts w:ascii="仿宋_GB2312"/>
          <w:b/>
          <w:bCs/>
        </w:rPr>
      </w:pPr>
      <w:r>
        <w:rPr>
          <w:rFonts w:ascii="仿宋_GB2312"/>
          <w:b/>
          <w:bCs/>
        </w:rPr>
        <w:t xml:space="preserve">  </w:t>
      </w:r>
      <w:r>
        <w:rPr>
          <w:rFonts w:hint="eastAsia" w:ascii="仿宋_GB2312"/>
          <w:b/>
          <w:bCs/>
        </w:rPr>
        <w:t>项目支出绩效评价指标体系</w:t>
      </w:r>
    </w:p>
    <w:tbl>
      <w:tblPr>
        <w:tblStyle w:val="1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55"/>
        <w:gridCol w:w="1199"/>
        <w:gridCol w:w="1411"/>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155"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199"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411"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2789"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7341"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决策</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项目立项</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立项依据</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充分性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项目立项是否符合法律法规、相关政策、发展规划以及部门职责，用以反映和考核项目立项依据情况。</w:t>
            </w:r>
          </w:p>
        </w:tc>
        <w:tc>
          <w:tcPr>
            <w:tcW w:w="7341" w:type="dxa"/>
            <w:tcBorders>
              <w:tl2br w:val="nil"/>
              <w:tr2bl w:val="nil"/>
            </w:tcBorders>
            <w:shd w:val="clear" w:color="auto"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①项目立项是否符合国家法律法规、国民经济发展规划和相关政策；</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②项目立项是否符合行业发展规划和政策要求；</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③项目立项是否与部门职责范围相符，属于部门履职所需；</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④项目是否属于公共财政支持范围，是否符合中央、地方事权支出责任划分原则；</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立项程序</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规范性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项目申请、设立过程是否符合相关要求，用以反映和考核项目立项的规范情况。</w:t>
            </w:r>
          </w:p>
        </w:tc>
        <w:tc>
          <w:tcPr>
            <w:tcW w:w="7341" w:type="dxa"/>
            <w:tcBorders>
              <w:tl2br w:val="nil"/>
              <w:tr2bl w:val="nil"/>
            </w:tcBorders>
            <w:shd w:val="clear" w:color="auto"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①项目是否按照规定的程序申请设立；</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②审批文件、材料是否符合相关要求；</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合理性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项目所设定的绩效目标是否依据充分，是否符合客观实际，用以反映和考核项目绩效目标与项目实施的相符情况。</w:t>
            </w:r>
          </w:p>
        </w:tc>
        <w:tc>
          <w:tcPr>
            <w:tcW w:w="7341" w:type="dxa"/>
            <w:tcBorders>
              <w:tl2br w:val="nil"/>
              <w:tr2bl w:val="nil"/>
            </w:tcBorders>
            <w:shd w:val="clear" w:color="000000" w:fill="FFFFFF"/>
            <w:vAlign w:val="center"/>
          </w:tcPr>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（如未设定预算绩效目标，也可考核其他工作任务目标）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①项目是否有绩效目标；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②项目绩效目标与实际工作内容是否具有相关性；</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③项目预期产出效益和效果是否符合正常的业绩水平；</w:t>
            </w:r>
          </w:p>
          <w:p>
            <w:pPr>
              <w:widowControl/>
              <w:ind w:firstLine="0" w:firstLineChars="0"/>
              <w:jc w:val="left"/>
              <w:rPr>
                <w:rFonts w:ascii="宋体" w:hAnsi="宋体" w:eastAsia="宋体" w:cs="宋体"/>
                <w:color w:val="000000"/>
                <w:kern w:val="0"/>
                <w:sz w:val="22"/>
              </w:rPr>
            </w:pPr>
            <w:r>
              <w:rPr>
                <w:rFonts w:hint="eastAsia" w:ascii="宋体" w:hAnsi="宋体" w:eastAsia="宋体" w:cs="宋体"/>
                <w:color w:val="000000"/>
                <w:kern w:val="0"/>
                <w:sz w:val="2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决策</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绩效目标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明确性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依据绩效目标设定的绩效指标是否清晰、细化、可衡量等，用以反映和考核项目绩效目标的明细化情况。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①是否将项目绩效目标细化分解为具体的绩效指标；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②是否通过清晰、可衡量的指标值予以体现；</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③是否与项目目标任务数或计划数相对应。</w:t>
            </w:r>
            <w:r>
              <w:rPr>
                <w:rFonts w:hint="eastAsia" w:ascii="宋体" w:hAnsi="宋体" w:eastAsia="宋体" w:cs="宋体"/>
                <w:color w:val="000000"/>
                <w:kern w:val="0"/>
                <w:sz w:val="2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资金投入</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预算编制</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科学性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项目预算编制是否经过科学论证、有明确标准，资金额度与年度目标是否相适应，用以反映和考核项目预算编制的科学性、合理性情况。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①预算编制是否经过科学论证；</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②预算内容与项目内容是否匹配；</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③预算额度测算依据是否充分，是否按照标准编制；</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资金分配</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合理性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项目预算资金分配是否有测算依据，与补助单位或地方实际是否相适应，用以反映和考核项目预算资金分配的科学性、合理性情况。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①预算资金分配依据是否充分；</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155" w:type="dxa"/>
            <w:vMerge w:val="restart"/>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过程</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资金管理</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资金到位率</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实际到位资金与预算资金的比率，用以反映和考核资金落实情况对项目实施的总体保障程度。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资金到位率=（实际到位资金/预算资金）×100%。</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实际到位资金：一定时期（本年度或项目期）内落实到具体项目的资金。</w:t>
            </w:r>
          </w:p>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预算执行率</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项目预算资金是否按照计划执行，用以反映或考核项目预算执行情况。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预算执行率=（实际支出资金/实际到位资金）×100%。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55" w:type="dxa"/>
            <w:vMerge w:val="restart"/>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过程</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资金管理</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资金使用</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合规性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项目资金使用是否符合相关的财务管理制度规定，用以反映和考核项目资金的规范运行情况。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①是否符合国家财经法规和财务管理制度以及有关专项资金管理办法的规定；</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②资金的拨付是否有完整的审批程序和手续；</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③是否符合项目预算批复或合同规定的用途；</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组织实施</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管理制度</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健全性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项目实施单位的财务和业务管理制度是否健全，用以反映和考核财务和业务管理制度对项目顺利实施的保障情况。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①是否已制定或具有相应的财务和业务管理制度；</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制度执行</w:t>
            </w:r>
          </w:p>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有效性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项目实施是否符合相关管理规定，用以反映和考核相关管理制度的有效执行情况。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评价要点：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①是否遵守相关法律法规和相关管理规定；</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②项目调整及支出调整手续是否完备；</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③项目合同书、验收报告、技术鉴定等资料是否齐全并及时归档；</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产出</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产出数量</w:t>
            </w:r>
          </w:p>
        </w:tc>
        <w:tc>
          <w:tcPr>
            <w:tcW w:w="1411" w:type="dxa"/>
            <w:tcBorders>
              <w:tl2br w:val="nil"/>
              <w:tr2bl w:val="nil"/>
            </w:tcBorders>
            <w:shd w:val="clear" w:color="auto" w:fill="FFFFFF"/>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lang w:val="en-US" w:eastAsia="zh-CN"/>
              </w:rPr>
              <w:t>标准宿舍楼</w:t>
            </w:r>
          </w:p>
        </w:tc>
        <w:tc>
          <w:tcPr>
            <w:tcW w:w="2789"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项目实施的实际产出数与计划产出数的比率，用以反映和考核项目产出数量目标的实现程度。</w:t>
            </w:r>
          </w:p>
        </w:tc>
        <w:tc>
          <w:tcPr>
            <w:tcW w:w="7341"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实际完成率=（实际产出数/计划产出数）×100%。</w:t>
            </w:r>
            <w:r>
              <w:rPr>
                <w:rFonts w:hint="eastAsia" w:ascii="宋体" w:hAnsi="宋体" w:eastAsia="宋体" w:cs="宋体"/>
                <w:color w:val="000000"/>
                <w:kern w:val="0"/>
                <w:sz w:val="22"/>
                <w:highlight w:val="none"/>
              </w:rPr>
              <w:br w:type="textWrapping"/>
            </w:r>
            <w:r>
              <w:rPr>
                <w:rFonts w:hint="eastAsia" w:ascii="宋体" w:hAnsi="宋体" w:eastAsia="宋体" w:cs="宋体"/>
                <w:color w:val="000000"/>
                <w:kern w:val="0"/>
                <w:sz w:val="22"/>
                <w:highlight w:val="none"/>
              </w:rPr>
              <w:t>实际产出数：一定时期（本年度或项目期）内项目实际产出的产品或提供的服务数量。</w:t>
            </w:r>
            <w:r>
              <w:rPr>
                <w:rFonts w:hint="eastAsia" w:ascii="宋体" w:hAnsi="宋体" w:eastAsia="宋体" w:cs="宋体"/>
                <w:color w:val="000000"/>
                <w:kern w:val="0"/>
                <w:sz w:val="22"/>
                <w:highlight w:val="none"/>
              </w:rPr>
              <w:br w:type="textWrapping"/>
            </w:r>
            <w:r>
              <w:rPr>
                <w:rFonts w:hint="eastAsia" w:ascii="宋体" w:hAnsi="宋体" w:eastAsia="宋体" w:cs="宋体"/>
                <w:color w:val="000000"/>
                <w:kern w:val="0"/>
                <w:sz w:val="22"/>
                <w:highlight w:val="none"/>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p>
        </w:tc>
        <w:tc>
          <w:tcPr>
            <w:tcW w:w="1411" w:type="dxa"/>
            <w:tcBorders>
              <w:tl2br w:val="nil"/>
              <w:tr2bl w:val="nil"/>
            </w:tcBorders>
            <w:shd w:val="clear" w:color="auto" w:fill="FFFFFF"/>
            <w:vAlign w:val="top"/>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标准</w:t>
            </w:r>
            <w:r>
              <w:rPr>
                <w:rFonts w:hint="eastAsia" w:ascii="宋体" w:hAnsi="宋体" w:eastAsia="宋体" w:cs="宋体"/>
                <w:color w:val="000000"/>
                <w:kern w:val="0"/>
                <w:sz w:val="22"/>
                <w:highlight w:val="none"/>
                <w:lang w:eastAsia="zh-CN"/>
              </w:rPr>
              <w:t>食堂楼</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highlight w:val="none"/>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40"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p>
        </w:tc>
        <w:tc>
          <w:tcPr>
            <w:tcW w:w="1411" w:type="dxa"/>
            <w:tcBorders>
              <w:tl2br w:val="nil"/>
              <w:tr2bl w:val="nil"/>
            </w:tcBorders>
            <w:shd w:val="clear" w:color="auto" w:fill="FFFFFF"/>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总建设面积</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highlight w:val="none"/>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产出</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产出质量</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工程验收合格率</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项目完成的质量达标产出数与实际产出数的比率，用以反映和考核项目产出质量目标的实现程度。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质量达标率=（质量达标产出数/实际产出数）×100%。</w:t>
            </w:r>
          </w:p>
          <w:p>
            <w:pPr>
              <w:widowControl/>
              <w:ind w:firstLine="0" w:firstLineChars="0"/>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highlight w:val="none"/>
              </w:rPr>
            </w:pPr>
          </w:p>
        </w:tc>
        <w:tc>
          <w:tcPr>
            <w:tcW w:w="1199" w:type="dxa"/>
            <w:vMerge w:val="restart"/>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产出时效</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建设工程开工及时率</w:t>
            </w:r>
          </w:p>
        </w:tc>
        <w:tc>
          <w:tcPr>
            <w:tcW w:w="2789"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项目实际完成时间与计划完成时间的比较，用以反映和考核项目产出时效目标的实现程度。</w:t>
            </w:r>
          </w:p>
        </w:tc>
        <w:tc>
          <w:tcPr>
            <w:tcW w:w="7341"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实际完成时间：项目实施单位完成该项目实际所耗用的时间。</w:t>
            </w:r>
            <w:r>
              <w:rPr>
                <w:rFonts w:hint="eastAsia" w:ascii="宋体" w:hAnsi="宋体" w:eastAsia="宋体" w:cs="宋体"/>
                <w:color w:val="000000"/>
                <w:kern w:val="0"/>
                <w:sz w:val="22"/>
                <w:highlight w:val="none"/>
              </w:rPr>
              <w:br w:type="textWrapping"/>
            </w:r>
            <w:r>
              <w:rPr>
                <w:rFonts w:hint="eastAsia" w:ascii="宋体" w:hAnsi="宋体" w:eastAsia="宋体" w:cs="宋体"/>
                <w:color w:val="000000"/>
                <w:kern w:val="0"/>
                <w:sz w:val="22"/>
                <w:highlight w:val="none"/>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highlight w:val="yellow"/>
              </w:rPr>
            </w:pPr>
          </w:p>
        </w:tc>
        <w:tc>
          <w:tcPr>
            <w:tcW w:w="1199"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kern w:val="0"/>
                <w:sz w:val="22"/>
                <w:highlight w:val="yellow"/>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yellow"/>
              </w:rPr>
            </w:pPr>
            <w:r>
              <w:rPr>
                <w:rFonts w:hint="eastAsia" w:ascii="宋体" w:hAnsi="宋体" w:eastAsia="宋体" w:cs="宋体"/>
                <w:color w:val="000000"/>
                <w:kern w:val="0"/>
                <w:sz w:val="22"/>
                <w:highlight w:val="none"/>
              </w:rPr>
              <w:t>建设工程完工及时率</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产出成本</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项目预算控制率</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完成项目计划工作目标的实际节约成本与计划成本的比率，用以反映和考核项目的成本节约程度。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br w:type="textWrapping"/>
            </w:r>
            <w:r>
              <w:rPr>
                <w:rFonts w:hint="eastAsia" w:ascii="宋体" w:hAnsi="宋体" w:eastAsia="宋体" w:cs="宋体"/>
                <w:color w:val="000000"/>
                <w:kern w:val="0"/>
                <w:sz w:val="22"/>
                <w:highlight w:val="none"/>
              </w:rPr>
              <w:t>成本节约率=[（计划成本-实际成本）/计划成本]×100%。</w:t>
            </w:r>
            <w:r>
              <w:rPr>
                <w:rFonts w:hint="eastAsia" w:ascii="宋体" w:hAnsi="宋体" w:eastAsia="宋体" w:cs="宋体"/>
                <w:color w:val="000000"/>
                <w:kern w:val="0"/>
                <w:sz w:val="22"/>
                <w:highlight w:val="none"/>
              </w:rPr>
              <w:br w:type="textWrapping"/>
            </w:r>
            <w:r>
              <w:rPr>
                <w:rFonts w:hint="eastAsia" w:ascii="宋体" w:hAnsi="宋体" w:eastAsia="宋体" w:cs="宋体"/>
                <w:color w:val="000000"/>
                <w:kern w:val="0"/>
                <w:sz w:val="22"/>
                <w:highlight w:val="none"/>
              </w:rPr>
              <w:t>实际成本：项目实施单位如期、保质、保量完成既定工作目标实际所耗费的支出。</w:t>
            </w:r>
            <w:r>
              <w:rPr>
                <w:rFonts w:hint="eastAsia" w:ascii="宋体" w:hAnsi="宋体" w:eastAsia="宋体" w:cs="宋体"/>
                <w:color w:val="000000"/>
                <w:kern w:val="0"/>
                <w:sz w:val="22"/>
                <w:highlight w:val="none"/>
              </w:rPr>
              <w:br w:type="textWrapping"/>
            </w:r>
            <w:r>
              <w:rPr>
                <w:rFonts w:hint="eastAsia" w:ascii="宋体" w:hAnsi="宋体" w:eastAsia="宋体" w:cs="宋体"/>
                <w:color w:val="000000"/>
                <w:kern w:val="0"/>
                <w:sz w:val="22"/>
                <w:highlight w:val="none"/>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效益</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社会效益指标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lang w:eastAsia="zh-CN"/>
              </w:rPr>
              <w:t>改善学生及教师的在校生活条件</w:t>
            </w:r>
          </w:p>
        </w:tc>
        <w:tc>
          <w:tcPr>
            <w:tcW w:w="2789" w:type="dxa"/>
            <w:vMerge w:val="restart"/>
            <w:tcBorders>
              <w:tl2br w:val="nil"/>
              <w:tr2bl w:val="nil"/>
            </w:tcBorders>
            <w:shd w:val="clear" w:color="auto" w:fill="FFFFFF"/>
            <w:vAlign w:val="center"/>
          </w:tcPr>
          <w:p>
            <w:pPr>
              <w:widowControl/>
              <w:ind w:firstLine="0" w:firstLineChars="0"/>
              <w:jc w:val="left"/>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项目实施所产生的效益。</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可持续影响指标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lang w:eastAsia="zh-CN"/>
              </w:rPr>
              <w:t>教育均衡发展</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highlight w:val="none"/>
              </w:rPr>
            </w:pP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社会公众或服务对象是指因该项目实施而受到影响的部门（单位）、群体或个人。一般采取社会调查的方式。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ascii="宋体" w:hAnsi="宋体" w:eastAsia="宋体" w:cs="宋体"/>
                <w:color w:val="000000"/>
                <w:kern w:val="0"/>
                <w:sz w:val="22"/>
                <w:highlight w:val="none"/>
              </w:rPr>
              <w:t>满意度指标完成情况分析</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满意度指标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highlight w:val="none"/>
              </w:rPr>
            </w:pPr>
            <w:r>
              <w:rPr>
                <w:rFonts w:hint="eastAsia" w:ascii="宋体" w:hAnsi="宋体" w:eastAsia="宋体" w:cs="宋体"/>
                <w:color w:val="000000"/>
                <w:kern w:val="0"/>
                <w:sz w:val="22"/>
                <w:highlight w:val="none"/>
              </w:rPr>
              <w:t>群众满意度</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社会公众或服务对象对项目实施效果的满意程度。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kern w:val="0"/>
                <w:sz w:val="22"/>
              </w:rPr>
            </w:pPr>
            <w:r>
              <w:rPr>
                <w:rFonts w:hint="eastAsia" w:ascii="宋体" w:hAnsi="宋体" w:eastAsia="宋体" w:cs="宋体"/>
                <w:color w:val="000000"/>
                <w:kern w:val="0"/>
                <w:sz w:val="22"/>
              </w:rPr>
              <w:t>社会公众或服务对象是指因该项目实施而受到影响的部门（单位）、群体或个人。一般采取社会调查的方式。</w:t>
            </w:r>
          </w:p>
        </w:tc>
      </w:tr>
    </w:tbl>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pPr>
    </w:p>
    <w:p>
      <w:pPr>
        <w:ind w:firstLine="0" w:firstLineChars="0"/>
        <w:jc w:val="center"/>
        <w:rPr>
          <w:rFonts w:ascii="仿宋_GB2312"/>
        </w:r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pPr>
        <w:pStyle w:val="4"/>
        <w:ind w:firstLine="643"/>
      </w:pPr>
      <w:bookmarkStart w:id="18" w:name="_Toc100784593"/>
      <w:bookmarkStart w:id="19" w:name="_Hlk67586038"/>
      <w:r>
        <w:t>3.</w:t>
      </w:r>
      <w:r>
        <w:rPr>
          <w:rFonts w:hint="eastAsia"/>
        </w:rPr>
        <w:t>评价方法</w:t>
      </w:r>
      <w:bookmarkEnd w:id="18"/>
    </w:p>
    <w:bookmarkEnd w:id="19"/>
    <w:p>
      <w:pPr>
        <w:spacing w:line="360" w:lineRule="auto"/>
        <w:ind w:firstLine="560"/>
        <w:rPr>
          <w:rFonts w:ascii="仿宋_GB2312"/>
        </w:rPr>
      </w:pPr>
      <w:r>
        <w:rPr>
          <w:rFonts w:hint="eastAsia" w:ascii="仿宋_GB2312"/>
        </w:rPr>
        <w:t>《关于印发&lt;项目支出绩效评价管理办法&gt;的通知》（财预〔2020〕10号）文件指出部门评价的方法主要包括成本效益分析法、比较法、因素分析法、最低成本法、公众评判法、标杆管理法等。</w:t>
      </w:r>
    </w:p>
    <w:p>
      <w:pPr>
        <w:spacing w:line="360" w:lineRule="auto"/>
        <w:ind w:firstLine="560"/>
        <w:rPr>
          <w:rFonts w:ascii="仿宋_GB2312"/>
        </w:rPr>
      </w:pPr>
      <w:r>
        <w:rPr>
          <w:rFonts w:hint="eastAsia" w:ascii="仿宋_GB2312"/>
        </w:rPr>
        <w:t>（1）成本效益分析法。是指将投入与产出、效益进行关联性分析的方法。</w:t>
      </w:r>
    </w:p>
    <w:p>
      <w:pPr>
        <w:spacing w:line="360" w:lineRule="auto"/>
        <w:ind w:firstLine="560"/>
        <w:rPr>
          <w:rFonts w:ascii="仿宋_GB2312"/>
          <w:highlight w:val="none"/>
        </w:rPr>
      </w:pPr>
      <w:r>
        <w:rPr>
          <w:rFonts w:hint="eastAsia" w:ascii="仿宋_GB2312"/>
          <w:highlight w:val="none"/>
        </w:rPr>
        <w:t>（2）比较法。是指将实施情况与绩效目标、历史情况、不同部门和地区同类支出情况进行比较的方法。</w:t>
      </w:r>
    </w:p>
    <w:p>
      <w:pPr>
        <w:spacing w:line="360" w:lineRule="auto"/>
        <w:ind w:firstLine="560"/>
        <w:rPr>
          <w:rFonts w:ascii="仿宋_GB2312"/>
          <w:highlight w:val="none"/>
        </w:rPr>
      </w:pPr>
      <w:r>
        <w:rPr>
          <w:rFonts w:hint="eastAsia" w:ascii="仿宋_GB2312"/>
          <w:highlight w:val="none"/>
        </w:rPr>
        <w:t>（3）因素分析法。是指综合分析影响绩效目标实现、实施效果的内外部因素的方法。</w:t>
      </w:r>
    </w:p>
    <w:p>
      <w:pPr>
        <w:spacing w:line="360" w:lineRule="auto"/>
        <w:ind w:firstLine="560"/>
        <w:rPr>
          <w:rFonts w:ascii="仿宋_GB2312"/>
          <w:highlight w:val="none"/>
        </w:rPr>
      </w:pPr>
      <w:r>
        <w:rPr>
          <w:rFonts w:hint="eastAsia" w:ascii="仿宋_GB2312"/>
          <w:highlight w:val="none"/>
        </w:rPr>
        <w:t>（4）最低成本法。是指在绩效目标确定的前提下，成本最小者为优的方法。</w:t>
      </w:r>
    </w:p>
    <w:p>
      <w:pPr>
        <w:spacing w:line="360" w:lineRule="auto"/>
        <w:ind w:firstLine="560"/>
        <w:rPr>
          <w:rFonts w:ascii="仿宋_GB2312"/>
          <w:highlight w:val="none"/>
        </w:rPr>
      </w:pPr>
      <w:r>
        <w:rPr>
          <w:rFonts w:hint="eastAsia" w:ascii="仿宋_GB2312"/>
          <w:highlight w:val="none"/>
        </w:rPr>
        <w:t>（5）公众评判法。是指通过专家评估、公众问卷及抽样调查等方式进行评判的方法。</w:t>
      </w:r>
    </w:p>
    <w:p>
      <w:pPr>
        <w:spacing w:line="360" w:lineRule="auto"/>
        <w:ind w:firstLine="560"/>
        <w:rPr>
          <w:rFonts w:ascii="仿宋_GB2312"/>
          <w:highlight w:val="none"/>
        </w:rPr>
      </w:pPr>
      <w:r>
        <w:rPr>
          <w:rFonts w:hint="eastAsia" w:ascii="仿宋_GB2312"/>
          <w:highlight w:val="none"/>
        </w:rPr>
        <w:t>（6）标杆管理法。是指以国内外同行业中较高的绩效水平为标杆进行评判的方法。</w:t>
      </w:r>
    </w:p>
    <w:p>
      <w:pPr>
        <w:spacing w:line="360" w:lineRule="auto"/>
        <w:ind w:firstLine="560"/>
        <w:rPr>
          <w:rFonts w:ascii="仿宋_GB2312"/>
          <w:highlight w:val="none"/>
        </w:rPr>
      </w:pPr>
      <w:r>
        <w:rPr>
          <w:rFonts w:hint="eastAsia" w:ascii="仿宋_GB2312"/>
          <w:highlight w:val="none"/>
        </w:rPr>
        <w:t>（7）其他评价方法。</w:t>
      </w:r>
    </w:p>
    <w:p>
      <w:pPr>
        <w:spacing w:line="360" w:lineRule="auto"/>
        <w:ind w:firstLine="560"/>
        <w:rPr>
          <w:rFonts w:ascii="仿宋_GB2312"/>
        </w:rPr>
      </w:pPr>
      <w:r>
        <w:rPr>
          <w:rFonts w:hint="eastAsia" w:ascii="仿宋_GB2312"/>
        </w:rPr>
        <w:t>根据本项目（</w:t>
      </w:r>
      <w:r>
        <w:rPr>
          <w:rFonts w:hint="eastAsia" w:ascii="仿宋_GB2312" w:hAnsi="Times New Roman" w:cs="Times New Roman"/>
          <w:kern w:val="0"/>
          <w:sz w:val="32"/>
          <w:szCs w:val="32"/>
          <w:lang w:eastAsia="zh-CN" w:bidi="en-US"/>
        </w:rPr>
        <w:t>新建学生宿舍一体楼</w:t>
      </w:r>
      <w:r>
        <w:rPr>
          <w:rFonts w:hint="eastAsia" w:ascii="仿宋_GB2312"/>
        </w:rPr>
        <w:t>）的特点，本次评价主要采用比较法和公众评判法，对项目总预算和明细预算的内容、标准、计划是否经济合理进行深入分析，以考察实际产出和效益是否达到预期。</w:t>
      </w:r>
    </w:p>
    <w:p>
      <w:pPr>
        <w:pStyle w:val="4"/>
        <w:ind w:firstLine="643"/>
      </w:pPr>
      <w:bookmarkStart w:id="20" w:name="_Toc100784594"/>
      <w:r>
        <w:t>4.</w:t>
      </w:r>
      <w:r>
        <w:rPr>
          <w:rFonts w:hint="eastAsia"/>
        </w:rPr>
        <w:t>评价标准</w:t>
      </w:r>
      <w:bookmarkEnd w:id="20"/>
    </w:p>
    <w:p>
      <w:pPr>
        <w:spacing w:line="360" w:lineRule="auto"/>
        <w:ind w:firstLine="560"/>
        <w:rPr>
          <w:rFonts w:ascii="仿宋_GB2312"/>
        </w:rPr>
      </w:pPr>
      <w:r>
        <w:rPr>
          <w:rFonts w:hint="eastAsia" w:ascii="仿宋_GB2312"/>
        </w:rPr>
        <w:t>绩效评价标准主要包括计划标准、行业标准、历史标准等，用于对绩效指标完成情况进行比较。</w:t>
      </w:r>
    </w:p>
    <w:p>
      <w:pPr>
        <w:spacing w:line="360" w:lineRule="auto"/>
        <w:ind w:firstLine="560"/>
        <w:rPr>
          <w:rFonts w:ascii="仿宋_GB2312"/>
        </w:rPr>
      </w:pPr>
      <w:r>
        <w:rPr>
          <w:rFonts w:hint="eastAsia" w:ascii="仿宋_GB2312"/>
        </w:rPr>
        <w:t>（1）计划标准。指以预先制定的目标、计划、预算、定额等作为评价标准。</w:t>
      </w:r>
    </w:p>
    <w:p>
      <w:pPr>
        <w:spacing w:line="360" w:lineRule="auto"/>
        <w:ind w:firstLine="560"/>
        <w:rPr>
          <w:rFonts w:ascii="仿宋_GB2312"/>
        </w:rPr>
      </w:pPr>
      <w:r>
        <w:rPr>
          <w:rFonts w:hint="eastAsia" w:ascii="仿宋_GB2312"/>
        </w:rPr>
        <w:t>（2）行业标准。指参照国家公布的行业指标数据制定的评价标准。</w:t>
      </w:r>
    </w:p>
    <w:p>
      <w:pPr>
        <w:spacing w:line="360" w:lineRule="auto"/>
        <w:ind w:firstLine="560"/>
        <w:rPr>
          <w:rFonts w:ascii="仿宋_GB2312"/>
        </w:rPr>
      </w:pPr>
      <w:r>
        <w:rPr>
          <w:rFonts w:hint="eastAsia" w:ascii="仿宋_GB2312"/>
        </w:rPr>
        <w:t>（3）历史标准。指参照历史数据制定的评价标准，为体现绩效改进的原则，在可实现的条件下应当确定相对较高的评价标准。</w:t>
      </w:r>
    </w:p>
    <w:p>
      <w:pPr>
        <w:spacing w:line="360" w:lineRule="auto"/>
        <w:ind w:firstLine="560"/>
        <w:rPr>
          <w:rFonts w:ascii="仿宋_GB2312"/>
        </w:rPr>
      </w:pPr>
      <w:r>
        <w:rPr>
          <w:rFonts w:hint="eastAsia" w:ascii="仿宋_GB2312"/>
        </w:rPr>
        <w:t>在上述评价标准的基础上，本次评价依据以下文件为重要指导和准绳：</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《中共中央国务院关于全面实施预算绩效管理的意见》（中发〔2018〕34号）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《关于印发&lt;乌鲁木齐市本级部门预算绩效目标管理暂行办法&gt;的通知》（乌财预〔2018〕56号）</w:t>
      </w:r>
    </w:p>
    <w:p>
      <w:pPr>
        <w:spacing w:line="360" w:lineRule="auto"/>
        <w:ind w:firstLine="560" w:firstLineChars="0"/>
        <w:rPr>
          <w:rFonts w:ascii="仿宋_GB2312"/>
        </w:rPr>
      </w:pPr>
      <w:r>
        <w:rPr>
          <w:rFonts w:hint="eastAsia" w:ascii="黑体" w:hAnsi="黑体" w:eastAsia="黑体" w:cs="Times New Roman"/>
          <w:szCs w:val="28"/>
        </w:rPr>
        <w:t>·</w:t>
      </w:r>
      <w:r>
        <w:rPr>
          <w:rFonts w:hint="eastAsia" w:ascii="仿宋_GB2312"/>
        </w:rPr>
        <w:t>《关于做好2019年部门预算项目支出绩效目标管理有关事宜的通知》（乌财预〔2018〕76号）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《项目支出绩效评价管理办法》（财预〔2020〕10号）</w:t>
      </w:r>
    </w:p>
    <w:p>
      <w:pPr>
        <w:pStyle w:val="3"/>
        <w:ind w:firstLine="643"/>
        <w:rPr>
          <w:rFonts w:ascii="仿宋" w:hAnsi="仿宋" w:eastAsia="仿宋"/>
          <w:lang w:bidi="en-US"/>
        </w:rPr>
      </w:pPr>
      <w:bookmarkStart w:id="21" w:name="_Toc100784595"/>
      <w:bookmarkStart w:id="22" w:name="_Toc67911607"/>
      <w:r>
        <w:rPr>
          <w:rFonts w:hint="eastAsia" w:ascii="仿宋" w:hAnsi="仿宋" w:eastAsia="仿宋"/>
          <w:lang w:bidi="en-US"/>
        </w:rPr>
        <w:t>（三）绩效评价工作过程</w:t>
      </w:r>
      <w:bookmarkEnd w:id="21"/>
      <w:bookmarkEnd w:id="22"/>
    </w:p>
    <w:p>
      <w:pPr>
        <w:spacing w:line="360" w:lineRule="auto"/>
        <w:ind w:firstLine="560"/>
        <w:rPr>
          <w:rFonts w:ascii="仿宋_GB2312"/>
        </w:rPr>
      </w:pPr>
      <w:r>
        <w:rPr>
          <w:rFonts w:hint="eastAsia" w:ascii="仿宋_GB231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20"/>
          <w:rFonts w:ascii="仿宋_GB2312"/>
        </w:rPr>
        <w:footnoteReference w:id="0"/>
      </w:r>
      <w:r>
        <w:rPr>
          <w:rFonts w:hint="eastAsia" w:ascii="仿宋_GB2312"/>
        </w:rPr>
        <w:t>、材料审核分析、现场核查评价、综合分析评价及报告撰写，评价项目实施情况，展现资金使用效益。</w:t>
      </w:r>
    </w:p>
    <w:p>
      <w:pPr>
        <w:pStyle w:val="2"/>
        <w:ind w:firstLine="0" w:firstLineChars="0"/>
        <w:jc w:val="left"/>
        <w:rPr>
          <w:rFonts w:ascii="仿宋" w:hAnsi="仿宋" w:eastAsia="仿宋"/>
          <w:sz w:val="36"/>
          <w:szCs w:val="36"/>
          <w:lang w:bidi="en-US"/>
        </w:rPr>
      </w:pPr>
      <w:bookmarkStart w:id="23" w:name="_Toc67911608"/>
      <w:bookmarkStart w:id="24" w:name="_Toc100784596"/>
      <w:r>
        <w:rPr>
          <w:rFonts w:hint="eastAsia" w:ascii="仿宋" w:hAnsi="仿宋" w:eastAsia="仿宋"/>
          <w:sz w:val="36"/>
          <w:szCs w:val="36"/>
          <w:lang w:bidi="en-US"/>
        </w:rPr>
        <w:t>三、综合评价情况及评价结论</w:t>
      </w:r>
      <w:bookmarkEnd w:id="23"/>
      <w:bookmarkEnd w:id="24"/>
    </w:p>
    <w:p>
      <w:pPr>
        <w:pStyle w:val="3"/>
        <w:ind w:firstLine="643"/>
        <w:rPr>
          <w:rFonts w:ascii="仿宋" w:hAnsi="仿宋" w:eastAsia="仿宋"/>
          <w:lang w:bidi="en-US"/>
        </w:rPr>
      </w:pPr>
      <w:bookmarkStart w:id="25" w:name="_Toc67911609"/>
      <w:bookmarkStart w:id="26" w:name="_Toc100784597"/>
      <w:r>
        <w:rPr>
          <w:rFonts w:hint="eastAsia" w:ascii="仿宋" w:hAnsi="仿宋" w:eastAsia="仿宋"/>
          <w:lang w:bidi="en-US"/>
        </w:rPr>
        <w:t>（一）评价结论</w:t>
      </w:r>
      <w:bookmarkEnd w:id="25"/>
      <w:bookmarkEnd w:id="26"/>
    </w:p>
    <w:p>
      <w:pPr>
        <w:spacing w:line="360" w:lineRule="auto"/>
        <w:ind w:firstLine="560"/>
        <w:rPr>
          <w:rFonts w:ascii="仿宋_GB2312"/>
          <w:szCs w:val="28"/>
          <w:highlight w:val="none"/>
        </w:rPr>
      </w:pPr>
      <w:r>
        <w:rPr>
          <w:rFonts w:hint="eastAsia" w:ascii="仿宋_GB2312"/>
          <w:szCs w:val="28"/>
          <w:highlight w:val="none"/>
        </w:rPr>
        <w:t>结合项目特点，制定符合项目实际的绩效评价指标体系及评分标准，通过数据采集、问卷调查及访谈等形式，对2</w:t>
      </w:r>
      <w:r>
        <w:rPr>
          <w:rFonts w:ascii="仿宋_GB2312"/>
          <w:szCs w:val="28"/>
          <w:highlight w:val="none"/>
        </w:rPr>
        <w:t>021</w:t>
      </w:r>
      <w:r>
        <w:rPr>
          <w:rFonts w:hint="eastAsia" w:ascii="仿宋_GB2312"/>
          <w:szCs w:val="28"/>
          <w:highlight w:val="none"/>
        </w:rPr>
        <w:t>年</w:t>
      </w:r>
      <w:r>
        <w:rPr>
          <w:rFonts w:hint="eastAsia" w:ascii="仿宋_GB2312" w:hAnsi="Times New Roman" w:cs="Times New Roman"/>
          <w:kern w:val="0"/>
          <w:sz w:val="32"/>
          <w:szCs w:val="32"/>
          <w:highlight w:val="none"/>
          <w:lang w:eastAsia="zh-CN" w:bidi="en-US"/>
        </w:rPr>
        <w:t>新建学生宿舍一体楼</w:t>
      </w:r>
      <w:r>
        <w:rPr>
          <w:rFonts w:hint="eastAsia" w:ascii="仿宋_GB2312"/>
          <w:szCs w:val="28"/>
          <w:highlight w:val="none"/>
        </w:rPr>
        <w:t>进行客观评价，最终评分结果为：总分为</w:t>
      </w:r>
      <w:r>
        <w:rPr>
          <w:rFonts w:hint="eastAsia" w:ascii="仿宋_GB2312"/>
          <w:szCs w:val="28"/>
          <w:highlight w:val="none"/>
          <w:lang w:val="en-US" w:eastAsia="zh-CN"/>
        </w:rPr>
        <w:t xml:space="preserve">  </w:t>
      </w:r>
      <w:r>
        <w:rPr>
          <w:rFonts w:hint="eastAsia" w:ascii="仿宋_GB2312"/>
          <w:szCs w:val="28"/>
          <w:highlight w:val="none"/>
        </w:rPr>
        <w:t>分，绩效评级为“</w:t>
      </w:r>
      <w:r>
        <w:rPr>
          <w:rFonts w:hint="eastAsia" w:ascii="仿宋_GB2312"/>
          <w:szCs w:val="28"/>
          <w:highlight w:val="none"/>
          <w:lang w:eastAsia="zh-CN"/>
        </w:rPr>
        <w:t>良</w:t>
      </w:r>
      <w:r>
        <w:rPr>
          <w:rFonts w:hint="eastAsia" w:ascii="仿宋_GB2312"/>
          <w:szCs w:val="28"/>
          <w:highlight w:val="none"/>
        </w:rPr>
        <w:t>”</w:t>
      </w:r>
      <w:r>
        <w:rPr>
          <w:rStyle w:val="20"/>
          <w:rFonts w:ascii="仿宋_GB2312"/>
          <w:szCs w:val="28"/>
          <w:highlight w:val="none"/>
        </w:rPr>
        <w:footnoteReference w:id="1"/>
      </w:r>
      <w:r>
        <w:rPr>
          <w:rFonts w:hint="eastAsia" w:ascii="仿宋_GB2312"/>
          <w:szCs w:val="28"/>
          <w:highlight w:val="none"/>
        </w:rPr>
        <w:t>。</w:t>
      </w:r>
    </w:p>
    <w:p>
      <w:pPr>
        <w:spacing w:line="360" w:lineRule="auto"/>
        <w:ind w:firstLine="560"/>
        <w:rPr>
          <w:rFonts w:ascii="仿宋_GB2312"/>
          <w:szCs w:val="28"/>
          <w:highlight w:val="none"/>
        </w:rPr>
      </w:pPr>
      <w:r>
        <w:rPr>
          <w:rFonts w:hint="eastAsia" w:ascii="仿宋_GB2312"/>
          <w:szCs w:val="28"/>
          <w:highlight w:val="none"/>
        </w:rPr>
        <w:t>项目各部分权重和绩效分值如附表所示：</w:t>
      </w:r>
    </w:p>
    <w:p>
      <w:pPr>
        <w:spacing w:line="360" w:lineRule="auto"/>
        <w:ind w:firstLine="0" w:firstLineChars="0"/>
        <w:jc w:val="center"/>
        <w:rPr>
          <w:rFonts w:ascii="仿宋_GB2312"/>
          <w:b/>
          <w:bCs/>
          <w:szCs w:val="28"/>
        </w:rPr>
      </w:pPr>
      <w:r>
        <w:rPr>
          <w:rFonts w:ascii="仿宋_GB2312"/>
          <w:b/>
          <w:bCs/>
          <w:szCs w:val="28"/>
        </w:rPr>
        <w:t xml:space="preserve">  </w:t>
      </w:r>
      <w:r>
        <w:rPr>
          <w:rFonts w:hint="eastAsia" w:ascii="仿宋_GB2312"/>
          <w:b/>
          <w:bCs/>
          <w:szCs w:val="28"/>
        </w:rPr>
        <w:t>项目各部分权重和绩效分值</w:t>
      </w:r>
    </w:p>
    <w:tbl>
      <w:tblPr>
        <w:tblStyle w:val="15"/>
        <w:tblW w:w="906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50"/>
        <w:gridCol w:w="1984"/>
        <w:gridCol w:w="2693"/>
        <w:gridCol w:w="898"/>
        <w:gridCol w:w="898"/>
        <w:gridCol w:w="10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blHeader/>
          <w:jc w:val="center"/>
        </w:trPr>
        <w:tc>
          <w:tcPr>
            <w:tcW w:w="1550"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一级指标</w:t>
            </w:r>
          </w:p>
        </w:tc>
        <w:tc>
          <w:tcPr>
            <w:tcW w:w="1984"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二级指标</w:t>
            </w:r>
          </w:p>
        </w:tc>
        <w:tc>
          <w:tcPr>
            <w:tcW w:w="2693"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三级指标</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分值</w:t>
            </w:r>
          </w:p>
        </w:tc>
        <w:tc>
          <w:tcPr>
            <w:tcW w:w="898"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kern w:val="0"/>
                <w:sz w:val="24"/>
                <w:szCs w:val="24"/>
              </w:rPr>
            </w:pPr>
            <w:r>
              <w:rPr>
                <w:rFonts w:hint="eastAsia" w:ascii="仿宋_GB2312" w:hAnsi="宋体" w:cs="宋体"/>
                <w:b/>
                <w:bCs/>
                <w:kern w:val="0"/>
                <w:sz w:val="24"/>
                <w:szCs w:val="24"/>
              </w:rPr>
              <w:t>得分</w:t>
            </w:r>
          </w:p>
        </w:tc>
        <w:tc>
          <w:tcPr>
            <w:tcW w:w="1039" w:type="dxa"/>
            <w:tcBorders>
              <w:tl2br w:val="nil"/>
              <w:tr2bl w:val="nil"/>
            </w:tcBorders>
            <w:shd w:val="clear" w:color="auto" w:fill="D0CECE" w:themeFill="background2" w:themeFillShade="E6"/>
            <w:vAlign w:val="center"/>
          </w:tcPr>
          <w:p>
            <w:pPr>
              <w:widowControl/>
              <w:ind w:firstLine="0" w:firstLineChars="0"/>
              <w:jc w:val="center"/>
              <w:rPr>
                <w:rFonts w:ascii="仿宋_GB2312" w:hAnsi="Gungsuh" w:cs="宋体"/>
                <w:b/>
                <w:bCs/>
                <w:kern w:val="0"/>
                <w:sz w:val="24"/>
                <w:szCs w:val="24"/>
              </w:rPr>
            </w:pPr>
            <w:r>
              <w:rPr>
                <w:rFonts w:hint="eastAsia" w:ascii="仿宋_GB2312" w:hAnsi="Gungsuh" w:cs="宋体"/>
                <w:b/>
                <w:bCs/>
                <w:kern w:val="0"/>
                <w:sz w:val="24"/>
                <w:szCs w:val="24"/>
              </w:rPr>
              <w:t>得分率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决策</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项目立项</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立项依据充分性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4</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立项程序规范性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4</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绩效目标</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绩效目标合理性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绩效指标明确性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资金投入</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预算编制科学性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资金分配合理性</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过程</w:t>
            </w: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rPr>
            </w:pPr>
            <w:r>
              <w:rPr>
                <w:rFonts w:hint="eastAsia" w:ascii="仿宋_GB2312" w:hAnsi="宋体" w:cs="宋体"/>
                <w:kern w:val="0"/>
                <w:sz w:val="24"/>
                <w:szCs w:val="24"/>
              </w:rPr>
              <w:t>资金管理</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资金到位率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5</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5</w:t>
            </w:r>
          </w:p>
        </w:tc>
        <w:tc>
          <w:tcPr>
            <w:tcW w:w="1039" w:type="dxa"/>
            <w:tcBorders>
              <w:tl2br w:val="nil"/>
              <w:tr2bl w:val="nil"/>
            </w:tcBorders>
            <w:shd w:val="clear" w:color="000000" w:fill="FFFFFF"/>
            <w:vAlign w:val="center"/>
          </w:tcPr>
          <w:p>
            <w:pPr>
              <w:widowControl/>
              <w:ind w:firstLine="240" w:firstLineChars="100"/>
              <w:jc w:val="both"/>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ind w:firstLine="48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预算执行率</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5</w:t>
            </w:r>
          </w:p>
        </w:tc>
        <w:tc>
          <w:tcPr>
            <w:tcW w:w="898" w:type="dxa"/>
            <w:tcBorders>
              <w:tl2br w:val="nil"/>
              <w:tr2bl w:val="nil"/>
            </w:tcBorders>
            <w:shd w:val="clear" w:color="auto"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5</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资金使用合规性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组织实施</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管理制度健全性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制度执行有效性</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4</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产出数量</w:t>
            </w:r>
          </w:p>
        </w:tc>
        <w:tc>
          <w:tcPr>
            <w:tcW w:w="2693" w:type="dxa"/>
            <w:tcBorders>
              <w:tl2br w:val="nil"/>
              <w:tr2bl w:val="nil"/>
            </w:tcBorders>
            <w:shd w:val="clear" w:color="auto" w:fill="FFFFFF"/>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lang w:val="en-US" w:eastAsia="zh-CN"/>
              </w:rPr>
              <w:t>标准宿舍</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ascii="仿宋_GB2312" w:hAnsi="宋体" w:cs="宋体"/>
                <w:kern w:val="0"/>
                <w:sz w:val="24"/>
                <w:szCs w:val="24"/>
                <w:highlight w:val="none"/>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vMerge w:val="restart"/>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yellow"/>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标准</w:t>
            </w:r>
            <w:r>
              <w:rPr>
                <w:rFonts w:hint="eastAsia" w:ascii="宋体" w:hAnsi="宋体" w:eastAsia="宋体" w:cs="宋体"/>
                <w:color w:val="000000"/>
                <w:kern w:val="0"/>
                <w:sz w:val="22"/>
                <w:lang w:eastAsia="zh-CN"/>
              </w:rPr>
              <w:t>食堂</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3</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3</w:t>
            </w:r>
          </w:p>
        </w:tc>
        <w:tc>
          <w:tcPr>
            <w:tcW w:w="1039" w:type="dxa"/>
            <w:vMerge w:val="continue"/>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总建设面积</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4</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4</w:t>
            </w:r>
          </w:p>
        </w:tc>
        <w:tc>
          <w:tcPr>
            <w:tcW w:w="1039" w:type="dxa"/>
            <w:vMerge w:val="continue"/>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产出质量</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工程验收合格率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1</w:t>
            </w:r>
            <w:r>
              <w:rPr>
                <w:rFonts w:ascii="仿宋_GB2312" w:hAnsi="宋体" w:cs="宋体"/>
                <w:kern w:val="0"/>
                <w:sz w:val="24"/>
                <w:szCs w:val="24"/>
                <w:highlight w:val="none"/>
              </w:rPr>
              <w:t>0</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0"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产出时效</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建设工程开工及时率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ascii="仿宋_GB2312" w:hAnsi="宋体" w:cs="宋体"/>
                <w:kern w:val="0"/>
                <w:sz w:val="24"/>
                <w:szCs w:val="24"/>
                <w:highlight w:val="none"/>
              </w:rPr>
              <w:t>5</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5</w:t>
            </w:r>
          </w:p>
        </w:tc>
        <w:tc>
          <w:tcPr>
            <w:tcW w:w="1039" w:type="dxa"/>
            <w:vMerge w:val="restart"/>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80%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0"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建设工程完工及时率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5</w:t>
            </w:r>
          </w:p>
        </w:tc>
        <w:tc>
          <w:tcPr>
            <w:tcW w:w="898"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2</w:t>
            </w:r>
          </w:p>
        </w:tc>
        <w:tc>
          <w:tcPr>
            <w:tcW w:w="1039" w:type="dxa"/>
            <w:vMerge w:val="continue"/>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产出成本</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项目预算控制率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ascii="仿宋_GB2312" w:hAnsi="宋体" w:cs="宋体"/>
                <w:kern w:val="0"/>
                <w:sz w:val="24"/>
                <w:szCs w:val="24"/>
                <w:highlight w:val="none"/>
              </w:rPr>
              <w:t>10</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7</w:t>
            </w:r>
          </w:p>
        </w:tc>
        <w:tc>
          <w:tcPr>
            <w:tcW w:w="1039" w:type="dxa"/>
            <w:tcBorders>
              <w:tl2br w:val="nil"/>
              <w:tr2bl w:val="nil"/>
            </w:tcBorders>
            <w:shd w:val="clear" w:color="000000"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70%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rPr>
              <w:t>效益</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项目效益</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社会效益指标</w:t>
            </w:r>
          </w:p>
        </w:tc>
        <w:tc>
          <w:tcPr>
            <w:tcW w:w="898"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highlight w:val="none"/>
              </w:rPr>
            </w:pPr>
            <w:r>
              <w:rPr>
                <w:rFonts w:ascii="仿宋_GB2312" w:hAnsi="宋体" w:cs="宋体"/>
                <w:kern w:val="0"/>
                <w:sz w:val="24"/>
                <w:szCs w:val="24"/>
                <w:highlight w:val="none"/>
              </w:rPr>
              <w:t>10</w:t>
            </w:r>
          </w:p>
        </w:tc>
        <w:tc>
          <w:tcPr>
            <w:tcW w:w="898" w:type="dxa"/>
            <w:tcBorders>
              <w:tl2br w:val="nil"/>
              <w:tr2bl w:val="nil"/>
            </w:tcBorders>
            <w:shd w:val="clear" w:color="auto" w:fill="FFFFFF"/>
            <w:vAlign w:val="center"/>
          </w:tcPr>
          <w:p>
            <w:pPr>
              <w:widowControl/>
              <w:ind w:firstLine="0" w:firstLineChars="0"/>
              <w:jc w:val="center"/>
              <w:rPr>
                <w:rFonts w:hint="default"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10</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可持续影响指标</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ascii="仿宋_GB2312" w:hAnsi="宋体" w:cs="宋体"/>
                <w:kern w:val="0"/>
                <w:sz w:val="24"/>
                <w:szCs w:val="24"/>
                <w:highlight w:val="none"/>
              </w:rPr>
              <w:t>5</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ascii="宋体" w:hAnsi="宋体" w:eastAsia="宋体" w:cs="宋体"/>
                <w:color w:val="000000"/>
                <w:kern w:val="0"/>
                <w:sz w:val="22"/>
              </w:rPr>
              <w:t>满意度指标完成情况分析</w:t>
            </w: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kern w:val="0"/>
                <w:sz w:val="24"/>
                <w:szCs w:val="24"/>
              </w:rPr>
            </w:pPr>
            <w:r>
              <w:rPr>
                <w:rFonts w:hint="eastAsia" w:ascii="宋体" w:hAnsi="宋体" w:eastAsia="宋体" w:cs="宋体"/>
                <w:color w:val="000000"/>
                <w:kern w:val="0"/>
                <w:sz w:val="22"/>
              </w:rPr>
              <w:t>满意度指标</w:t>
            </w: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kern w:val="0"/>
                <w:sz w:val="22"/>
              </w:rPr>
            </w:pPr>
            <w:r>
              <w:rPr>
                <w:rFonts w:hint="eastAsia" w:ascii="宋体" w:hAnsi="宋体" w:eastAsia="宋体" w:cs="宋体"/>
                <w:color w:val="000000"/>
                <w:kern w:val="0"/>
                <w:sz w:val="22"/>
              </w:rPr>
              <w:t>群众满意度</w:t>
            </w:r>
          </w:p>
        </w:tc>
        <w:tc>
          <w:tcPr>
            <w:tcW w:w="898"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highlight w:val="none"/>
              </w:rPr>
            </w:pPr>
            <w:r>
              <w:rPr>
                <w:rFonts w:hint="eastAsia" w:ascii="仿宋_GB2312" w:hAnsi="宋体" w:cs="宋体"/>
                <w:kern w:val="0"/>
                <w:sz w:val="24"/>
                <w:szCs w:val="24"/>
                <w:highlight w:val="none"/>
              </w:rPr>
              <w:t>5</w:t>
            </w:r>
          </w:p>
        </w:tc>
        <w:tc>
          <w:tcPr>
            <w:tcW w:w="898" w:type="dxa"/>
            <w:tcBorders>
              <w:tl2br w:val="nil"/>
              <w:tr2bl w:val="nil"/>
            </w:tcBorders>
            <w:shd w:val="clear" w:color="000000" w:fill="FFFFFF"/>
            <w:vAlign w:val="center"/>
          </w:tcPr>
          <w:p>
            <w:pPr>
              <w:widowControl/>
              <w:ind w:firstLine="0" w:firstLineChars="0"/>
              <w:jc w:val="center"/>
              <w:rPr>
                <w:rFonts w:hint="eastAsia" w:ascii="仿宋_GB2312" w:hAnsi="宋体" w:eastAsia="仿宋_GB2312" w:cs="宋体"/>
                <w:kern w:val="0"/>
                <w:sz w:val="24"/>
                <w:szCs w:val="24"/>
                <w:lang w:val="en-US" w:eastAsia="zh-CN"/>
              </w:rPr>
            </w:pPr>
            <w:r>
              <w:rPr>
                <w:rFonts w:hint="eastAsia" w:ascii="仿宋_GB2312" w:hAnsi="宋体" w:cs="宋体"/>
                <w:kern w:val="0"/>
                <w:sz w:val="24"/>
                <w:szCs w:val="24"/>
                <w:lang w:val="en-US" w:eastAsia="zh-CN"/>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kern w:val="0"/>
                <w:sz w:val="24"/>
                <w:szCs w:val="24"/>
              </w:rPr>
            </w:pPr>
            <w:r>
              <w:rPr>
                <w:rFonts w:hint="eastAsia" w:ascii="仿宋_GB2312" w:hAnsi="宋体" w:cs="宋体"/>
                <w:kern w:val="0"/>
                <w:sz w:val="24"/>
                <w:szCs w:val="24"/>
                <w:lang w:val="en-US" w:eastAsia="zh-CN"/>
              </w:rPr>
              <w:t>100%</w:t>
            </w:r>
          </w:p>
        </w:tc>
      </w:tr>
    </w:tbl>
    <w:p>
      <w:pPr>
        <w:pStyle w:val="3"/>
        <w:ind w:firstLine="643"/>
        <w:rPr>
          <w:rFonts w:ascii="仿宋" w:hAnsi="仿宋" w:eastAsia="仿宋"/>
          <w:lang w:bidi="en-US"/>
        </w:rPr>
      </w:pPr>
      <w:bookmarkStart w:id="27" w:name="_Toc67911610"/>
      <w:bookmarkStart w:id="28" w:name="_Toc100784598"/>
      <w:r>
        <w:rPr>
          <w:rFonts w:hint="eastAsia" w:ascii="仿宋" w:hAnsi="仿宋" w:eastAsia="仿宋"/>
          <w:lang w:bidi="en-US"/>
        </w:rPr>
        <w:t>（二）主要绩效</w:t>
      </w:r>
      <w:bookmarkEnd w:id="27"/>
      <w:bookmarkEnd w:id="28"/>
    </w:p>
    <w:p>
      <w:pPr>
        <w:spacing w:line="360" w:lineRule="auto"/>
        <w:ind w:firstLine="548" w:firstLineChars="196"/>
        <w:rPr>
          <w:rFonts w:ascii="仿宋_GB2312"/>
          <w:bCs/>
          <w:szCs w:val="28"/>
          <w:highlight w:val="yellow"/>
        </w:rPr>
      </w:pPr>
      <w:r>
        <w:rPr>
          <w:rFonts w:hint="eastAsia" w:ascii="仿宋_GB2312"/>
          <w:bCs/>
          <w:szCs w:val="28"/>
        </w:rPr>
        <w:t>该项目资金区财政及时拨付，</w:t>
      </w:r>
      <w:r>
        <w:rPr>
          <w:rFonts w:hint="eastAsia" w:ascii="仿宋_GB2312"/>
          <w:bCs/>
          <w:szCs w:val="28"/>
          <w:highlight w:val="none"/>
        </w:rPr>
        <w:t>单位在此次评价期间内，有序完成设定目标的部分工作任务，</w:t>
      </w:r>
      <w:r>
        <w:rPr>
          <w:rFonts w:hint="eastAsia" w:ascii="仿宋_GB2312" w:hAnsi="Calibri" w:eastAsia="仿宋_GB2312" w:cs="黑体"/>
          <w:kern w:val="2"/>
          <w:sz w:val="28"/>
          <w:szCs w:val="28"/>
          <w:highlight w:val="none"/>
          <w:lang w:val="en-US" w:eastAsia="zh-CN" w:bidi="ar-SA"/>
        </w:rPr>
        <w:t>项目建设规模及主要内容由土建、维修改造、设备购置三部分构成：（一）土建部分。新建宿舍、食堂、浴室、水冲厕所一体楼，建筑面积15500平方米，及室外供排水管网、校园高压供电增容、供电路改造、暖气、燃气管网及场地硬化等附属设施工程；（二）维修改造部分。原教学楼、实验楼和办公楼改造为学生宿舍、临时食堂，及室外供排水、暖气管网、燃气管网、彩板库房等配套设施工程；（三）设备购置部分。购置宿舍生活用品、洗衣房设备、食堂餐桌厨具等辅助设施设备。我校新建学生宿舍和食堂建成以后，提高学生和教师在校生活水平，改善学生的学习生活的环境。</w:t>
      </w:r>
    </w:p>
    <w:p>
      <w:pPr>
        <w:spacing w:line="360" w:lineRule="auto"/>
        <w:ind w:firstLine="548" w:firstLineChars="196"/>
        <w:rPr>
          <w:rFonts w:ascii="仿宋_GB2312"/>
          <w:bCs/>
          <w:szCs w:val="28"/>
          <w:highlight w:val="yellow"/>
        </w:rPr>
      </w:pPr>
    </w:p>
    <w:p>
      <w:pPr>
        <w:pStyle w:val="2"/>
        <w:ind w:firstLine="0" w:firstLineChars="0"/>
        <w:jc w:val="left"/>
        <w:rPr>
          <w:rFonts w:ascii="仿宋" w:hAnsi="仿宋" w:eastAsia="仿宋"/>
          <w:sz w:val="36"/>
          <w:szCs w:val="36"/>
          <w:lang w:bidi="en-US"/>
        </w:rPr>
      </w:pPr>
      <w:bookmarkStart w:id="29" w:name="_Toc67911611"/>
      <w:bookmarkStart w:id="30" w:name="_Toc100784599"/>
      <w:r>
        <w:rPr>
          <w:rFonts w:hint="eastAsia" w:ascii="仿宋" w:hAnsi="仿宋" w:eastAsia="仿宋"/>
          <w:sz w:val="36"/>
          <w:szCs w:val="36"/>
          <w:lang w:bidi="en-US"/>
        </w:rPr>
        <w:t>四、绩效评价指标分析</w:t>
      </w:r>
      <w:bookmarkEnd w:id="29"/>
      <w:bookmarkEnd w:id="30"/>
    </w:p>
    <w:p>
      <w:pPr>
        <w:pStyle w:val="3"/>
        <w:ind w:firstLine="643"/>
        <w:rPr>
          <w:rFonts w:ascii="仿宋" w:hAnsi="仿宋" w:eastAsia="仿宋"/>
          <w:lang w:bidi="en-US"/>
        </w:rPr>
      </w:pPr>
      <w:bookmarkStart w:id="31" w:name="_Toc67911612"/>
      <w:bookmarkStart w:id="32" w:name="_Toc100784600"/>
      <w:r>
        <w:rPr>
          <w:rFonts w:hint="eastAsia" w:ascii="仿宋" w:hAnsi="仿宋" w:eastAsia="仿宋"/>
          <w:lang w:bidi="en-US"/>
        </w:rPr>
        <w:t>（一）项目决策情况</w:t>
      </w:r>
      <w:bookmarkEnd w:id="31"/>
      <w:bookmarkEnd w:id="32"/>
    </w:p>
    <w:p>
      <w:pPr>
        <w:spacing w:line="360" w:lineRule="auto"/>
        <w:ind w:firstLine="560"/>
        <w:rPr>
          <w:rFonts w:ascii="仿宋_GB2312"/>
          <w:szCs w:val="28"/>
          <w:highlight w:val="none"/>
        </w:rPr>
      </w:pPr>
      <w:r>
        <w:rPr>
          <w:rFonts w:hint="eastAsia" w:ascii="仿宋_GB2312"/>
          <w:szCs w:val="28"/>
          <w:highlight w:val="none"/>
        </w:rPr>
        <w:t>项目决算指标由3个二级指标和6个三级指标构成，权重为</w:t>
      </w:r>
      <w:r>
        <w:rPr>
          <w:rFonts w:ascii="仿宋_GB2312"/>
          <w:szCs w:val="28"/>
          <w:highlight w:val="none"/>
        </w:rPr>
        <w:t>20</w:t>
      </w:r>
      <w:r>
        <w:rPr>
          <w:rFonts w:hint="eastAsia" w:ascii="仿宋_GB2312"/>
          <w:szCs w:val="28"/>
          <w:highlight w:val="none"/>
        </w:rPr>
        <w:t>分，实际得分</w:t>
      </w:r>
      <w:r>
        <w:rPr>
          <w:rFonts w:hint="eastAsia" w:ascii="仿宋_GB2312"/>
          <w:szCs w:val="28"/>
          <w:highlight w:val="none"/>
          <w:lang w:val="en-US" w:eastAsia="zh-CN"/>
        </w:rPr>
        <w:t>20</w:t>
      </w:r>
      <w:r>
        <w:rPr>
          <w:rFonts w:hint="eastAsia" w:ascii="仿宋_GB2312"/>
          <w:szCs w:val="28"/>
          <w:highlight w:val="none"/>
        </w:rPr>
        <w:t>分。</w:t>
      </w:r>
    </w:p>
    <w:p>
      <w:pPr>
        <w:pStyle w:val="4"/>
        <w:ind w:firstLine="643"/>
      </w:pPr>
      <w:bookmarkStart w:id="33" w:name="_Toc100784601"/>
      <w:r>
        <w:t>1.</w:t>
      </w:r>
      <w:r>
        <w:rPr>
          <w:rFonts w:hint="eastAsia"/>
        </w:rPr>
        <w:t>项目立项</w:t>
      </w:r>
      <w:bookmarkEnd w:id="33"/>
    </w:p>
    <w:p>
      <w:pPr>
        <w:spacing w:line="360" w:lineRule="auto"/>
        <w:ind w:firstLine="562"/>
        <w:rPr>
          <w:rFonts w:ascii="仿宋_GB2312"/>
          <w:szCs w:val="28"/>
        </w:rPr>
      </w:pPr>
      <w:r>
        <w:rPr>
          <w:rFonts w:hint="eastAsia" w:ascii="仿宋_GB2312"/>
          <w:b/>
          <w:bCs/>
          <w:szCs w:val="28"/>
        </w:rPr>
        <w:t>立项依据充分性：</w:t>
      </w:r>
      <w:r>
        <w:rPr>
          <w:rFonts w:hint="eastAsia" w:ascii="仿宋_GB2312"/>
          <w:szCs w:val="28"/>
        </w:rPr>
        <w:t>项目立项符合国家法律法规、政策要求。同时，项目与部门职责范围相符，属于部门履职所需。此外，本项目属于公共财政支持范围，符合中央、地方事权支出责任划分原则。因此，立项依据充分，得4分。</w:t>
      </w:r>
    </w:p>
    <w:p>
      <w:pPr>
        <w:spacing w:line="360" w:lineRule="auto"/>
        <w:ind w:firstLine="562"/>
        <w:rPr>
          <w:rFonts w:ascii="仿宋_GB2312"/>
          <w:szCs w:val="28"/>
        </w:rPr>
      </w:pPr>
      <w:r>
        <w:rPr>
          <w:rFonts w:hint="eastAsia" w:ascii="仿宋_GB2312"/>
          <w:b/>
          <w:bCs/>
          <w:szCs w:val="28"/>
        </w:rPr>
        <w:t>立项程序规范性</w:t>
      </w:r>
      <w:r>
        <w:rPr>
          <w:rFonts w:ascii="仿宋_GB2312"/>
          <w:b/>
          <w:bCs/>
          <w:szCs w:val="28"/>
        </w:rPr>
        <w:t>:</w:t>
      </w:r>
      <w:r>
        <w:rPr>
          <w:rFonts w:hint="eastAsia"/>
        </w:rPr>
        <w:t xml:space="preserve"> </w:t>
      </w:r>
      <w:r>
        <w:rPr>
          <w:rFonts w:hint="eastAsia" w:ascii="仿宋_GB2312"/>
          <w:szCs w:val="28"/>
        </w:rPr>
        <w:t>项目按照规定的程序申请设立，审批文件、材料符合相关要求，根据乌鲁木齐市财政局</w:t>
      </w:r>
      <w:r>
        <w:rPr>
          <w:rFonts w:hint="eastAsia" w:ascii="仿宋_GB2312"/>
          <w:szCs w:val="28"/>
          <w:lang w:eastAsia="zh-CN"/>
        </w:rPr>
        <w:t>《</w:t>
      </w:r>
      <w:r>
        <w:rPr>
          <w:rFonts w:hint="eastAsia" w:ascii="仿宋_GB2312"/>
          <w:szCs w:val="28"/>
        </w:rPr>
        <w:t>关于下达2021年政府投资计划教育系统（第二批）资金预算的通知</w:t>
      </w:r>
      <w:r>
        <w:rPr>
          <w:rFonts w:hint="eastAsia" w:ascii="仿宋_GB2312"/>
          <w:szCs w:val="28"/>
          <w:lang w:eastAsia="zh-CN"/>
        </w:rPr>
        <w:t>》（</w:t>
      </w:r>
      <w:r>
        <w:rPr>
          <w:rFonts w:hint="eastAsia" w:ascii="仿宋_GB2312"/>
          <w:szCs w:val="28"/>
        </w:rPr>
        <w:t>乌财建[2021]136号</w:t>
      </w:r>
      <w:r>
        <w:rPr>
          <w:rFonts w:hint="eastAsia" w:ascii="仿宋_GB2312"/>
          <w:szCs w:val="28"/>
          <w:lang w:eastAsia="zh-CN"/>
        </w:rPr>
        <w:t>）</w:t>
      </w:r>
      <w:r>
        <w:rPr>
          <w:rFonts w:hint="eastAsia" w:ascii="仿宋_GB2312"/>
          <w:szCs w:val="28"/>
        </w:rPr>
        <w:t>文件精神拨付我校资金1</w:t>
      </w:r>
      <w:r>
        <w:rPr>
          <w:rFonts w:hint="eastAsia" w:ascii="仿宋_GB2312"/>
          <w:szCs w:val="28"/>
          <w:lang w:val="en-US" w:eastAsia="zh-CN"/>
        </w:rPr>
        <w:t>000</w:t>
      </w:r>
      <w:r>
        <w:rPr>
          <w:rFonts w:hint="eastAsia" w:ascii="仿宋_GB2312"/>
          <w:szCs w:val="28"/>
        </w:rPr>
        <w:t>万元，故立项程序规范，得4分。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8</w:t>
      </w:r>
      <w:r>
        <w:rPr>
          <w:rFonts w:hint="eastAsia" w:ascii="仿宋_GB2312" w:hAnsi="仿宋" w:cs="宋体"/>
          <w:b/>
          <w:kern w:val="0"/>
          <w:szCs w:val="28"/>
        </w:rPr>
        <w:t>分，得分</w:t>
      </w:r>
      <w:r>
        <w:rPr>
          <w:rFonts w:ascii="仿宋_GB2312" w:hAnsi="仿宋" w:cs="宋体"/>
          <w:b/>
          <w:kern w:val="0"/>
          <w:szCs w:val="28"/>
        </w:rPr>
        <w:t>8</w:t>
      </w:r>
      <w:r>
        <w:rPr>
          <w:rFonts w:hint="eastAsia" w:ascii="仿宋_GB2312" w:hAnsi="仿宋" w:cs="宋体"/>
          <w:b/>
          <w:kern w:val="0"/>
          <w:szCs w:val="28"/>
        </w:rPr>
        <w:t>分。</w:t>
      </w:r>
    </w:p>
    <w:p>
      <w:pPr>
        <w:pStyle w:val="4"/>
        <w:ind w:firstLine="643"/>
      </w:pPr>
      <w:bookmarkStart w:id="34" w:name="_Toc100784602"/>
      <w:r>
        <w:rPr>
          <w:rFonts w:hint="eastAsia"/>
        </w:rPr>
        <w:t>2</w:t>
      </w:r>
      <w:r>
        <w:t>.</w:t>
      </w:r>
      <w:r>
        <w:rPr>
          <w:rFonts w:hint="eastAsia"/>
        </w:rPr>
        <w:t>绩效目标</w:t>
      </w:r>
      <w:bookmarkEnd w:id="34"/>
    </w:p>
    <w:p>
      <w:pPr>
        <w:spacing w:line="360" w:lineRule="auto"/>
        <w:ind w:firstLine="562"/>
        <w:rPr>
          <w:rFonts w:ascii="仿宋_GB2312"/>
          <w:szCs w:val="28"/>
        </w:rPr>
      </w:pPr>
      <w:r>
        <w:rPr>
          <w:rFonts w:hint="eastAsia" w:ascii="仿宋_GB2312"/>
          <w:b/>
          <w:bCs/>
          <w:szCs w:val="28"/>
        </w:rPr>
        <w:t>绩效目标合理性：</w:t>
      </w:r>
      <w:r>
        <w:rPr>
          <w:rFonts w:hint="eastAsia" w:ascii="仿宋_GB2312"/>
          <w:szCs w:val="28"/>
        </w:rPr>
        <w:t>本项目的绩效目标按照产出、效益和满意度构建绩效评价指标，且具有明确性、可衡量性、可实现性、相关性和时限性等特点，能较为全面地反映本项目的产出和效益，故绩效目标合理性指标得分</w:t>
      </w:r>
      <w:r>
        <w:rPr>
          <w:rFonts w:ascii="仿宋_GB2312"/>
          <w:szCs w:val="28"/>
        </w:rPr>
        <w:t>3</w:t>
      </w:r>
      <w:r>
        <w:rPr>
          <w:rFonts w:hint="eastAsia" w:ascii="仿宋_GB2312"/>
          <w:szCs w:val="28"/>
        </w:rPr>
        <w:t>分。</w:t>
      </w:r>
    </w:p>
    <w:p>
      <w:pPr>
        <w:autoSpaceDE w:val="0"/>
        <w:spacing w:line="600" w:lineRule="exact"/>
        <w:ind w:firstLine="562"/>
        <w:rPr>
          <w:rFonts w:ascii="仿宋_GB2312" w:hAnsi="仿宋" w:cs="宋体"/>
          <w:kern w:val="0"/>
          <w:szCs w:val="28"/>
        </w:rPr>
      </w:pPr>
      <w:r>
        <w:rPr>
          <w:rFonts w:hint="eastAsia" w:ascii="仿宋_GB2312" w:hAnsi="仿宋" w:cs="宋体"/>
          <w:b/>
          <w:kern w:val="0"/>
          <w:szCs w:val="28"/>
        </w:rPr>
        <w:t>绩效目标明确性</w:t>
      </w:r>
      <w:r>
        <w:rPr>
          <w:rFonts w:hint="eastAsia" w:ascii="仿宋_GB2312" w:hAnsi="仿宋" w:cs="宋体"/>
          <w:b/>
          <w:kern w:val="0"/>
          <w:szCs w:val="28"/>
          <w:highlight w:val="none"/>
        </w:rPr>
        <w:t>：</w:t>
      </w:r>
      <w:r>
        <w:rPr>
          <w:rFonts w:hint="eastAsia" w:ascii="仿宋_GB2312" w:hAnsi="仿宋" w:cs="宋体"/>
          <w:kern w:val="0"/>
          <w:szCs w:val="28"/>
          <w:highlight w:val="none"/>
          <w:lang w:eastAsia="zh-CN"/>
        </w:rPr>
        <w:t>依据学校</w:t>
      </w:r>
      <w:r>
        <w:rPr>
          <w:rFonts w:hint="eastAsia" w:ascii="仿宋_GB2312" w:hAnsi="仿宋" w:cs="宋体"/>
          <w:kern w:val="0"/>
          <w:szCs w:val="28"/>
          <w:highlight w:val="none"/>
        </w:rPr>
        <w:t>业务需要，明确米东区</w:t>
      </w:r>
      <w:r>
        <w:rPr>
          <w:rFonts w:hint="eastAsia" w:ascii="仿宋_GB2312" w:hAnsi="仿宋" w:cs="宋体"/>
          <w:kern w:val="0"/>
          <w:szCs w:val="28"/>
          <w:highlight w:val="none"/>
          <w:lang w:eastAsia="zh-CN"/>
        </w:rPr>
        <w:t>教育局</w:t>
      </w:r>
      <w:r>
        <w:rPr>
          <w:rFonts w:hint="eastAsia" w:ascii="仿宋_GB2312" w:hAnsi="仿宋" w:cs="宋体"/>
          <w:kern w:val="0"/>
          <w:szCs w:val="28"/>
          <w:highlight w:val="none"/>
        </w:rPr>
        <w:t>委托审计费项目的审计项目个数等，要求审计准确率需达到1</w:t>
      </w:r>
      <w:r>
        <w:rPr>
          <w:rFonts w:ascii="仿宋_GB2312" w:hAnsi="仿宋" w:cs="宋体"/>
          <w:kern w:val="0"/>
          <w:szCs w:val="28"/>
          <w:highlight w:val="none"/>
        </w:rPr>
        <w:t>00</w:t>
      </w:r>
      <w:r>
        <w:rPr>
          <w:rFonts w:hint="eastAsia" w:ascii="仿宋_GB2312" w:hAnsi="仿宋" w:cs="宋体"/>
          <w:kern w:val="0"/>
          <w:szCs w:val="28"/>
          <w:highlight w:val="none"/>
        </w:rPr>
        <w:t>%。其中，目标已细化为具体的绩效指标，可通过数量指标、质量指标</w:t>
      </w:r>
      <w:r>
        <w:rPr>
          <w:rFonts w:hint="eastAsia" w:ascii="仿宋_GB2312" w:hAnsi="仿宋" w:cs="宋体"/>
          <w:kern w:val="0"/>
          <w:szCs w:val="28"/>
        </w:rPr>
        <w:t>、时效指标和成本指标予以量化，并具有确切的评价标准，且指标设定均与目标相关。各项指标均能在现实条件下收集到相关数据进行佐证，并与当年项目年度计划相对应，故绩效目标明确性指标得分</w:t>
      </w:r>
      <w:r>
        <w:rPr>
          <w:rFonts w:ascii="仿宋_GB2312" w:hAnsi="仿宋" w:cs="宋体"/>
          <w:kern w:val="0"/>
          <w:szCs w:val="28"/>
        </w:rPr>
        <w:t>3</w:t>
      </w:r>
      <w:r>
        <w:rPr>
          <w:rFonts w:hint="eastAsia" w:ascii="仿宋_GB2312" w:hAnsi="仿宋" w:cs="宋体"/>
          <w:kern w:val="0"/>
          <w:szCs w:val="28"/>
        </w:rPr>
        <w:t>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w:t>
      </w:r>
      <w:r>
        <w:rPr>
          <w:rFonts w:ascii="仿宋_GB2312" w:hAnsi="仿宋" w:cs="宋体"/>
          <w:b/>
          <w:kern w:val="0"/>
          <w:szCs w:val="28"/>
        </w:rPr>
        <w:t>6</w:t>
      </w:r>
      <w:r>
        <w:rPr>
          <w:rFonts w:hint="eastAsia" w:ascii="仿宋_GB2312" w:hAnsi="仿宋" w:cs="宋体"/>
          <w:b/>
          <w:kern w:val="0"/>
          <w:szCs w:val="28"/>
        </w:rPr>
        <w:t>分。</w:t>
      </w:r>
    </w:p>
    <w:p>
      <w:pPr>
        <w:pStyle w:val="4"/>
        <w:ind w:firstLine="643"/>
      </w:pPr>
      <w:bookmarkStart w:id="35" w:name="_Toc100784603"/>
      <w:r>
        <w:rPr>
          <w:rFonts w:hint="eastAsia"/>
        </w:rPr>
        <w:t>3.资金投入</w:t>
      </w:r>
      <w:bookmarkEnd w:id="35"/>
    </w:p>
    <w:p>
      <w:pPr>
        <w:autoSpaceDE w:val="0"/>
        <w:spacing w:line="600" w:lineRule="exact"/>
        <w:ind w:firstLine="560"/>
        <w:rPr>
          <w:rFonts w:ascii="仿宋_GB2312" w:hAnsi="仿宋" w:cs="宋体"/>
          <w:bCs/>
          <w:kern w:val="0"/>
          <w:szCs w:val="28"/>
          <w:highlight w:val="none"/>
        </w:rPr>
      </w:pPr>
      <w:r>
        <w:rPr>
          <w:rFonts w:hint="eastAsia" w:ascii="仿宋_GB2312" w:hAnsi="仿宋" w:cs="宋体"/>
          <w:b/>
          <w:kern w:val="0"/>
          <w:szCs w:val="28"/>
          <w:highlight w:val="none"/>
        </w:rPr>
        <w:t>预算编制科学性：</w:t>
      </w:r>
      <w:r>
        <w:rPr>
          <w:rFonts w:hint="eastAsia" w:ascii="仿宋_GB2312" w:hAnsi="仿宋" w:cs="宋体"/>
          <w:kern w:val="0"/>
          <w:szCs w:val="28"/>
          <w:highlight w:val="none"/>
          <w:lang w:eastAsia="zh-CN"/>
        </w:rPr>
        <w:t>我校新建学生宿舍一体楼项目是经过科学论证、有明确标准的，确定的项目投资额与工作任务相匹配，资金的额度与年度目标相适应</w:t>
      </w:r>
      <w:r>
        <w:rPr>
          <w:rFonts w:hint="eastAsia" w:ascii="仿宋_GB2312" w:hAnsi="仿宋" w:cs="宋体"/>
          <w:kern w:val="0"/>
          <w:szCs w:val="28"/>
          <w:highlight w:val="none"/>
        </w:rPr>
        <w:t>。故预算编制科学性指标得分</w:t>
      </w:r>
      <w:r>
        <w:rPr>
          <w:rFonts w:ascii="仿宋_GB2312" w:hAnsi="仿宋" w:cs="宋体"/>
          <w:kern w:val="0"/>
          <w:szCs w:val="28"/>
          <w:highlight w:val="none"/>
        </w:rPr>
        <w:t>3</w:t>
      </w:r>
      <w:r>
        <w:rPr>
          <w:rFonts w:hint="eastAsia" w:ascii="仿宋_GB2312" w:hAnsi="仿宋" w:cs="宋体"/>
          <w:kern w:val="0"/>
          <w:szCs w:val="28"/>
          <w:highlight w:val="none"/>
        </w:rPr>
        <w:t>分。</w:t>
      </w:r>
      <w:r>
        <w:rPr>
          <w:rFonts w:ascii="仿宋_GB2312" w:hAnsi="仿宋" w:cs="宋体"/>
          <w:bCs/>
          <w:kern w:val="0"/>
          <w:szCs w:val="28"/>
          <w:highlight w:val="none"/>
        </w:rPr>
        <w:t xml:space="preserve"> </w:t>
      </w:r>
    </w:p>
    <w:p>
      <w:pPr>
        <w:spacing w:line="360" w:lineRule="auto"/>
        <w:ind w:firstLine="562"/>
        <w:rPr>
          <w:highlight w:val="none"/>
        </w:rPr>
      </w:pPr>
      <w:r>
        <w:rPr>
          <w:rFonts w:hint="eastAsia"/>
          <w:b/>
          <w:bCs/>
          <w:highlight w:val="none"/>
        </w:rPr>
        <w:t>资金分配合理性</w:t>
      </w:r>
      <w:r>
        <w:rPr>
          <w:rFonts w:hint="eastAsia"/>
          <w:highlight w:val="none"/>
        </w:rPr>
        <w:t>：</w:t>
      </w:r>
      <w:r>
        <w:rPr>
          <w:rFonts w:hint="eastAsia" w:ascii="仿宋_GB2312" w:hAnsi="仿宋" w:cs="宋体"/>
          <w:kern w:val="0"/>
          <w:szCs w:val="28"/>
          <w:highlight w:val="none"/>
        </w:rPr>
        <w:t xml:space="preserve"> </w:t>
      </w:r>
      <w:r>
        <w:rPr>
          <w:rFonts w:hint="eastAsia" w:ascii="仿宋_GB2312" w:hAnsi="仿宋" w:cs="宋体"/>
          <w:kern w:val="0"/>
          <w:szCs w:val="28"/>
          <w:highlight w:val="none"/>
          <w:lang w:val="en-US" w:eastAsia="zh-CN"/>
        </w:rPr>
        <w:t>我校新建学生宿舍一体楼项目的预算资金分配是有测算依据且合理，并与项目施工单位相适应</w:t>
      </w:r>
      <w:r>
        <w:rPr>
          <w:rFonts w:hint="eastAsia" w:ascii="仿宋_GB2312" w:hAnsi="仿宋" w:cs="宋体"/>
          <w:kern w:val="0"/>
          <w:szCs w:val="28"/>
          <w:highlight w:val="none"/>
        </w:rPr>
        <w:t>。故资金分配合理性指标得分</w:t>
      </w:r>
      <w:r>
        <w:rPr>
          <w:rFonts w:ascii="仿宋_GB2312" w:hAnsi="仿宋" w:cs="宋体"/>
          <w:kern w:val="0"/>
          <w:szCs w:val="28"/>
          <w:highlight w:val="none"/>
        </w:rPr>
        <w:t>3</w:t>
      </w:r>
      <w:r>
        <w:rPr>
          <w:rFonts w:hint="eastAsia" w:ascii="仿宋_GB2312" w:hAnsi="仿宋" w:cs="宋体"/>
          <w:kern w:val="0"/>
          <w:szCs w:val="28"/>
          <w:highlight w:val="none"/>
        </w:rPr>
        <w:t>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6</w:t>
      </w:r>
      <w:r>
        <w:rPr>
          <w:rFonts w:hint="eastAsia" w:ascii="仿宋_GB2312" w:hAnsi="仿宋" w:cs="宋体"/>
          <w:b/>
          <w:kern w:val="0"/>
          <w:szCs w:val="28"/>
        </w:rPr>
        <w:t>分，得分</w:t>
      </w:r>
      <w:r>
        <w:rPr>
          <w:rFonts w:hint="eastAsia" w:ascii="仿宋_GB2312" w:hAnsi="仿宋" w:cs="宋体"/>
          <w:b/>
          <w:kern w:val="0"/>
          <w:szCs w:val="28"/>
          <w:lang w:val="en-US" w:eastAsia="zh-CN"/>
        </w:rPr>
        <w:t>6</w:t>
      </w:r>
      <w:r>
        <w:rPr>
          <w:rFonts w:hint="eastAsia" w:ascii="仿宋_GB2312" w:hAnsi="仿宋" w:cs="宋体"/>
          <w:b/>
          <w:kern w:val="0"/>
          <w:szCs w:val="28"/>
        </w:rPr>
        <w:t>分。</w:t>
      </w:r>
    </w:p>
    <w:p>
      <w:pPr>
        <w:pStyle w:val="3"/>
        <w:ind w:firstLine="643"/>
        <w:rPr>
          <w:rFonts w:ascii="仿宋" w:hAnsi="仿宋" w:eastAsia="仿宋"/>
          <w:lang w:bidi="en-US"/>
        </w:rPr>
      </w:pPr>
      <w:bookmarkStart w:id="36" w:name="_Toc100784604"/>
      <w:bookmarkStart w:id="37" w:name="_Toc67911613"/>
      <w:r>
        <w:rPr>
          <w:rFonts w:hint="eastAsia" w:ascii="仿宋" w:hAnsi="仿宋" w:eastAsia="仿宋"/>
          <w:lang w:bidi="en-US"/>
        </w:rPr>
        <w:t>（二）项目过程情况</w:t>
      </w:r>
      <w:bookmarkEnd w:id="36"/>
      <w:bookmarkEnd w:id="37"/>
    </w:p>
    <w:p>
      <w:pPr>
        <w:spacing w:line="360" w:lineRule="auto"/>
        <w:ind w:firstLine="560"/>
        <w:rPr>
          <w:rFonts w:ascii="仿宋_GB2312"/>
          <w:szCs w:val="28"/>
        </w:rPr>
      </w:pPr>
      <w:r>
        <w:rPr>
          <w:rFonts w:hint="eastAsia" w:ascii="仿宋_GB2312"/>
          <w:szCs w:val="28"/>
        </w:rPr>
        <w:t>项目过程指标由2个二级指标和</w:t>
      </w:r>
      <w:r>
        <w:rPr>
          <w:rFonts w:ascii="仿宋_GB2312"/>
          <w:szCs w:val="28"/>
        </w:rPr>
        <w:t>5</w:t>
      </w:r>
      <w:r>
        <w:rPr>
          <w:rFonts w:hint="eastAsia" w:ascii="仿宋_GB2312"/>
          <w:szCs w:val="28"/>
        </w:rPr>
        <w:t>个三级指标构成，权重为</w:t>
      </w:r>
      <w:r>
        <w:rPr>
          <w:rFonts w:ascii="仿宋_GB2312"/>
          <w:szCs w:val="28"/>
        </w:rPr>
        <w:t>20</w:t>
      </w:r>
      <w:r>
        <w:rPr>
          <w:rFonts w:hint="eastAsia" w:ascii="仿宋_GB2312"/>
          <w:szCs w:val="28"/>
        </w:rPr>
        <w:t>分，实际得分</w:t>
      </w:r>
      <w:r>
        <w:rPr>
          <w:rFonts w:hint="eastAsia" w:ascii="仿宋_GB2312"/>
          <w:szCs w:val="28"/>
          <w:lang w:val="en-US" w:eastAsia="zh-CN"/>
        </w:rPr>
        <w:t>16</w:t>
      </w:r>
      <w:r>
        <w:rPr>
          <w:rFonts w:hint="eastAsia" w:ascii="仿宋_GB2312"/>
          <w:szCs w:val="28"/>
        </w:rPr>
        <w:t>分。</w:t>
      </w:r>
    </w:p>
    <w:p>
      <w:pPr>
        <w:pStyle w:val="4"/>
        <w:ind w:firstLine="643"/>
      </w:pPr>
      <w:bookmarkStart w:id="38" w:name="_Toc100784605"/>
      <w:r>
        <w:t>1.</w:t>
      </w:r>
      <w:r>
        <w:rPr>
          <w:rFonts w:hint="eastAsia"/>
        </w:rPr>
        <w:t>资金管理</w:t>
      </w:r>
      <w:bookmarkEnd w:id="38"/>
    </w:p>
    <w:p>
      <w:pPr>
        <w:spacing w:line="360" w:lineRule="auto"/>
        <w:ind w:firstLine="562"/>
        <w:rPr>
          <w:rFonts w:ascii="仿宋_GB2312"/>
          <w:szCs w:val="28"/>
        </w:rPr>
      </w:pPr>
      <w:r>
        <w:rPr>
          <w:rFonts w:hint="eastAsia" w:ascii="仿宋_GB2312"/>
          <w:b/>
          <w:bCs/>
          <w:szCs w:val="28"/>
        </w:rPr>
        <w:t>资金到位率：</w:t>
      </w:r>
      <w:r>
        <w:rPr>
          <w:rFonts w:hint="eastAsia"/>
        </w:rPr>
        <w:t>根据乌鲁木齐市财政局《关于下达2021年政府投资计划教育系统（第二批）资金预算的通知》（乌财建[2021]136号）文件精神</w:t>
      </w:r>
      <w:r>
        <w:rPr>
          <w:rFonts w:hint="eastAsia"/>
          <w:lang w:val="en-US" w:eastAsia="zh-CN"/>
        </w:rPr>
        <w:t>应</w:t>
      </w:r>
      <w:r>
        <w:rPr>
          <w:rFonts w:hint="eastAsia"/>
        </w:rPr>
        <w:t>拨付我校1000万元</w:t>
      </w:r>
      <w:r>
        <w:rPr>
          <w:rFonts w:hint="eastAsia"/>
          <w:lang w:eastAsia="zh-CN"/>
        </w:rPr>
        <w:t>，</w:t>
      </w:r>
      <w:r>
        <w:rPr>
          <w:rFonts w:hint="eastAsia"/>
          <w:lang w:val="en-US" w:eastAsia="zh-CN"/>
        </w:rPr>
        <w:t>实际拨付1000万元，资金到位率100%</w:t>
      </w:r>
      <w:r>
        <w:rPr>
          <w:rFonts w:hint="eastAsia"/>
          <w:lang w:eastAsia="zh-CN"/>
        </w:rPr>
        <w:t>，分别在</w:t>
      </w:r>
      <w:r>
        <w:rPr>
          <w:rFonts w:hint="eastAsia"/>
          <w:lang w:val="en-US" w:eastAsia="zh-CN"/>
        </w:rPr>
        <w:t>2022年6月13日、2022年7月22日、2022年9月29日到位，资金直接支付到建筑单位</w:t>
      </w:r>
      <w:r>
        <w:rPr>
          <w:rFonts w:hint="eastAsia"/>
          <w:lang w:eastAsia="zh-CN"/>
        </w:rPr>
        <w:t>，</w:t>
      </w:r>
      <w:r>
        <w:rPr>
          <w:rFonts w:hint="eastAsia" w:ascii="仿宋_GB2312" w:hAnsi="仿宋" w:cs="宋体"/>
          <w:kern w:val="0"/>
          <w:szCs w:val="28"/>
        </w:rPr>
        <w:t>故资金到位率指标得分</w:t>
      </w:r>
      <w:r>
        <w:rPr>
          <w:rFonts w:hint="eastAsia" w:ascii="仿宋_GB2312" w:hAnsi="仿宋" w:cs="宋体"/>
          <w:kern w:val="0"/>
          <w:szCs w:val="28"/>
          <w:lang w:val="en-US" w:eastAsia="zh-CN"/>
        </w:rPr>
        <w:t xml:space="preserve">  </w:t>
      </w:r>
      <w:r>
        <w:rPr>
          <w:rFonts w:hint="eastAsia" w:ascii="仿宋_GB2312" w:hAnsi="仿宋" w:cs="宋体"/>
          <w:kern w:val="0"/>
          <w:szCs w:val="28"/>
        </w:rPr>
        <w:t>分。</w:t>
      </w:r>
    </w:p>
    <w:p>
      <w:pPr>
        <w:spacing w:line="360" w:lineRule="auto"/>
        <w:ind w:firstLine="560"/>
        <w:rPr>
          <w:rFonts w:ascii="仿宋_GB2312"/>
          <w:szCs w:val="28"/>
        </w:rPr>
      </w:pPr>
    </w:p>
    <w:p>
      <w:pPr>
        <w:spacing w:line="360" w:lineRule="auto"/>
        <w:ind w:firstLine="560"/>
        <w:rPr>
          <w:rFonts w:ascii="仿宋_GB2312"/>
          <w:szCs w:val="28"/>
        </w:rPr>
      </w:pPr>
    </w:p>
    <w:p>
      <w:pPr>
        <w:spacing w:line="360" w:lineRule="auto"/>
        <w:ind w:firstLine="560"/>
        <w:rPr>
          <w:rFonts w:ascii="仿宋_GB2312"/>
          <w:szCs w:val="28"/>
        </w:rPr>
      </w:pPr>
    </w:p>
    <w:p>
      <w:pPr>
        <w:spacing w:line="360" w:lineRule="auto"/>
        <w:ind w:firstLine="560"/>
        <w:rPr>
          <w:rFonts w:ascii="仿宋_GB2312"/>
          <w:szCs w:val="28"/>
        </w:rPr>
      </w:pPr>
      <w:r>
        <w:rPr>
          <w:rFonts w:ascii="仿宋_GB2312"/>
          <w:szCs w:val="28"/>
        </w:rPr>
        <w:t xml:space="preserve"> </w:t>
      </w:r>
    </w:p>
    <w:p>
      <w:pPr>
        <w:spacing w:line="360" w:lineRule="auto"/>
        <w:ind w:firstLine="562"/>
        <w:rPr>
          <w:rFonts w:ascii="仿宋_GB2312"/>
          <w:szCs w:val="28"/>
        </w:rPr>
      </w:pPr>
      <w:r>
        <w:rPr>
          <w:rFonts w:hint="eastAsia" w:ascii="仿宋_GB2312"/>
          <w:b/>
          <w:bCs/>
          <w:szCs w:val="28"/>
        </w:rPr>
        <w:t>预算执行率：</w:t>
      </w:r>
      <w:r>
        <w:rPr>
          <w:rFonts w:hint="eastAsia"/>
        </w:rPr>
        <w:t>根据乌鲁木齐市财政局《关于下达2021年政府投资计划教育系统（第二批）资金预算的通知》（乌财建[2021]136号）文件精神拨付我校1000万元</w:t>
      </w:r>
      <w:r>
        <w:rPr>
          <w:rFonts w:hint="eastAsia"/>
          <w:lang w:eastAsia="zh-CN"/>
        </w:rPr>
        <w:t>，分别在</w:t>
      </w:r>
      <w:r>
        <w:rPr>
          <w:rFonts w:hint="eastAsia"/>
          <w:lang w:val="en-US" w:eastAsia="zh-CN"/>
        </w:rPr>
        <w:t>2022年6月13日、2022年7月22日、2022年9月29日到位，资金直接支付到建筑单位，预算执行率100%</w:t>
      </w:r>
      <w:r>
        <w:rPr>
          <w:rFonts w:hint="eastAsia"/>
        </w:rPr>
        <w:t>。</w:t>
      </w:r>
      <w:r>
        <w:rPr>
          <w:rFonts w:hint="eastAsia" w:ascii="仿宋_GB2312"/>
          <w:szCs w:val="28"/>
        </w:rPr>
        <w:t>故预算执行率得分为</w:t>
      </w:r>
      <w:r>
        <w:rPr>
          <w:rFonts w:hint="eastAsia" w:ascii="仿宋_GB2312"/>
          <w:szCs w:val="28"/>
          <w:lang w:val="en-US" w:eastAsia="zh-CN"/>
        </w:rPr>
        <w:t>3</w:t>
      </w:r>
      <w:r>
        <w:rPr>
          <w:rFonts w:hint="eastAsia" w:ascii="仿宋_GB2312"/>
          <w:szCs w:val="28"/>
        </w:rPr>
        <w:t>分。</w:t>
      </w:r>
    </w:p>
    <w:p>
      <w:pPr>
        <w:spacing w:line="360" w:lineRule="auto"/>
        <w:ind w:firstLine="562"/>
        <w:rPr>
          <w:rFonts w:ascii="仿宋_GB2312"/>
          <w:b/>
          <w:bCs/>
          <w:szCs w:val="28"/>
        </w:rPr>
      </w:pPr>
    </w:p>
    <w:p>
      <w:pPr>
        <w:spacing w:line="360" w:lineRule="auto"/>
        <w:ind w:firstLine="562"/>
        <w:rPr>
          <w:rFonts w:ascii="仿宋_GB2312"/>
          <w:szCs w:val="28"/>
        </w:rPr>
      </w:pPr>
      <w:r>
        <w:rPr>
          <w:rFonts w:hint="eastAsia" w:ascii="仿宋_GB2312"/>
          <w:b/>
          <w:bCs/>
          <w:szCs w:val="28"/>
        </w:rPr>
        <w:t>资金使用合规性：</w:t>
      </w:r>
      <w:r>
        <w:rPr>
          <w:rFonts w:hint="eastAsia" w:ascii="仿宋_GB2312"/>
          <w:szCs w:val="28"/>
        </w:rPr>
        <w:t>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w:t>
      </w:r>
    </w:p>
    <w:p>
      <w:pPr>
        <w:autoSpaceDE w:val="0"/>
        <w:spacing w:line="600" w:lineRule="exact"/>
        <w:ind w:firstLine="562"/>
        <w:rPr>
          <w:rFonts w:ascii="仿宋_GB2312" w:hAnsi="仿宋" w:cs="宋体"/>
          <w:b/>
          <w:kern w:val="0"/>
          <w:szCs w:val="28"/>
          <w:highlight w:val="none"/>
        </w:rPr>
      </w:pPr>
      <w:r>
        <w:rPr>
          <w:rFonts w:hint="eastAsia" w:ascii="仿宋_GB2312" w:hAnsi="仿宋" w:cs="宋体"/>
          <w:b/>
          <w:kern w:val="0"/>
          <w:szCs w:val="28"/>
          <w:highlight w:val="none"/>
        </w:rPr>
        <w:t>综上，该指标满分</w:t>
      </w:r>
      <w:r>
        <w:rPr>
          <w:rFonts w:ascii="仿宋_GB2312" w:hAnsi="仿宋" w:cs="宋体"/>
          <w:b/>
          <w:kern w:val="0"/>
          <w:szCs w:val="28"/>
          <w:highlight w:val="none"/>
        </w:rPr>
        <w:t>13</w:t>
      </w:r>
      <w:r>
        <w:rPr>
          <w:rFonts w:hint="eastAsia" w:ascii="仿宋_GB2312" w:hAnsi="仿宋" w:cs="宋体"/>
          <w:b/>
          <w:kern w:val="0"/>
          <w:szCs w:val="28"/>
          <w:highlight w:val="none"/>
        </w:rPr>
        <w:t>分，得分</w:t>
      </w:r>
      <w:r>
        <w:rPr>
          <w:rFonts w:hint="eastAsia" w:ascii="仿宋_GB2312" w:hAnsi="仿宋" w:cs="宋体"/>
          <w:b/>
          <w:kern w:val="0"/>
          <w:szCs w:val="28"/>
          <w:highlight w:val="none"/>
          <w:lang w:val="en-US" w:eastAsia="zh-CN"/>
        </w:rPr>
        <w:t xml:space="preserve">  </w:t>
      </w:r>
      <w:r>
        <w:rPr>
          <w:rFonts w:hint="eastAsia" w:ascii="仿宋_GB2312" w:hAnsi="仿宋" w:cs="宋体"/>
          <w:b/>
          <w:kern w:val="0"/>
          <w:szCs w:val="28"/>
          <w:highlight w:val="none"/>
        </w:rPr>
        <w:t>分。</w:t>
      </w:r>
    </w:p>
    <w:p>
      <w:pPr>
        <w:pStyle w:val="4"/>
        <w:ind w:firstLine="643"/>
      </w:pPr>
      <w:bookmarkStart w:id="39" w:name="_Toc100784606"/>
      <w:r>
        <w:t>2.</w:t>
      </w:r>
      <w:r>
        <w:rPr>
          <w:rFonts w:hint="eastAsia"/>
        </w:rPr>
        <w:t>组织实施</w:t>
      </w:r>
      <w:bookmarkEnd w:id="39"/>
    </w:p>
    <w:p>
      <w:pPr>
        <w:spacing w:line="360" w:lineRule="auto"/>
        <w:ind w:firstLine="562"/>
        <w:rPr>
          <w:rFonts w:ascii="仿宋_GB2312"/>
          <w:szCs w:val="28"/>
        </w:rPr>
      </w:pPr>
      <w:r>
        <w:rPr>
          <w:rFonts w:hint="eastAsia" w:ascii="仿宋_GB2312"/>
          <w:b/>
          <w:bCs/>
          <w:szCs w:val="28"/>
        </w:rPr>
        <w:t>管理制度健全性</w:t>
      </w:r>
      <w:r>
        <w:rPr>
          <w:rFonts w:hint="eastAsia" w:ascii="仿宋_GB2312"/>
          <w:szCs w:val="28"/>
        </w:rPr>
        <w:t>：</w:t>
      </w:r>
      <w:r>
        <w:rPr>
          <w:rFonts w:hint="eastAsia" w:ascii="仿宋_GB2312"/>
          <w:szCs w:val="28"/>
          <w:lang w:eastAsia="zh-CN"/>
        </w:rPr>
        <w:t>乌鲁木齐市第六十一中学</w:t>
      </w:r>
      <w:r>
        <w:rPr>
          <w:rFonts w:hint="eastAsia" w:ascii="仿宋_GB2312"/>
          <w:szCs w:val="28"/>
        </w:rPr>
        <w:t>已制定相应的财务和业务管理制度，且制度合法、合规、完整，为项目顺利实施提供重要保障。故管理制度健全性得分为3分。</w:t>
      </w:r>
    </w:p>
    <w:p>
      <w:pPr>
        <w:spacing w:line="360" w:lineRule="auto"/>
        <w:ind w:firstLine="562"/>
        <w:rPr>
          <w:rFonts w:ascii="仿宋_GB2312"/>
          <w:szCs w:val="28"/>
          <w:highlight w:val="none"/>
        </w:rPr>
      </w:pPr>
      <w:r>
        <w:rPr>
          <w:rFonts w:hint="eastAsia" w:ascii="仿宋_GB2312"/>
          <w:b/>
          <w:bCs/>
          <w:szCs w:val="28"/>
          <w:highlight w:val="none"/>
        </w:rPr>
        <w:t>制度执行有效性：</w:t>
      </w:r>
      <w:r>
        <w:rPr>
          <w:rFonts w:hint="eastAsia" w:ascii="仿宋_GB2312"/>
          <w:szCs w:val="28"/>
          <w:highlight w:val="none"/>
        </w:rPr>
        <w:t>根据现场调研和资料抽查情况，乌鲁木齐市第六十一中学严格遵守相关法律法规和相关管理规定，项目调整及支出调整手续完备，整体管理合理有序，项目完成后，及时将会计凭证、固定资产入库单等相关资料分类归档，制度执行有效。故制度执行有效性指标得分</w:t>
      </w:r>
      <w:r>
        <w:rPr>
          <w:rFonts w:ascii="仿宋_GB2312"/>
          <w:szCs w:val="28"/>
          <w:highlight w:val="none"/>
        </w:rPr>
        <w:t>4</w:t>
      </w:r>
      <w:r>
        <w:rPr>
          <w:rFonts w:hint="eastAsia" w:ascii="仿宋_GB2312"/>
          <w:szCs w:val="28"/>
          <w:highlight w:val="none"/>
        </w:rPr>
        <w:t>分。</w:t>
      </w:r>
    </w:p>
    <w:p>
      <w:pPr>
        <w:autoSpaceDE w:val="0"/>
        <w:spacing w:line="600" w:lineRule="exact"/>
        <w:ind w:firstLine="562"/>
        <w:rPr>
          <w:rFonts w:ascii="仿宋_GB2312" w:hAnsi="仿宋" w:cs="宋体"/>
          <w:b/>
          <w:kern w:val="0"/>
          <w:szCs w:val="28"/>
        </w:rPr>
      </w:pPr>
      <w:bookmarkStart w:id="40" w:name="_Hlk67670213"/>
      <w:r>
        <w:rPr>
          <w:rFonts w:hint="eastAsia" w:ascii="仿宋_GB2312" w:hAnsi="仿宋" w:cs="宋体"/>
          <w:b/>
          <w:kern w:val="0"/>
          <w:szCs w:val="28"/>
        </w:rPr>
        <w:t>综上，该指标满分</w:t>
      </w:r>
      <w:r>
        <w:rPr>
          <w:rFonts w:ascii="仿宋_GB2312" w:hAnsi="仿宋" w:cs="宋体"/>
          <w:b/>
          <w:kern w:val="0"/>
          <w:szCs w:val="28"/>
        </w:rPr>
        <w:t>7</w:t>
      </w:r>
      <w:r>
        <w:rPr>
          <w:rFonts w:hint="eastAsia" w:ascii="仿宋_GB2312" w:hAnsi="仿宋" w:cs="宋体"/>
          <w:b/>
          <w:kern w:val="0"/>
          <w:szCs w:val="28"/>
        </w:rPr>
        <w:t>分，得分</w:t>
      </w:r>
      <w:r>
        <w:rPr>
          <w:rFonts w:ascii="仿宋_GB2312" w:hAnsi="仿宋" w:cs="宋体"/>
          <w:b/>
          <w:kern w:val="0"/>
          <w:szCs w:val="28"/>
        </w:rPr>
        <w:t>7</w:t>
      </w:r>
      <w:r>
        <w:rPr>
          <w:rFonts w:hint="eastAsia" w:ascii="仿宋_GB2312" w:hAnsi="仿宋" w:cs="宋体"/>
          <w:b/>
          <w:kern w:val="0"/>
          <w:szCs w:val="28"/>
        </w:rPr>
        <w:t>分。</w:t>
      </w:r>
    </w:p>
    <w:bookmarkEnd w:id="40"/>
    <w:p>
      <w:pPr>
        <w:pStyle w:val="3"/>
        <w:ind w:firstLine="643"/>
        <w:rPr>
          <w:rFonts w:ascii="仿宋" w:hAnsi="仿宋" w:eastAsia="仿宋"/>
          <w:lang w:bidi="en-US"/>
        </w:rPr>
      </w:pPr>
      <w:bookmarkStart w:id="41" w:name="_Toc67911614"/>
      <w:bookmarkStart w:id="42" w:name="_Toc100784607"/>
      <w:r>
        <w:rPr>
          <w:rFonts w:hint="eastAsia" w:ascii="仿宋" w:hAnsi="仿宋" w:eastAsia="仿宋"/>
          <w:lang w:bidi="en-US"/>
        </w:rPr>
        <w:t>（三）项目产出情况</w:t>
      </w:r>
      <w:bookmarkEnd w:id="41"/>
      <w:bookmarkEnd w:id="42"/>
    </w:p>
    <w:p>
      <w:pPr>
        <w:spacing w:line="360" w:lineRule="auto"/>
        <w:ind w:firstLine="560"/>
        <w:rPr>
          <w:rFonts w:ascii="仿宋_GB2312"/>
          <w:szCs w:val="28"/>
          <w:highlight w:val="none"/>
        </w:rPr>
      </w:pPr>
      <w:r>
        <w:rPr>
          <w:rFonts w:hint="eastAsia" w:ascii="仿宋_GB2312"/>
          <w:szCs w:val="28"/>
          <w:highlight w:val="none"/>
        </w:rPr>
        <w:t>项目产出指标由</w:t>
      </w:r>
      <w:r>
        <w:rPr>
          <w:rFonts w:ascii="仿宋_GB2312"/>
          <w:szCs w:val="28"/>
          <w:highlight w:val="none"/>
        </w:rPr>
        <w:t>4</w:t>
      </w:r>
      <w:r>
        <w:rPr>
          <w:rFonts w:hint="eastAsia" w:ascii="仿宋_GB2312"/>
          <w:szCs w:val="28"/>
          <w:highlight w:val="none"/>
        </w:rPr>
        <w:t>个二级指标和</w:t>
      </w:r>
      <w:r>
        <w:rPr>
          <w:rFonts w:ascii="仿宋_GB2312"/>
          <w:szCs w:val="28"/>
          <w:highlight w:val="none"/>
        </w:rPr>
        <w:t>4</w:t>
      </w:r>
      <w:r>
        <w:rPr>
          <w:rFonts w:hint="eastAsia" w:ascii="仿宋_GB2312"/>
          <w:szCs w:val="28"/>
          <w:highlight w:val="none"/>
        </w:rPr>
        <w:t>个三级指标构成，权重为</w:t>
      </w:r>
      <w:r>
        <w:rPr>
          <w:rFonts w:ascii="仿宋_GB2312"/>
          <w:szCs w:val="28"/>
          <w:highlight w:val="none"/>
        </w:rPr>
        <w:t>40</w:t>
      </w:r>
      <w:r>
        <w:rPr>
          <w:rFonts w:hint="eastAsia" w:ascii="仿宋_GB2312"/>
          <w:szCs w:val="28"/>
          <w:highlight w:val="none"/>
        </w:rPr>
        <w:t>分，实际得分</w:t>
      </w:r>
      <w:r>
        <w:rPr>
          <w:rFonts w:hint="eastAsia" w:ascii="仿宋_GB2312"/>
          <w:szCs w:val="28"/>
          <w:highlight w:val="none"/>
          <w:lang w:val="en-US" w:eastAsia="zh-CN"/>
        </w:rPr>
        <w:t>34</w:t>
      </w:r>
      <w:r>
        <w:rPr>
          <w:rFonts w:hint="eastAsia" w:ascii="仿宋_GB2312"/>
          <w:szCs w:val="28"/>
          <w:highlight w:val="none"/>
        </w:rPr>
        <w:t>分。</w:t>
      </w:r>
    </w:p>
    <w:p>
      <w:pPr>
        <w:pStyle w:val="4"/>
        <w:ind w:firstLine="643"/>
        <w:rPr>
          <w:highlight w:val="none"/>
        </w:rPr>
      </w:pPr>
      <w:bookmarkStart w:id="43" w:name="_Toc100784608"/>
      <w:r>
        <w:rPr>
          <w:rFonts w:hint="eastAsia"/>
          <w:highlight w:val="none"/>
        </w:rPr>
        <w:t>1</w:t>
      </w:r>
      <w:r>
        <w:rPr>
          <w:highlight w:val="none"/>
        </w:rPr>
        <w:t>.</w:t>
      </w:r>
      <w:r>
        <w:rPr>
          <w:rFonts w:hint="eastAsia"/>
          <w:highlight w:val="none"/>
        </w:rPr>
        <w:t>产出数量</w:t>
      </w:r>
      <w:bookmarkEnd w:id="43"/>
    </w:p>
    <w:p>
      <w:pPr>
        <w:spacing w:line="360" w:lineRule="auto"/>
        <w:ind w:firstLine="560"/>
        <w:rPr>
          <w:rFonts w:hint="eastAsia" w:ascii="仿宋_GB2312" w:eastAsia="仿宋_GB2312"/>
          <w:bCs/>
          <w:szCs w:val="28"/>
          <w:lang w:eastAsia="zh-CN"/>
        </w:rPr>
      </w:pPr>
      <w:r>
        <w:rPr>
          <w:rFonts w:hint="eastAsia" w:ascii="仿宋_GB2312"/>
          <w:bCs/>
          <w:szCs w:val="28"/>
        </w:rPr>
        <w:t>数量指标“</w:t>
      </w:r>
      <w:r>
        <w:rPr>
          <w:rFonts w:hint="eastAsia" w:ascii="仿宋_GB2312"/>
          <w:bCs/>
          <w:szCs w:val="28"/>
          <w:lang w:eastAsia="zh-CN"/>
        </w:rPr>
        <w:t>标准宿舍楼</w:t>
      </w:r>
      <w:r>
        <w:rPr>
          <w:rFonts w:hint="eastAsia" w:ascii="仿宋_GB2312"/>
          <w:bCs/>
          <w:szCs w:val="28"/>
        </w:rPr>
        <w:t>”的目标值是</w:t>
      </w:r>
      <w:r>
        <w:rPr>
          <w:rFonts w:hint="eastAsia" w:ascii="仿宋_GB2312"/>
          <w:bCs/>
          <w:szCs w:val="28"/>
          <w:lang w:val="en-US" w:eastAsia="zh-CN"/>
        </w:rPr>
        <w:t>2栋</w:t>
      </w:r>
      <w:r>
        <w:rPr>
          <w:rFonts w:hint="eastAsia" w:ascii="仿宋_GB2312"/>
          <w:bCs/>
          <w:szCs w:val="28"/>
        </w:rPr>
        <w:t>，2</w:t>
      </w:r>
      <w:r>
        <w:rPr>
          <w:rFonts w:ascii="仿宋_GB2312"/>
          <w:bCs/>
          <w:szCs w:val="28"/>
        </w:rPr>
        <w:t>021年度我单位实际完成</w:t>
      </w:r>
      <w:r>
        <w:rPr>
          <w:rFonts w:hint="eastAsia" w:ascii="仿宋_GB2312"/>
          <w:bCs/>
          <w:szCs w:val="28"/>
          <w:lang w:val="en-US" w:eastAsia="zh-CN"/>
        </w:rPr>
        <w:t>2栋，实际完成率100%，故标准宿舍楼得分  分。</w:t>
      </w:r>
      <w:r>
        <w:rPr>
          <w:rFonts w:hint="eastAsia" w:ascii="仿宋_GB2312"/>
          <w:bCs/>
          <w:szCs w:val="28"/>
          <w:lang w:eastAsia="zh-CN"/>
        </w:rPr>
        <w:t>。</w:t>
      </w:r>
    </w:p>
    <w:p>
      <w:pPr>
        <w:spacing w:line="360" w:lineRule="auto"/>
        <w:ind w:firstLine="560"/>
        <w:rPr>
          <w:rFonts w:hint="default" w:ascii="仿宋_GB2312" w:eastAsia="仿宋_GB2312"/>
          <w:bCs/>
          <w:szCs w:val="28"/>
          <w:highlight w:val="none"/>
          <w:lang w:val="en-US" w:eastAsia="zh-CN"/>
        </w:rPr>
      </w:pPr>
      <w:r>
        <w:rPr>
          <w:rFonts w:hint="eastAsia" w:ascii="仿宋_GB2312"/>
          <w:bCs/>
          <w:szCs w:val="28"/>
          <w:highlight w:val="none"/>
        </w:rPr>
        <w:t>数量指标“标准</w:t>
      </w:r>
      <w:r>
        <w:rPr>
          <w:rFonts w:hint="eastAsia" w:ascii="仿宋_GB2312"/>
          <w:bCs/>
          <w:szCs w:val="28"/>
          <w:highlight w:val="none"/>
          <w:lang w:eastAsia="zh-CN"/>
        </w:rPr>
        <w:t>食堂楼</w:t>
      </w:r>
      <w:r>
        <w:rPr>
          <w:rFonts w:hint="eastAsia" w:ascii="仿宋_GB2312"/>
          <w:bCs/>
          <w:szCs w:val="28"/>
          <w:highlight w:val="none"/>
        </w:rPr>
        <w:t>”的目标值是</w:t>
      </w:r>
      <w:r>
        <w:rPr>
          <w:rFonts w:hint="eastAsia" w:ascii="仿宋_GB2312"/>
          <w:bCs/>
          <w:szCs w:val="28"/>
          <w:highlight w:val="none"/>
          <w:lang w:val="en-US" w:eastAsia="zh-CN"/>
        </w:rPr>
        <w:t>1栋</w:t>
      </w:r>
      <w:r>
        <w:rPr>
          <w:rFonts w:hint="eastAsia" w:ascii="仿宋_GB2312"/>
          <w:bCs/>
          <w:szCs w:val="28"/>
          <w:highlight w:val="none"/>
        </w:rPr>
        <w:t>，</w:t>
      </w:r>
      <w:r>
        <w:rPr>
          <w:rFonts w:ascii="仿宋_GB2312"/>
          <w:bCs/>
          <w:szCs w:val="28"/>
          <w:highlight w:val="none"/>
        </w:rPr>
        <w:t>2021年度我单位</w:t>
      </w:r>
      <w:r>
        <w:rPr>
          <w:rFonts w:hint="eastAsia" w:ascii="仿宋_GB2312"/>
          <w:bCs/>
          <w:szCs w:val="28"/>
          <w:highlight w:val="none"/>
          <w:lang w:eastAsia="zh-CN"/>
        </w:rPr>
        <w:t>实际完成</w:t>
      </w:r>
      <w:r>
        <w:rPr>
          <w:rFonts w:hint="eastAsia" w:ascii="仿宋_GB2312"/>
          <w:bCs/>
          <w:szCs w:val="28"/>
          <w:highlight w:val="none"/>
          <w:lang w:val="en-US" w:eastAsia="zh-CN"/>
        </w:rPr>
        <w:t>1栋。</w:t>
      </w:r>
    </w:p>
    <w:p>
      <w:pPr>
        <w:spacing w:line="360" w:lineRule="auto"/>
        <w:ind w:firstLine="562"/>
        <w:rPr>
          <w:rFonts w:hint="eastAsia" w:ascii="仿宋_GB2312"/>
          <w:bCs/>
          <w:szCs w:val="28"/>
          <w:highlight w:val="none"/>
          <w:lang w:val="en-US" w:eastAsia="zh-CN"/>
        </w:rPr>
      </w:pPr>
      <w:r>
        <w:rPr>
          <w:rFonts w:hint="eastAsia" w:ascii="仿宋_GB2312"/>
          <w:bCs/>
          <w:szCs w:val="28"/>
          <w:highlight w:val="none"/>
        </w:rPr>
        <w:t>数量指标“总建设面积”的目标值是</w:t>
      </w:r>
      <w:r>
        <w:rPr>
          <w:rFonts w:hint="eastAsia" w:ascii="仿宋_GB2312"/>
          <w:bCs/>
          <w:szCs w:val="28"/>
          <w:highlight w:val="none"/>
          <w:lang w:val="en-US" w:eastAsia="zh-CN"/>
        </w:rPr>
        <w:t>15500平方米</w:t>
      </w:r>
      <w:r>
        <w:rPr>
          <w:rFonts w:hint="eastAsia" w:ascii="仿宋_GB2312"/>
          <w:bCs/>
          <w:szCs w:val="28"/>
          <w:highlight w:val="none"/>
        </w:rPr>
        <w:t>，</w:t>
      </w:r>
      <w:r>
        <w:rPr>
          <w:rFonts w:ascii="仿宋_GB2312"/>
          <w:bCs/>
          <w:szCs w:val="28"/>
          <w:highlight w:val="none"/>
        </w:rPr>
        <w:t>2021年度我单位</w:t>
      </w:r>
      <w:r>
        <w:rPr>
          <w:rFonts w:hint="eastAsia" w:ascii="仿宋_GB2312"/>
          <w:bCs/>
          <w:szCs w:val="28"/>
          <w:highlight w:val="none"/>
          <w:lang w:val="en-US" w:eastAsia="zh-CN"/>
        </w:rPr>
        <w:t>15500平方米。</w:t>
      </w:r>
    </w:p>
    <w:p>
      <w:pPr>
        <w:pStyle w:val="4"/>
        <w:ind w:firstLine="643"/>
        <w:rPr>
          <w:highlight w:val="none"/>
        </w:rPr>
      </w:pPr>
      <w:bookmarkStart w:id="44" w:name="_Toc100784609"/>
      <w:r>
        <w:rPr>
          <w:rFonts w:hint="eastAsia"/>
          <w:highlight w:val="none"/>
        </w:rPr>
        <w:t>2</w:t>
      </w:r>
      <w:r>
        <w:rPr>
          <w:highlight w:val="none"/>
        </w:rPr>
        <w:t>.</w:t>
      </w:r>
      <w:r>
        <w:rPr>
          <w:rFonts w:hint="eastAsia"/>
          <w:highlight w:val="none"/>
        </w:rPr>
        <w:t>产出质量</w:t>
      </w:r>
      <w:bookmarkEnd w:id="44"/>
    </w:p>
    <w:p>
      <w:pPr>
        <w:spacing w:line="360" w:lineRule="auto"/>
        <w:ind w:firstLine="562"/>
        <w:rPr>
          <w:rFonts w:ascii="仿宋_GB2312"/>
          <w:szCs w:val="28"/>
          <w:highlight w:val="none"/>
        </w:rPr>
      </w:pPr>
      <w:r>
        <w:rPr>
          <w:rFonts w:hint="eastAsia" w:ascii="仿宋_GB2312"/>
          <w:b/>
          <w:bCs/>
          <w:szCs w:val="28"/>
          <w:highlight w:val="none"/>
        </w:rPr>
        <w:t>工程验收率：</w:t>
      </w:r>
      <w:r>
        <w:rPr>
          <w:rFonts w:hint="eastAsia" w:ascii="仿宋_GB2312" w:hAnsi="Calibri" w:eastAsia="仿宋_GB2312" w:cs="黑体"/>
          <w:kern w:val="2"/>
          <w:sz w:val="28"/>
          <w:szCs w:val="28"/>
          <w:highlight w:val="none"/>
          <w:lang w:val="en-US" w:eastAsia="zh-CN" w:bidi="ar-SA"/>
        </w:rPr>
        <w:t>我单位在项目</w:t>
      </w:r>
      <w:r>
        <w:rPr>
          <w:rFonts w:hint="eastAsia" w:ascii="仿宋_GB2312" w:cs="黑体"/>
          <w:kern w:val="2"/>
          <w:sz w:val="28"/>
          <w:szCs w:val="28"/>
          <w:highlight w:val="none"/>
          <w:lang w:val="en-US" w:eastAsia="zh-CN" w:bidi="ar-SA"/>
        </w:rPr>
        <w:t>主体</w:t>
      </w:r>
      <w:r>
        <w:rPr>
          <w:rFonts w:hint="eastAsia" w:ascii="仿宋_GB2312" w:hAnsi="Calibri" w:eastAsia="仿宋_GB2312" w:cs="黑体"/>
          <w:kern w:val="2"/>
          <w:sz w:val="28"/>
          <w:szCs w:val="28"/>
          <w:highlight w:val="none"/>
          <w:lang w:val="en-US" w:eastAsia="zh-CN" w:bidi="ar-SA"/>
        </w:rPr>
        <w:t>完工后，根据合同约定，</w:t>
      </w:r>
      <w:r>
        <w:rPr>
          <w:rFonts w:hint="eastAsia" w:ascii="仿宋_GB2312" w:cs="黑体"/>
          <w:kern w:val="2"/>
          <w:sz w:val="28"/>
          <w:szCs w:val="28"/>
          <w:highlight w:val="none"/>
          <w:lang w:val="en-US" w:eastAsia="zh-CN" w:bidi="ar-SA"/>
        </w:rPr>
        <w:t>主体工程完成后</w:t>
      </w:r>
      <w:r>
        <w:rPr>
          <w:rFonts w:hint="eastAsia" w:ascii="仿宋_GB2312" w:hAnsi="Calibri" w:eastAsia="仿宋_GB2312" w:cs="黑体"/>
          <w:kern w:val="2"/>
          <w:sz w:val="28"/>
          <w:szCs w:val="28"/>
          <w:highlight w:val="none"/>
          <w:lang w:val="en-US" w:eastAsia="zh-CN" w:bidi="ar-SA"/>
        </w:rPr>
        <w:t>及时</w:t>
      </w:r>
      <w:r>
        <w:rPr>
          <w:rFonts w:hint="eastAsia" w:ascii="仿宋_GB2312" w:cs="黑体"/>
          <w:kern w:val="2"/>
          <w:sz w:val="28"/>
          <w:szCs w:val="28"/>
          <w:highlight w:val="none"/>
          <w:lang w:val="en-US" w:eastAsia="zh-CN" w:bidi="ar-SA"/>
        </w:rPr>
        <w:t>竣工验收并出具验收合格报告</w:t>
      </w:r>
      <w:r>
        <w:rPr>
          <w:rFonts w:hint="eastAsia" w:ascii="仿宋_GB2312" w:hAnsi="Calibri" w:eastAsia="仿宋_GB2312" w:cs="黑体"/>
          <w:kern w:val="2"/>
          <w:sz w:val="28"/>
          <w:szCs w:val="28"/>
          <w:highlight w:val="none"/>
          <w:lang w:val="en-US" w:eastAsia="zh-CN" w:bidi="ar-SA"/>
        </w:rPr>
        <w:t>，并于</w:t>
      </w:r>
      <w:r>
        <w:rPr>
          <w:rFonts w:hint="eastAsia" w:ascii="仿宋_GB2312" w:cs="黑体"/>
          <w:kern w:val="2"/>
          <w:sz w:val="28"/>
          <w:szCs w:val="28"/>
          <w:highlight w:val="none"/>
          <w:lang w:val="en-US" w:eastAsia="zh-CN" w:bidi="ar-SA"/>
        </w:rPr>
        <w:t>2021</w:t>
      </w:r>
      <w:r>
        <w:rPr>
          <w:rFonts w:hint="eastAsia" w:ascii="仿宋_GB2312" w:hAnsi="Calibri" w:eastAsia="仿宋_GB2312" w:cs="黑体"/>
          <w:kern w:val="2"/>
          <w:sz w:val="28"/>
          <w:szCs w:val="28"/>
          <w:highlight w:val="none"/>
          <w:lang w:val="en-US" w:eastAsia="zh-CN" w:bidi="ar-SA"/>
        </w:rPr>
        <w:t>年</w:t>
      </w:r>
      <w:r>
        <w:rPr>
          <w:rFonts w:hint="eastAsia" w:ascii="仿宋_GB2312" w:cs="黑体"/>
          <w:kern w:val="2"/>
          <w:sz w:val="28"/>
          <w:szCs w:val="28"/>
          <w:highlight w:val="none"/>
          <w:lang w:val="en-US" w:eastAsia="zh-CN" w:bidi="ar-SA"/>
        </w:rPr>
        <w:t>11</w:t>
      </w:r>
      <w:r>
        <w:rPr>
          <w:rFonts w:hint="eastAsia" w:ascii="仿宋_GB2312" w:hAnsi="Calibri" w:eastAsia="仿宋_GB2312" w:cs="黑体"/>
          <w:kern w:val="2"/>
          <w:sz w:val="28"/>
          <w:szCs w:val="28"/>
          <w:highlight w:val="none"/>
          <w:lang w:val="en-US" w:eastAsia="zh-CN" w:bidi="ar-SA"/>
        </w:rPr>
        <w:t>月</w:t>
      </w:r>
      <w:r>
        <w:rPr>
          <w:rFonts w:hint="eastAsia" w:ascii="仿宋_GB2312" w:cs="黑体"/>
          <w:kern w:val="2"/>
          <w:sz w:val="28"/>
          <w:szCs w:val="28"/>
          <w:highlight w:val="none"/>
          <w:lang w:val="en-US" w:eastAsia="zh-CN" w:bidi="ar-SA"/>
        </w:rPr>
        <w:t>16</w:t>
      </w:r>
      <w:r>
        <w:rPr>
          <w:rFonts w:hint="eastAsia" w:ascii="仿宋_GB2312" w:hAnsi="Calibri" w:eastAsia="仿宋_GB2312" w:cs="黑体"/>
          <w:kern w:val="2"/>
          <w:sz w:val="28"/>
          <w:szCs w:val="28"/>
          <w:highlight w:val="none"/>
          <w:lang w:val="en-US" w:eastAsia="zh-CN" w:bidi="ar-SA"/>
        </w:rPr>
        <w:t>日将</w:t>
      </w:r>
      <w:r>
        <w:rPr>
          <w:rFonts w:hint="eastAsia" w:ascii="仿宋_GB2312" w:cs="黑体"/>
          <w:kern w:val="2"/>
          <w:sz w:val="28"/>
          <w:szCs w:val="28"/>
          <w:highlight w:val="none"/>
          <w:lang w:val="en-US" w:eastAsia="zh-CN" w:bidi="ar-SA"/>
        </w:rPr>
        <w:t>竣工验收报告完成</w:t>
      </w:r>
      <w:r>
        <w:rPr>
          <w:rFonts w:hint="eastAsia" w:ascii="仿宋_GB2312" w:hAnsi="Calibri" w:eastAsia="仿宋_GB2312" w:cs="黑体"/>
          <w:kern w:val="2"/>
          <w:sz w:val="28"/>
          <w:szCs w:val="28"/>
          <w:highlight w:val="none"/>
          <w:lang w:val="en-US" w:eastAsia="zh-CN" w:bidi="ar-SA"/>
        </w:rPr>
        <w:t>。“</w:t>
      </w:r>
      <w:r>
        <w:rPr>
          <w:rFonts w:hint="eastAsia" w:ascii="仿宋_GB2312" w:cs="黑体"/>
          <w:kern w:val="2"/>
          <w:sz w:val="28"/>
          <w:szCs w:val="28"/>
          <w:highlight w:val="none"/>
          <w:lang w:val="en-US" w:eastAsia="zh-CN" w:bidi="ar-SA"/>
        </w:rPr>
        <w:t>工程验收率</w:t>
      </w:r>
      <w:r>
        <w:rPr>
          <w:rFonts w:hint="eastAsia" w:ascii="仿宋_GB2312" w:hAnsi="Calibri" w:eastAsia="仿宋_GB2312" w:cs="黑体"/>
          <w:kern w:val="2"/>
          <w:sz w:val="28"/>
          <w:szCs w:val="28"/>
          <w:highlight w:val="none"/>
          <w:lang w:val="en-US" w:eastAsia="zh-CN" w:bidi="ar-SA"/>
        </w:rPr>
        <w:t>”的目标值为100%</w:t>
      </w:r>
      <w:r>
        <w:rPr>
          <w:rFonts w:hint="eastAsia" w:ascii="仿宋_GB2312" w:cs="黑体"/>
          <w:kern w:val="2"/>
          <w:sz w:val="28"/>
          <w:szCs w:val="28"/>
          <w:highlight w:val="none"/>
          <w:lang w:val="en-US" w:eastAsia="zh-CN" w:bidi="ar-SA"/>
        </w:rPr>
        <w:t>，实际验收率为100%，实际完成率为100%，故工程验收合格</w:t>
      </w:r>
      <w:r>
        <w:rPr>
          <w:rFonts w:hint="eastAsia" w:ascii="仿宋_GB2312"/>
          <w:szCs w:val="28"/>
          <w:highlight w:val="none"/>
        </w:rPr>
        <w:t>率得分为</w:t>
      </w:r>
      <w:r>
        <w:rPr>
          <w:rFonts w:hint="eastAsia" w:ascii="仿宋_GB2312"/>
          <w:szCs w:val="28"/>
          <w:highlight w:val="none"/>
          <w:lang w:val="en-US" w:eastAsia="zh-CN"/>
        </w:rPr>
        <w:t xml:space="preserve">  </w:t>
      </w:r>
      <w:r>
        <w:rPr>
          <w:rFonts w:hint="eastAsia" w:ascii="仿宋_GB2312"/>
          <w:szCs w:val="28"/>
          <w:highlight w:val="none"/>
        </w:rPr>
        <w:t>分。</w:t>
      </w:r>
    </w:p>
    <w:p>
      <w:pPr>
        <w:pStyle w:val="4"/>
        <w:ind w:firstLine="643"/>
      </w:pPr>
      <w:bookmarkStart w:id="45" w:name="_Toc100784610"/>
      <w:r>
        <w:rPr>
          <w:rFonts w:hint="eastAsia"/>
        </w:rPr>
        <w:t>3</w:t>
      </w:r>
      <w:r>
        <w:t>.</w:t>
      </w:r>
      <w:r>
        <w:rPr>
          <w:rFonts w:hint="eastAsia"/>
        </w:rPr>
        <w:t>产出时效</w:t>
      </w:r>
      <w:bookmarkEnd w:id="45"/>
    </w:p>
    <w:p>
      <w:pPr>
        <w:spacing w:line="360" w:lineRule="auto"/>
        <w:ind w:firstLine="562"/>
        <w:rPr>
          <w:rFonts w:ascii="仿宋_GB2312"/>
          <w:b/>
          <w:bCs/>
          <w:szCs w:val="28"/>
          <w:highlight w:val="none"/>
        </w:rPr>
      </w:pPr>
      <w:r>
        <w:rPr>
          <w:rFonts w:hint="eastAsia" w:ascii="仿宋_GB2312"/>
          <w:b/>
          <w:bCs/>
          <w:szCs w:val="28"/>
        </w:rPr>
        <w:t>完成及时性：</w:t>
      </w:r>
    </w:p>
    <w:p>
      <w:pPr>
        <w:spacing w:line="360" w:lineRule="auto"/>
        <w:ind w:firstLine="562"/>
        <w:rPr>
          <w:rFonts w:ascii="仿宋_GB2312"/>
          <w:b/>
          <w:bCs/>
          <w:szCs w:val="28"/>
          <w:highlight w:val="none"/>
        </w:rPr>
      </w:pPr>
      <w:r>
        <w:rPr>
          <w:rFonts w:hint="eastAsia" w:ascii="仿宋_GB2312"/>
          <w:b/>
          <w:bCs/>
          <w:szCs w:val="28"/>
          <w:highlight w:val="none"/>
        </w:rPr>
        <w:t>其中，建设工程开工及时率：</w:t>
      </w:r>
      <w:r>
        <w:rPr>
          <w:rFonts w:hint="eastAsia" w:ascii="仿宋_GB2312"/>
          <w:szCs w:val="28"/>
          <w:highlight w:val="none"/>
        </w:rPr>
        <w:t>本项目按照合同约定，</w:t>
      </w:r>
      <w:r>
        <w:rPr>
          <w:rFonts w:hint="eastAsia" w:ascii="仿宋_GB2312"/>
          <w:szCs w:val="28"/>
          <w:highlight w:val="none"/>
          <w:lang w:eastAsia="zh-CN"/>
        </w:rPr>
        <w:t>实际</w:t>
      </w:r>
      <w:r>
        <w:rPr>
          <w:rFonts w:hint="eastAsia" w:ascii="仿宋_GB2312"/>
          <w:szCs w:val="28"/>
          <w:highlight w:val="none"/>
        </w:rPr>
        <w:t>在规定的时间（</w:t>
      </w:r>
      <w:r>
        <w:rPr>
          <w:rFonts w:hint="eastAsia" w:ascii="仿宋_GB2312"/>
          <w:szCs w:val="28"/>
          <w:highlight w:val="none"/>
          <w:lang w:val="en-US" w:eastAsia="zh-CN"/>
        </w:rPr>
        <w:t>2019</w:t>
      </w:r>
      <w:r>
        <w:rPr>
          <w:rFonts w:hint="eastAsia" w:ascii="仿宋_GB2312"/>
          <w:szCs w:val="28"/>
          <w:highlight w:val="none"/>
        </w:rPr>
        <w:t>年1</w:t>
      </w:r>
      <w:r>
        <w:rPr>
          <w:rFonts w:hint="eastAsia" w:ascii="仿宋_GB2312"/>
          <w:szCs w:val="28"/>
          <w:highlight w:val="none"/>
          <w:lang w:val="en-US" w:eastAsia="zh-CN"/>
        </w:rPr>
        <w:t>0</w:t>
      </w:r>
      <w:r>
        <w:rPr>
          <w:rFonts w:hint="eastAsia" w:ascii="仿宋_GB2312"/>
          <w:szCs w:val="28"/>
          <w:highlight w:val="none"/>
        </w:rPr>
        <w:t>月</w:t>
      </w:r>
      <w:r>
        <w:rPr>
          <w:rFonts w:hint="eastAsia" w:ascii="仿宋_GB2312"/>
          <w:szCs w:val="28"/>
          <w:highlight w:val="none"/>
          <w:lang w:val="en-US" w:eastAsia="zh-CN"/>
        </w:rPr>
        <w:t>05</w:t>
      </w:r>
      <w:r>
        <w:rPr>
          <w:rFonts w:hint="eastAsia" w:ascii="仿宋_GB2312"/>
          <w:szCs w:val="28"/>
          <w:highlight w:val="none"/>
        </w:rPr>
        <w:t>日）</w:t>
      </w:r>
      <w:r>
        <w:rPr>
          <w:rFonts w:hint="eastAsia" w:ascii="仿宋_GB2312"/>
          <w:szCs w:val="28"/>
          <w:highlight w:val="none"/>
          <w:lang w:eastAsia="zh-CN"/>
        </w:rPr>
        <w:t>开工此项目。</w:t>
      </w:r>
    </w:p>
    <w:p>
      <w:pPr>
        <w:spacing w:line="360" w:lineRule="auto"/>
        <w:ind w:firstLine="562"/>
        <w:rPr>
          <w:rFonts w:hint="default" w:ascii="仿宋_GB2312"/>
          <w:szCs w:val="28"/>
          <w:highlight w:val="none"/>
          <w:lang w:val="en-US" w:eastAsia="zh-CN"/>
        </w:rPr>
      </w:pPr>
      <w:r>
        <w:rPr>
          <w:rFonts w:hint="eastAsia" w:ascii="仿宋_GB2312"/>
          <w:b/>
          <w:bCs/>
          <w:szCs w:val="28"/>
          <w:highlight w:val="none"/>
        </w:rPr>
        <w:t>其次，建设工程完工及时率：</w:t>
      </w:r>
      <w:r>
        <w:rPr>
          <w:rFonts w:hint="eastAsia" w:ascii="仿宋_GB2312"/>
          <w:szCs w:val="28"/>
          <w:highlight w:val="none"/>
        </w:rPr>
        <w:t>本项目按照合同约定，</w:t>
      </w:r>
      <w:r>
        <w:rPr>
          <w:rFonts w:hint="eastAsia" w:ascii="仿宋_GB2312"/>
          <w:szCs w:val="28"/>
          <w:highlight w:val="none"/>
          <w:lang w:eastAsia="zh-CN"/>
        </w:rPr>
        <w:t>本因</w:t>
      </w:r>
      <w:r>
        <w:rPr>
          <w:rFonts w:hint="eastAsia" w:ascii="仿宋_GB2312"/>
          <w:szCs w:val="28"/>
          <w:highlight w:val="none"/>
        </w:rPr>
        <w:t>在规定的时间（2</w:t>
      </w:r>
      <w:r>
        <w:rPr>
          <w:rFonts w:ascii="仿宋_GB2312"/>
          <w:szCs w:val="28"/>
          <w:highlight w:val="none"/>
        </w:rPr>
        <w:t>020</w:t>
      </w:r>
      <w:r>
        <w:rPr>
          <w:rFonts w:hint="eastAsia" w:ascii="仿宋_GB2312"/>
          <w:szCs w:val="28"/>
          <w:highlight w:val="none"/>
        </w:rPr>
        <w:t>年1</w:t>
      </w:r>
      <w:r>
        <w:rPr>
          <w:rFonts w:hint="eastAsia" w:ascii="仿宋_GB2312"/>
          <w:szCs w:val="28"/>
          <w:highlight w:val="none"/>
          <w:lang w:val="en-US" w:eastAsia="zh-CN"/>
        </w:rPr>
        <w:t>0</w:t>
      </w:r>
      <w:r>
        <w:rPr>
          <w:rFonts w:hint="eastAsia" w:ascii="仿宋_GB2312"/>
          <w:szCs w:val="28"/>
          <w:highlight w:val="none"/>
        </w:rPr>
        <w:t>月3</w:t>
      </w:r>
      <w:r>
        <w:rPr>
          <w:rFonts w:ascii="仿宋_GB2312"/>
          <w:szCs w:val="28"/>
          <w:highlight w:val="none"/>
        </w:rPr>
        <w:t>1</w:t>
      </w:r>
      <w:r>
        <w:rPr>
          <w:rFonts w:hint="eastAsia" w:ascii="仿宋_GB2312"/>
          <w:szCs w:val="28"/>
          <w:highlight w:val="none"/>
        </w:rPr>
        <w:t>日）</w:t>
      </w:r>
      <w:r>
        <w:rPr>
          <w:rFonts w:hint="eastAsia" w:ascii="仿宋_GB2312"/>
          <w:szCs w:val="28"/>
          <w:highlight w:val="none"/>
          <w:lang w:eastAsia="zh-CN"/>
        </w:rPr>
        <w:t>完成此项目，但我单位新建学生宿舍一体楼因为</w:t>
      </w:r>
      <w:r>
        <w:rPr>
          <w:rFonts w:hint="eastAsia" w:ascii="仿宋_GB2312"/>
          <w:szCs w:val="28"/>
          <w:highlight w:val="none"/>
          <w:lang w:val="en-US" w:eastAsia="zh-CN"/>
        </w:rPr>
        <w:t>疫情及天气原因影响</w:t>
      </w:r>
      <w:r>
        <w:rPr>
          <w:rFonts w:hint="eastAsia" w:ascii="仿宋_GB2312"/>
          <w:szCs w:val="28"/>
          <w:highlight w:val="none"/>
        </w:rPr>
        <w:t>，</w:t>
      </w:r>
      <w:r>
        <w:rPr>
          <w:rFonts w:hint="eastAsia" w:ascii="仿宋_GB2312"/>
          <w:szCs w:val="28"/>
          <w:highlight w:val="none"/>
          <w:lang w:eastAsia="zh-CN"/>
        </w:rPr>
        <w:t>完成主体工程，而室外路面、花岗岩铺设附属工程未完成。（</w:t>
      </w:r>
      <w:r>
        <w:rPr>
          <w:rFonts w:hint="eastAsia" w:ascii="仿宋_GB2312"/>
          <w:szCs w:val="28"/>
          <w:highlight w:val="none"/>
          <w:lang w:val="en-US" w:eastAsia="zh-CN"/>
        </w:rPr>
        <w:t>完成率不为100%，需写明原因）</w:t>
      </w:r>
    </w:p>
    <w:p>
      <w:pPr>
        <w:spacing w:line="360" w:lineRule="auto"/>
        <w:ind w:firstLine="562"/>
        <w:rPr>
          <w:rFonts w:ascii="仿宋_GB2312"/>
          <w:b/>
          <w:bCs/>
          <w:szCs w:val="28"/>
          <w:highlight w:val="none"/>
        </w:rPr>
      </w:pPr>
      <w:r>
        <w:rPr>
          <w:rFonts w:hint="eastAsia" w:ascii="仿宋_GB2312"/>
          <w:szCs w:val="28"/>
          <w:highlight w:val="none"/>
        </w:rPr>
        <w:t>故完成及时性得分为</w:t>
      </w:r>
      <w:r>
        <w:rPr>
          <w:rFonts w:hint="eastAsia" w:ascii="仿宋_GB2312"/>
          <w:szCs w:val="28"/>
          <w:highlight w:val="none"/>
          <w:lang w:val="en-US" w:eastAsia="zh-CN"/>
        </w:rPr>
        <w:t>7</w:t>
      </w:r>
      <w:r>
        <w:rPr>
          <w:rFonts w:hint="eastAsia" w:ascii="仿宋_GB2312"/>
          <w:szCs w:val="28"/>
          <w:highlight w:val="none"/>
        </w:rPr>
        <w:t>分。</w:t>
      </w:r>
    </w:p>
    <w:p>
      <w:pPr>
        <w:pStyle w:val="4"/>
        <w:rPr>
          <w:highlight w:val="none"/>
        </w:rPr>
      </w:pPr>
      <w:bookmarkStart w:id="46" w:name="_Toc100784611"/>
      <w:r>
        <w:rPr>
          <w:rFonts w:hint="eastAsia"/>
        </w:rPr>
        <w:t>4</w:t>
      </w:r>
      <w:r>
        <w:t>.</w:t>
      </w:r>
      <w:r>
        <w:rPr>
          <w:rFonts w:hint="eastAsia"/>
        </w:rPr>
        <w:t>产出成本</w:t>
      </w:r>
      <w:bookmarkEnd w:id="46"/>
    </w:p>
    <w:p>
      <w:pPr>
        <w:spacing w:line="360" w:lineRule="auto"/>
        <w:ind w:firstLine="562"/>
        <w:rPr>
          <w:rFonts w:hint="default" w:ascii="仿宋_GB2312"/>
          <w:b/>
          <w:bCs/>
          <w:szCs w:val="28"/>
          <w:highlight w:val="none"/>
          <w:lang w:val="en-US"/>
        </w:rPr>
      </w:pPr>
      <w:r>
        <w:rPr>
          <w:rFonts w:hint="eastAsia" w:ascii="仿宋_GB2312"/>
          <w:b/>
          <w:bCs/>
          <w:szCs w:val="28"/>
          <w:highlight w:val="none"/>
        </w:rPr>
        <w:t>成本节约率：</w:t>
      </w:r>
      <w:r>
        <w:rPr>
          <w:rFonts w:hint="eastAsia" w:ascii="仿宋_GB2312"/>
          <w:b w:val="0"/>
          <w:bCs w:val="0"/>
          <w:szCs w:val="28"/>
          <w:highlight w:val="none"/>
          <w:lang w:eastAsia="zh-CN"/>
        </w:rPr>
        <w:t>由于</w:t>
      </w:r>
      <w:r>
        <w:rPr>
          <w:rFonts w:hint="eastAsia" w:ascii="仿宋_GB2312"/>
          <w:szCs w:val="28"/>
          <w:highlight w:val="none"/>
          <w:lang w:eastAsia="zh-CN"/>
        </w:rPr>
        <w:t>米东区财政局资金紧张，造成本应</w:t>
      </w:r>
      <w:r>
        <w:rPr>
          <w:rFonts w:hint="eastAsia" w:ascii="仿宋_GB2312"/>
          <w:szCs w:val="28"/>
          <w:highlight w:val="none"/>
          <w:lang w:val="en-US" w:eastAsia="zh-CN"/>
        </w:rPr>
        <w:t>2021年支付完毕1000万元项目资金，延期到2022年支付完毕，</w:t>
      </w:r>
      <w:r>
        <w:rPr>
          <w:rFonts w:hint="eastAsia" w:ascii="仿宋_GB2312"/>
          <w:szCs w:val="28"/>
          <w:highlight w:val="none"/>
        </w:rPr>
        <w:t>故成本节约率得分为</w:t>
      </w:r>
      <w:r>
        <w:rPr>
          <w:rFonts w:hint="eastAsia" w:ascii="仿宋_GB2312"/>
          <w:szCs w:val="28"/>
          <w:highlight w:val="none"/>
          <w:lang w:val="en-US" w:eastAsia="zh-CN"/>
        </w:rPr>
        <w:t>7</w:t>
      </w:r>
      <w:r>
        <w:rPr>
          <w:rFonts w:hint="eastAsia" w:ascii="仿宋_GB2312"/>
          <w:szCs w:val="28"/>
          <w:highlight w:val="none"/>
        </w:rPr>
        <w:t>分</w:t>
      </w:r>
      <w:r>
        <w:rPr>
          <w:rFonts w:hint="eastAsia" w:ascii="仿宋_GB2312"/>
          <w:szCs w:val="28"/>
          <w:highlight w:val="none"/>
          <w:lang w:eastAsia="zh-CN"/>
        </w:rPr>
        <w:t>。</w:t>
      </w:r>
    </w:p>
    <w:p>
      <w:pPr>
        <w:spacing w:line="360" w:lineRule="auto"/>
        <w:ind w:firstLine="562"/>
        <w:rPr>
          <w:rFonts w:ascii="仿宋_GB2312"/>
          <w:b/>
          <w:bCs/>
          <w:szCs w:val="28"/>
        </w:rPr>
      </w:pPr>
      <w:r>
        <w:rPr>
          <w:rFonts w:hint="eastAsia" w:ascii="仿宋_GB2312"/>
          <w:b/>
          <w:bCs/>
          <w:szCs w:val="28"/>
        </w:rPr>
        <w:t>项目预算控制率，</w:t>
      </w:r>
      <w:r>
        <w:rPr>
          <w:rFonts w:hint="eastAsia" w:ascii="仿宋_GB2312"/>
          <w:szCs w:val="28"/>
        </w:rPr>
        <w:t>故得分为</w:t>
      </w:r>
      <w:r>
        <w:rPr>
          <w:rFonts w:hint="eastAsia" w:ascii="仿宋_GB2312"/>
          <w:szCs w:val="28"/>
          <w:lang w:val="en-US" w:eastAsia="zh-CN"/>
        </w:rPr>
        <w:t>7</w:t>
      </w:r>
      <w:r>
        <w:rPr>
          <w:rFonts w:hint="eastAsia" w:ascii="仿宋_GB2312"/>
          <w:szCs w:val="28"/>
        </w:rPr>
        <w:t>分。</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rPr>
        <w:t>综上，该指标满分</w:t>
      </w:r>
      <w:r>
        <w:rPr>
          <w:rFonts w:ascii="仿宋_GB2312" w:hAnsi="仿宋" w:cs="宋体"/>
          <w:b/>
          <w:kern w:val="0"/>
          <w:szCs w:val="28"/>
        </w:rPr>
        <w:t>40</w:t>
      </w:r>
      <w:r>
        <w:rPr>
          <w:rFonts w:hint="eastAsia" w:ascii="仿宋_GB2312" w:hAnsi="仿宋" w:cs="宋体"/>
          <w:b/>
          <w:kern w:val="0"/>
          <w:szCs w:val="28"/>
        </w:rPr>
        <w:t>分，得分</w:t>
      </w:r>
      <w:r>
        <w:rPr>
          <w:rFonts w:hint="eastAsia" w:ascii="仿宋_GB2312"/>
          <w:szCs w:val="28"/>
          <w:lang w:val="en-US" w:eastAsia="zh-CN"/>
        </w:rPr>
        <w:t>34</w:t>
      </w:r>
      <w:r>
        <w:rPr>
          <w:rFonts w:hint="eastAsia" w:ascii="仿宋_GB2312" w:hAnsi="仿宋" w:cs="宋体"/>
          <w:b/>
          <w:kern w:val="0"/>
          <w:szCs w:val="28"/>
        </w:rPr>
        <w:t>分。</w:t>
      </w:r>
    </w:p>
    <w:p>
      <w:pPr>
        <w:pStyle w:val="3"/>
        <w:ind w:firstLine="643"/>
        <w:rPr>
          <w:rFonts w:ascii="仿宋" w:hAnsi="仿宋" w:eastAsia="仿宋"/>
          <w:lang w:bidi="en-US"/>
        </w:rPr>
      </w:pPr>
      <w:bookmarkStart w:id="47" w:name="_Toc67911615"/>
      <w:bookmarkStart w:id="48" w:name="_Toc100784612"/>
      <w:r>
        <w:rPr>
          <w:rFonts w:hint="eastAsia" w:ascii="仿宋" w:hAnsi="仿宋" w:eastAsia="仿宋"/>
          <w:lang w:bidi="en-US"/>
        </w:rPr>
        <w:t>（四）项目效益情况</w:t>
      </w:r>
      <w:bookmarkEnd w:id="47"/>
      <w:bookmarkEnd w:id="48"/>
    </w:p>
    <w:p>
      <w:pPr>
        <w:spacing w:line="360" w:lineRule="auto"/>
        <w:ind w:firstLine="560"/>
        <w:rPr>
          <w:rFonts w:ascii="仿宋_GB2312"/>
          <w:szCs w:val="28"/>
        </w:rPr>
      </w:pPr>
      <w:r>
        <w:rPr>
          <w:rFonts w:hint="eastAsia" w:ascii="仿宋_GB2312"/>
          <w:szCs w:val="28"/>
        </w:rPr>
        <w:t>项目效益指标由</w:t>
      </w:r>
      <w:r>
        <w:rPr>
          <w:rFonts w:ascii="仿宋_GB2312"/>
          <w:szCs w:val="28"/>
        </w:rPr>
        <w:t>1</w:t>
      </w:r>
      <w:r>
        <w:rPr>
          <w:rFonts w:hint="eastAsia" w:ascii="仿宋_GB2312"/>
          <w:szCs w:val="28"/>
        </w:rPr>
        <w:t>个二级指标和</w:t>
      </w:r>
      <w:r>
        <w:rPr>
          <w:rFonts w:ascii="仿宋_GB2312"/>
          <w:szCs w:val="28"/>
        </w:rPr>
        <w:t>2</w:t>
      </w:r>
      <w:r>
        <w:rPr>
          <w:rFonts w:hint="eastAsia" w:ascii="仿宋_GB2312"/>
          <w:szCs w:val="28"/>
        </w:rPr>
        <w:t>个三级指标构成，权重为</w:t>
      </w:r>
      <w:r>
        <w:rPr>
          <w:rFonts w:ascii="仿宋_GB2312"/>
          <w:szCs w:val="28"/>
        </w:rPr>
        <w:t>20</w:t>
      </w:r>
      <w:r>
        <w:rPr>
          <w:rFonts w:hint="eastAsia" w:ascii="仿宋_GB2312"/>
          <w:szCs w:val="28"/>
        </w:rPr>
        <w:t>分，实际得分</w:t>
      </w:r>
      <w:r>
        <w:rPr>
          <w:rFonts w:hint="eastAsia" w:ascii="仿宋_GB2312"/>
          <w:szCs w:val="28"/>
          <w:lang w:val="en-US" w:eastAsia="zh-CN"/>
        </w:rPr>
        <w:t>20</w:t>
      </w:r>
      <w:r>
        <w:rPr>
          <w:rFonts w:hint="eastAsia" w:ascii="仿宋_GB2312"/>
          <w:szCs w:val="28"/>
        </w:rPr>
        <w:t>分。</w:t>
      </w:r>
      <w:r>
        <w:rPr>
          <w:rFonts w:ascii="仿宋_GB2312"/>
          <w:szCs w:val="28"/>
        </w:rPr>
        <w:t xml:space="preserve"> </w:t>
      </w:r>
    </w:p>
    <w:p>
      <w:pPr>
        <w:pStyle w:val="4"/>
        <w:ind w:firstLine="643"/>
      </w:pPr>
      <w:bookmarkStart w:id="49" w:name="_Toc100784613"/>
      <w:r>
        <w:rPr>
          <w:rFonts w:hint="eastAsia"/>
        </w:rPr>
        <w:t>1</w:t>
      </w:r>
      <w:r>
        <w:t>.</w:t>
      </w:r>
      <w:r>
        <w:rPr>
          <w:rFonts w:hint="eastAsia"/>
        </w:rPr>
        <w:t>项目效益</w:t>
      </w:r>
      <w:bookmarkEnd w:id="49"/>
    </w:p>
    <w:p>
      <w:pPr>
        <w:spacing w:line="360" w:lineRule="auto"/>
        <w:ind w:firstLine="562"/>
        <w:rPr>
          <w:rFonts w:ascii="仿宋_GB2312"/>
          <w:b/>
          <w:bCs/>
          <w:szCs w:val="28"/>
        </w:rPr>
      </w:pPr>
      <w:r>
        <w:rPr>
          <w:rFonts w:hint="eastAsia" w:ascii="仿宋_GB2312"/>
          <w:b/>
          <w:bCs/>
          <w:szCs w:val="28"/>
        </w:rPr>
        <w:t>（1）实施效益</w:t>
      </w:r>
    </w:p>
    <w:p>
      <w:pPr>
        <w:spacing w:line="360" w:lineRule="auto"/>
        <w:ind w:firstLine="562"/>
        <w:rPr>
          <w:rFonts w:ascii="仿宋_GB2312"/>
          <w:szCs w:val="28"/>
        </w:rPr>
      </w:pPr>
      <w:r>
        <w:rPr>
          <w:rFonts w:hint="eastAsia" w:ascii="仿宋_GB2312"/>
          <w:b/>
          <w:bCs/>
          <w:szCs w:val="28"/>
        </w:rPr>
        <w:t>经济效益指标：</w:t>
      </w:r>
      <w:r>
        <w:rPr>
          <w:rFonts w:hint="eastAsia" w:ascii="仿宋_GB2312"/>
          <w:szCs w:val="28"/>
        </w:rPr>
        <w:t>不适用。</w:t>
      </w:r>
      <w:r>
        <w:rPr>
          <w:rFonts w:ascii="仿宋_GB2312"/>
          <w:szCs w:val="28"/>
        </w:rPr>
        <w:t xml:space="preserve"> </w:t>
      </w:r>
    </w:p>
    <w:p>
      <w:pPr>
        <w:spacing w:line="360" w:lineRule="auto"/>
        <w:ind w:firstLine="562"/>
        <w:rPr>
          <w:rStyle w:val="19"/>
          <w:rFonts w:hint="eastAsia"/>
          <w:lang w:eastAsia="zh-CN"/>
        </w:rPr>
      </w:pPr>
      <w:r>
        <w:rPr>
          <w:rFonts w:hint="eastAsia" w:ascii="仿宋_GB2312"/>
          <w:b/>
          <w:bCs/>
          <w:szCs w:val="28"/>
        </w:rPr>
        <w:t>社会效益指标</w:t>
      </w:r>
      <w:r>
        <w:rPr>
          <w:rFonts w:hint="eastAsia" w:ascii="仿宋_GB2312"/>
          <w:szCs w:val="28"/>
        </w:rPr>
        <w:t>：评价指标“</w:t>
      </w:r>
      <w:r>
        <w:rPr>
          <w:rFonts w:hint="eastAsia" w:ascii="仿宋_GB2312"/>
          <w:szCs w:val="28"/>
          <w:lang w:eastAsia="zh-CN"/>
        </w:rPr>
        <w:t>教育均衡发展</w:t>
      </w:r>
      <w:r>
        <w:rPr>
          <w:rFonts w:hint="eastAsia" w:ascii="仿宋_GB2312"/>
          <w:szCs w:val="28"/>
        </w:rPr>
        <w:t>”，指标值：</w:t>
      </w:r>
      <w:r>
        <w:rPr>
          <w:rFonts w:hint="eastAsia" w:ascii="仿宋_GB2312"/>
          <w:szCs w:val="28"/>
          <w:lang w:eastAsia="zh-CN"/>
        </w:rPr>
        <w:t>持续改善</w:t>
      </w:r>
      <w:r>
        <w:rPr>
          <w:rFonts w:hint="eastAsia" w:ascii="仿宋_GB2312"/>
          <w:szCs w:val="28"/>
        </w:rPr>
        <w:t>，实际完成值：</w:t>
      </w:r>
      <w:r>
        <w:rPr>
          <w:rFonts w:hint="eastAsia" w:ascii="仿宋_GB2312"/>
          <w:szCs w:val="28"/>
          <w:lang w:val="en-US" w:eastAsia="zh-CN"/>
        </w:rPr>
        <w:t>完全达到预期效果，实际完成率100%</w:t>
      </w:r>
      <w:r>
        <w:rPr>
          <w:rFonts w:hint="eastAsia" w:ascii="仿宋_GB2312"/>
          <w:szCs w:val="28"/>
        </w:rPr>
        <w:t>。本项目的实施</w:t>
      </w:r>
      <w:r>
        <w:rPr>
          <w:rFonts w:hint="eastAsia" w:ascii="仿宋_GB2312"/>
          <w:szCs w:val="28"/>
          <w:lang w:eastAsia="zh-CN"/>
        </w:rPr>
        <w:t>我校新建学生宿舍和食堂建成以后，提高学生和教师在校生活水平，改善学生的学习生活的环境，</w:t>
      </w:r>
      <w:r>
        <w:rPr>
          <w:rFonts w:hint="eastAsia" w:ascii="仿宋_GB2312"/>
          <w:szCs w:val="28"/>
          <w:lang w:val="en-US" w:eastAsia="zh-CN"/>
        </w:rPr>
        <w:t>故</w:t>
      </w:r>
      <w:r>
        <w:rPr>
          <w:rFonts w:hint="eastAsia" w:ascii="仿宋_GB2312"/>
          <w:szCs w:val="28"/>
          <w:lang w:eastAsia="zh-CN"/>
        </w:rPr>
        <w:t>教育均衡发展</w:t>
      </w:r>
      <w:r>
        <w:rPr>
          <w:rFonts w:hint="eastAsia" w:ascii="仿宋_GB2312"/>
          <w:szCs w:val="28"/>
          <w:lang w:val="en-US" w:eastAsia="zh-CN"/>
        </w:rPr>
        <w:t>得分  分</w:t>
      </w:r>
      <w:r>
        <w:rPr>
          <w:rFonts w:hint="eastAsia" w:ascii="仿宋_GB2312"/>
          <w:szCs w:val="28"/>
          <w:lang w:eastAsia="zh-CN"/>
        </w:rPr>
        <w:t>。</w:t>
      </w:r>
    </w:p>
    <w:p>
      <w:pPr>
        <w:spacing w:line="360" w:lineRule="auto"/>
        <w:ind w:firstLine="562"/>
        <w:rPr>
          <w:rFonts w:ascii="仿宋_GB2312"/>
          <w:szCs w:val="28"/>
          <w:highlight w:val="none"/>
        </w:rPr>
      </w:pPr>
      <w:r>
        <w:rPr>
          <w:rFonts w:hint="eastAsia" w:ascii="仿宋_GB2312"/>
          <w:b/>
          <w:bCs/>
          <w:szCs w:val="28"/>
          <w:highlight w:val="none"/>
        </w:rPr>
        <w:t>生态效益指标</w:t>
      </w:r>
      <w:r>
        <w:rPr>
          <w:rFonts w:hint="eastAsia" w:ascii="仿宋_GB2312"/>
          <w:szCs w:val="28"/>
          <w:highlight w:val="none"/>
        </w:rPr>
        <w:t>：不适用。</w:t>
      </w:r>
    </w:p>
    <w:p>
      <w:pPr>
        <w:spacing w:line="360" w:lineRule="auto"/>
        <w:ind w:firstLine="562"/>
        <w:rPr>
          <w:rFonts w:ascii="仿宋_GB2312"/>
          <w:szCs w:val="28"/>
          <w:highlight w:val="none"/>
        </w:rPr>
      </w:pPr>
      <w:r>
        <w:rPr>
          <w:rFonts w:hint="eastAsia" w:ascii="仿宋_GB2312"/>
          <w:b/>
          <w:bCs/>
          <w:szCs w:val="28"/>
          <w:highlight w:val="none"/>
        </w:rPr>
        <w:t>可持续影响指标：</w:t>
      </w:r>
      <w:r>
        <w:rPr>
          <w:rFonts w:hint="eastAsia" w:ascii="仿宋_GB2312"/>
          <w:szCs w:val="28"/>
          <w:highlight w:val="none"/>
        </w:rPr>
        <w:t>评价指标“</w:t>
      </w:r>
      <w:r>
        <w:rPr>
          <w:rFonts w:hint="eastAsia" w:ascii="仿宋_GB2312"/>
          <w:szCs w:val="28"/>
          <w:highlight w:val="none"/>
          <w:lang w:eastAsia="zh-CN"/>
        </w:rPr>
        <w:t>改善学生及教师在校生活条件</w:t>
      </w:r>
      <w:r>
        <w:rPr>
          <w:rFonts w:hint="eastAsia" w:ascii="仿宋_GB2312"/>
          <w:szCs w:val="28"/>
          <w:highlight w:val="none"/>
        </w:rPr>
        <w:t>”，指标值：</w:t>
      </w:r>
      <w:r>
        <w:rPr>
          <w:rFonts w:hint="eastAsia" w:ascii="仿宋_GB2312"/>
          <w:szCs w:val="28"/>
          <w:highlight w:val="none"/>
          <w:lang w:eastAsia="zh-CN"/>
        </w:rPr>
        <w:t>长期改善</w:t>
      </w:r>
      <w:r>
        <w:rPr>
          <w:rFonts w:hint="eastAsia" w:ascii="仿宋_GB2312"/>
          <w:szCs w:val="28"/>
          <w:highlight w:val="none"/>
        </w:rPr>
        <w:t>，实际完成值：达成年度指标。</w:t>
      </w:r>
      <w:r>
        <w:rPr>
          <w:rFonts w:hint="eastAsia" w:ascii="仿宋_GB2312"/>
          <w:szCs w:val="28"/>
          <w:highlight w:val="none"/>
          <w:lang w:eastAsia="zh-CN"/>
        </w:rPr>
        <w:t>我校新建学生宿舍和食堂建成以后，提高学生和教师在校生活水平，改善学生的学习生活的环境。</w:t>
      </w:r>
    </w:p>
    <w:p>
      <w:pPr>
        <w:autoSpaceDE w:val="0"/>
        <w:spacing w:line="600" w:lineRule="exact"/>
        <w:ind w:firstLine="562"/>
        <w:rPr>
          <w:rFonts w:ascii="仿宋_GB2312" w:hAnsi="仿宋" w:cs="宋体"/>
          <w:b/>
          <w:kern w:val="0"/>
          <w:szCs w:val="28"/>
        </w:rPr>
      </w:pPr>
      <w:r>
        <w:rPr>
          <w:rFonts w:hint="eastAsia" w:ascii="仿宋_GB2312" w:hAnsi="仿宋" w:cs="宋体"/>
          <w:b/>
          <w:kern w:val="0"/>
          <w:szCs w:val="28"/>
          <w:highlight w:val="none"/>
        </w:rPr>
        <w:t>综上，该指标满分</w:t>
      </w:r>
      <w:r>
        <w:rPr>
          <w:rFonts w:ascii="仿宋_GB2312" w:hAnsi="仿宋" w:cs="宋体"/>
          <w:b/>
          <w:kern w:val="0"/>
          <w:szCs w:val="28"/>
          <w:highlight w:val="none"/>
        </w:rPr>
        <w:t>1</w:t>
      </w:r>
      <w:r>
        <w:rPr>
          <w:rFonts w:ascii="仿宋_GB2312" w:hAnsi="仿宋" w:cs="宋体"/>
          <w:b/>
          <w:kern w:val="0"/>
          <w:szCs w:val="28"/>
        </w:rPr>
        <w:t>0</w:t>
      </w:r>
      <w:r>
        <w:rPr>
          <w:rFonts w:hint="eastAsia" w:ascii="仿宋_GB2312" w:hAnsi="仿宋" w:cs="宋体"/>
          <w:b/>
          <w:kern w:val="0"/>
          <w:szCs w:val="28"/>
        </w:rPr>
        <w:t>分，得分</w:t>
      </w:r>
      <w:r>
        <w:rPr>
          <w:rFonts w:hint="eastAsia" w:ascii="仿宋_GB2312" w:hAnsi="仿宋" w:cs="宋体"/>
          <w:b/>
          <w:kern w:val="0"/>
          <w:szCs w:val="28"/>
          <w:lang w:val="en-US" w:eastAsia="zh-CN"/>
        </w:rPr>
        <w:t>10</w:t>
      </w:r>
      <w:r>
        <w:rPr>
          <w:rFonts w:hint="eastAsia" w:ascii="仿宋_GB2312" w:hAnsi="仿宋" w:cs="宋体"/>
          <w:b/>
          <w:kern w:val="0"/>
          <w:szCs w:val="28"/>
        </w:rPr>
        <w:t>分。</w:t>
      </w:r>
    </w:p>
    <w:p>
      <w:pPr>
        <w:pStyle w:val="4"/>
        <w:ind w:firstLine="643"/>
      </w:pPr>
      <w:bookmarkStart w:id="50" w:name="_Toc100784614"/>
      <w:r>
        <w:t>2. 满意度指标完成情况分析</w:t>
      </w:r>
      <w:bookmarkEnd w:id="50"/>
    </w:p>
    <w:p>
      <w:pPr>
        <w:spacing w:line="360" w:lineRule="auto"/>
        <w:ind w:firstLine="562"/>
        <w:rPr>
          <w:rFonts w:ascii="仿宋_GB2312"/>
          <w:b/>
          <w:bCs/>
          <w:szCs w:val="28"/>
          <w:highlight w:val="none"/>
        </w:rPr>
      </w:pPr>
      <w:r>
        <w:rPr>
          <w:rFonts w:hint="eastAsia" w:ascii="仿宋_GB2312"/>
          <w:b/>
          <w:bCs/>
          <w:szCs w:val="28"/>
          <w:highlight w:val="none"/>
        </w:rPr>
        <w:t>（</w:t>
      </w:r>
      <w:r>
        <w:rPr>
          <w:rFonts w:ascii="仿宋_GB2312"/>
          <w:b/>
          <w:bCs/>
          <w:szCs w:val="28"/>
          <w:highlight w:val="none"/>
        </w:rPr>
        <w:t>1</w:t>
      </w:r>
      <w:r>
        <w:rPr>
          <w:rFonts w:hint="eastAsia" w:ascii="仿宋_GB2312"/>
          <w:b/>
          <w:bCs/>
          <w:szCs w:val="28"/>
          <w:highlight w:val="none"/>
        </w:rPr>
        <w:t>）满意度指标</w:t>
      </w:r>
    </w:p>
    <w:p>
      <w:pPr>
        <w:spacing w:line="360" w:lineRule="auto"/>
        <w:ind w:firstLine="562"/>
        <w:rPr>
          <w:rFonts w:hint="eastAsia" w:ascii="仿宋_GB2312"/>
          <w:szCs w:val="28"/>
          <w:highlight w:val="none"/>
        </w:rPr>
      </w:pPr>
      <w:r>
        <w:rPr>
          <w:rFonts w:hint="eastAsia" w:ascii="仿宋_GB2312"/>
          <w:b/>
          <w:bCs/>
          <w:szCs w:val="28"/>
          <w:highlight w:val="none"/>
        </w:rPr>
        <w:t>群众满意度：</w:t>
      </w:r>
      <w:r>
        <w:rPr>
          <w:rFonts w:hint="eastAsia" w:ascii="仿宋_GB2312"/>
          <w:szCs w:val="28"/>
          <w:highlight w:val="none"/>
        </w:rPr>
        <w:t>评价指标“</w:t>
      </w:r>
      <w:r>
        <w:rPr>
          <w:rFonts w:hint="eastAsia" w:ascii="仿宋_GB2312"/>
          <w:szCs w:val="28"/>
          <w:highlight w:val="none"/>
          <w:lang w:eastAsia="zh-CN"/>
        </w:rPr>
        <w:t>学生满意度</w:t>
      </w:r>
      <w:r>
        <w:rPr>
          <w:rFonts w:hint="eastAsia" w:ascii="仿宋_GB2312"/>
          <w:szCs w:val="28"/>
          <w:highlight w:val="none"/>
        </w:rPr>
        <w:t>”，指标值：</w:t>
      </w:r>
      <w:r>
        <w:rPr>
          <w:rFonts w:hint="eastAsia" w:ascii="仿宋_GB2312"/>
          <w:szCs w:val="28"/>
          <w:highlight w:val="none"/>
          <w:lang w:eastAsia="zh-CN"/>
        </w:rPr>
        <w:t>≥</w:t>
      </w:r>
      <w:r>
        <w:rPr>
          <w:rFonts w:hint="eastAsia" w:ascii="仿宋_GB2312"/>
          <w:szCs w:val="28"/>
          <w:highlight w:val="none"/>
          <w:lang w:val="en-US" w:eastAsia="zh-CN"/>
        </w:rPr>
        <w:t>90</w:t>
      </w:r>
      <w:r>
        <w:rPr>
          <w:rFonts w:hint="eastAsia" w:ascii="仿宋_GB2312"/>
          <w:szCs w:val="28"/>
          <w:highlight w:val="none"/>
        </w:rPr>
        <w:t>%，</w:t>
      </w:r>
      <w:r>
        <w:rPr>
          <w:rFonts w:hint="eastAsia" w:ascii="仿宋_GB2312"/>
          <w:szCs w:val="28"/>
          <w:highlight w:val="none"/>
          <w:lang w:eastAsia="zh-CN"/>
        </w:rPr>
        <w:t>经学校对学生对此项目的满意度调查，故</w:t>
      </w:r>
      <w:r>
        <w:rPr>
          <w:rFonts w:hint="eastAsia" w:ascii="仿宋_GB2312"/>
          <w:szCs w:val="28"/>
          <w:highlight w:val="none"/>
        </w:rPr>
        <w:t>实际完成值</w:t>
      </w:r>
      <w:r>
        <w:rPr>
          <w:rFonts w:hint="eastAsia" w:ascii="华文宋体" w:hAnsi="华文宋体" w:eastAsia="华文宋体"/>
          <w:szCs w:val="28"/>
          <w:highlight w:val="none"/>
          <w:lang w:val="en-US" w:eastAsia="zh-CN"/>
        </w:rPr>
        <w:t>90</w:t>
      </w:r>
      <w:r>
        <w:rPr>
          <w:rFonts w:hint="eastAsia" w:ascii="仿宋_GB2312"/>
          <w:szCs w:val="28"/>
          <w:highlight w:val="none"/>
        </w:rPr>
        <w:t>%。</w:t>
      </w:r>
    </w:p>
    <w:p>
      <w:pPr>
        <w:spacing w:line="360" w:lineRule="auto"/>
        <w:ind w:firstLine="562"/>
        <w:rPr>
          <w:rFonts w:ascii="仿宋_GB2312"/>
          <w:szCs w:val="28"/>
          <w:highlight w:val="none"/>
        </w:rPr>
      </w:pPr>
      <w:r>
        <w:rPr>
          <w:rFonts w:hint="eastAsia" w:ascii="仿宋_GB2312"/>
          <w:szCs w:val="28"/>
          <w:highlight w:val="none"/>
          <w:lang w:eastAsia="zh-CN"/>
        </w:rPr>
        <w:t>评价指标“教职工满意度”，指标值：≥</w:t>
      </w:r>
      <w:r>
        <w:rPr>
          <w:rFonts w:hint="eastAsia" w:ascii="仿宋_GB2312"/>
          <w:szCs w:val="28"/>
          <w:highlight w:val="none"/>
          <w:lang w:val="en-US" w:eastAsia="zh-CN"/>
        </w:rPr>
        <w:t>90</w:t>
      </w:r>
      <w:r>
        <w:rPr>
          <w:rFonts w:hint="eastAsia" w:ascii="仿宋_GB2312"/>
          <w:szCs w:val="28"/>
          <w:highlight w:val="none"/>
        </w:rPr>
        <w:t>%</w:t>
      </w:r>
      <w:r>
        <w:rPr>
          <w:rFonts w:hint="eastAsia" w:ascii="仿宋_GB2312"/>
          <w:szCs w:val="28"/>
          <w:highlight w:val="none"/>
          <w:lang w:eastAsia="zh-CN"/>
        </w:rPr>
        <w:t>，经学校对教职工对此项目的满意度调查，</w:t>
      </w:r>
      <w:r>
        <w:rPr>
          <w:rFonts w:hint="eastAsia" w:ascii="仿宋_GB2312"/>
          <w:szCs w:val="28"/>
          <w:highlight w:val="none"/>
        </w:rPr>
        <w:t>实际完成值：</w:t>
      </w:r>
      <w:r>
        <w:rPr>
          <w:rFonts w:hint="eastAsia" w:ascii="华文宋体" w:hAnsi="华文宋体" w:eastAsia="华文宋体"/>
          <w:szCs w:val="28"/>
          <w:highlight w:val="none"/>
        </w:rPr>
        <w:t>≥</w:t>
      </w:r>
      <w:r>
        <w:rPr>
          <w:rFonts w:hint="eastAsia" w:ascii="华文宋体" w:hAnsi="华文宋体" w:eastAsia="华文宋体"/>
          <w:szCs w:val="28"/>
          <w:highlight w:val="none"/>
          <w:lang w:val="en-US" w:eastAsia="zh-CN"/>
        </w:rPr>
        <w:t>90</w:t>
      </w:r>
      <w:r>
        <w:rPr>
          <w:rFonts w:hint="eastAsia" w:ascii="仿宋_GB2312"/>
          <w:szCs w:val="28"/>
          <w:highlight w:val="none"/>
        </w:rPr>
        <w:t>%</w:t>
      </w:r>
      <w:r>
        <w:rPr>
          <w:rFonts w:hint="eastAsia" w:ascii="仿宋_GB2312"/>
          <w:szCs w:val="28"/>
          <w:highlight w:val="none"/>
          <w:lang w:eastAsia="zh-CN"/>
        </w:rPr>
        <w:t>，</w:t>
      </w:r>
      <w:r>
        <w:rPr>
          <w:rFonts w:hint="eastAsia" w:ascii="仿宋_GB2312"/>
          <w:szCs w:val="28"/>
          <w:highlight w:val="none"/>
        </w:rPr>
        <w:t>故满意度指标得分为</w:t>
      </w:r>
      <w:r>
        <w:rPr>
          <w:rFonts w:hint="eastAsia" w:ascii="仿宋_GB2312"/>
          <w:szCs w:val="28"/>
          <w:highlight w:val="none"/>
          <w:lang w:val="en-US" w:eastAsia="zh-CN"/>
        </w:rPr>
        <w:t>5</w:t>
      </w:r>
      <w:r>
        <w:rPr>
          <w:rFonts w:hint="eastAsia" w:ascii="仿宋_GB2312"/>
          <w:szCs w:val="28"/>
          <w:highlight w:val="none"/>
        </w:rPr>
        <w:t>分。</w:t>
      </w:r>
    </w:p>
    <w:p>
      <w:pPr>
        <w:autoSpaceDE w:val="0"/>
        <w:spacing w:line="600" w:lineRule="exact"/>
        <w:ind w:firstLine="562"/>
        <w:rPr>
          <w:rFonts w:ascii="仿宋_GB2312" w:hAnsi="仿宋" w:cs="宋体"/>
          <w:b/>
          <w:kern w:val="0"/>
          <w:szCs w:val="28"/>
          <w:highlight w:val="red"/>
        </w:rPr>
      </w:pPr>
      <w:r>
        <w:rPr>
          <w:rFonts w:hint="eastAsia" w:ascii="仿宋_GB2312" w:hAnsi="仿宋" w:cs="宋体"/>
          <w:b/>
          <w:kern w:val="0"/>
          <w:szCs w:val="28"/>
          <w:highlight w:val="none"/>
        </w:rPr>
        <w:t>综上，该指标满分</w:t>
      </w:r>
      <w:r>
        <w:rPr>
          <w:rFonts w:ascii="仿宋_GB2312" w:hAnsi="仿宋" w:cs="宋体"/>
          <w:b/>
          <w:kern w:val="0"/>
          <w:szCs w:val="28"/>
          <w:highlight w:val="none"/>
        </w:rPr>
        <w:t>10</w:t>
      </w:r>
      <w:r>
        <w:rPr>
          <w:rFonts w:hint="eastAsia" w:ascii="仿宋_GB2312" w:hAnsi="仿宋" w:cs="宋体"/>
          <w:b/>
          <w:kern w:val="0"/>
          <w:szCs w:val="28"/>
          <w:highlight w:val="none"/>
        </w:rPr>
        <w:t>分，得分</w:t>
      </w:r>
      <w:r>
        <w:rPr>
          <w:rFonts w:hint="eastAsia" w:ascii="仿宋_GB2312" w:hAnsi="仿宋" w:cs="宋体"/>
          <w:b/>
          <w:kern w:val="0"/>
          <w:szCs w:val="28"/>
          <w:highlight w:val="none"/>
          <w:lang w:val="en-US" w:eastAsia="zh-CN"/>
        </w:rPr>
        <w:t>10</w:t>
      </w:r>
      <w:r>
        <w:rPr>
          <w:rFonts w:hint="eastAsia" w:ascii="仿宋_GB2312" w:hAnsi="仿宋" w:cs="宋体"/>
          <w:b/>
          <w:kern w:val="0"/>
          <w:szCs w:val="28"/>
          <w:highlight w:val="none"/>
        </w:rPr>
        <w:t>分。</w:t>
      </w:r>
    </w:p>
    <w:p>
      <w:pPr>
        <w:pStyle w:val="2"/>
        <w:ind w:firstLine="0" w:firstLineChars="0"/>
        <w:jc w:val="left"/>
        <w:rPr>
          <w:rFonts w:ascii="仿宋" w:hAnsi="仿宋" w:eastAsia="仿宋"/>
          <w:sz w:val="36"/>
          <w:szCs w:val="36"/>
          <w:highlight w:val="none"/>
          <w:lang w:bidi="en-US"/>
        </w:rPr>
      </w:pPr>
      <w:bookmarkStart w:id="51" w:name="_Toc67911616"/>
      <w:bookmarkStart w:id="52" w:name="_Toc100784615"/>
      <w:r>
        <w:rPr>
          <w:rFonts w:hint="eastAsia" w:ascii="仿宋" w:hAnsi="仿宋" w:eastAsia="仿宋"/>
          <w:sz w:val="36"/>
          <w:szCs w:val="36"/>
          <w:lang w:bidi="en-US"/>
        </w:rPr>
        <w:t>五</w:t>
      </w:r>
      <w:r>
        <w:rPr>
          <w:rFonts w:hint="eastAsia" w:ascii="仿宋" w:hAnsi="仿宋" w:eastAsia="仿宋"/>
          <w:sz w:val="36"/>
          <w:szCs w:val="36"/>
          <w:highlight w:val="none"/>
          <w:lang w:bidi="en-US"/>
        </w:rPr>
        <w:t>、预算执行进度与绩效指标偏差</w:t>
      </w:r>
      <w:bookmarkEnd w:id="51"/>
      <w:bookmarkEnd w:id="52"/>
    </w:p>
    <w:p>
      <w:pPr>
        <w:spacing w:line="360" w:lineRule="auto"/>
        <w:ind w:firstLine="560"/>
        <w:rPr>
          <w:rFonts w:ascii="仿宋_GB2312"/>
          <w:szCs w:val="28"/>
          <w:highlight w:val="none"/>
        </w:rPr>
      </w:pPr>
      <w:bookmarkStart w:id="53" w:name="_Toc100784616"/>
      <w:bookmarkStart w:id="54" w:name="_Toc67911617"/>
      <w:r>
        <w:rPr>
          <w:rFonts w:hint="eastAsia" w:ascii="仿宋_GB2312"/>
          <w:szCs w:val="28"/>
          <w:highlight w:val="none"/>
        </w:rPr>
        <w:t>本项目预算执行率为</w:t>
      </w:r>
      <w:r>
        <w:rPr>
          <w:rFonts w:hint="eastAsia" w:ascii="仿宋_GB2312"/>
          <w:szCs w:val="28"/>
          <w:highlight w:val="none"/>
          <w:lang w:val="en-US" w:eastAsia="zh-CN"/>
        </w:rPr>
        <w:t>100</w:t>
      </w:r>
      <w:r>
        <w:rPr>
          <w:rFonts w:hint="eastAsia" w:ascii="仿宋_GB2312"/>
          <w:szCs w:val="28"/>
          <w:highlight w:val="none"/>
        </w:rPr>
        <w:t>%，指标总体完成率为</w:t>
      </w:r>
      <w:r>
        <w:rPr>
          <w:rFonts w:hint="eastAsia" w:ascii="仿宋_GB2312"/>
          <w:szCs w:val="28"/>
          <w:highlight w:val="none"/>
          <w:lang w:val="en-US" w:eastAsia="zh-CN"/>
        </w:rPr>
        <w:t xml:space="preserve">  </w:t>
      </w:r>
      <w:r>
        <w:rPr>
          <w:rFonts w:hint="eastAsia" w:ascii="仿宋_GB2312"/>
          <w:szCs w:val="28"/>
          <w:highlight w:val="none"/>
        </w:rPr>
        <w:t>%，二者之间的偏差值为</w:t>
      </w:r>
      <w:r>
        <w:rPr>
          <w:rFonts w:hint="eastAsia" w:ascii="仿宋_GB2312"/>
          <w:szCs w:val="28"/>
          <w:highlight w:val="none"/>
          <w:lang w:val="en-US" w:eastAsia="zh-CN"/>
        </w:rPr>
        <w:t xml:space="preserve">  </w:t>
      </w:r>
      <w:r>
        <w:rPr>
          <w:rFonts w:hint="eastAsia" w:ascii="仿宋_GB2312"/>
          <w:szCs w:val="28"/>
          <w:highlight w:val="none"/>
        </w:rPr>
        <w:t>%，小于</w:t>
      </w:r>
      <w:r>
        <w:rPr>
          <w:rFonts w:hint="eastAsia" w:ascii="仿宋_GB2312"/>
          <w:szCs w:val="28"/>
          <w:highlight w:val="none"/>
          <w:lang w:val="en-US" w:eastAsia="zh-CN"/>
        </w:rPr>
        <w:t xml:space="preserve">  </w:t>
      </w:r>
      <w:r>
        <w:rPr>
          <w:rFonts w:hint="eastAsia" w:ascii="仿宋_GB2312"/>
          <w:szCs w:val="28"/>
          <w:highlight w:val="none"/>
        </w:rPr>
        <w:t>%。因此，本项目较好地完成了年度总体目标，财政资金使用效益和效率较高。</w:t>
      </w:r>
    </w:p>
    <w:p>
      <w:pPr>
        <w:pStyle w:val="2"/>
        <w:ind w:firstLine="0" w:firstLineChars="0"/>
        <w:jc w:val="left"/>
        <w:rPr>
          <w:rFonts w:ascii="仿宋" w:hAnsi="仿宋" w:eastAsia="仿宋"/>
          <w:sz w:val="36"/>
          <w:szCs w:val="36"/>
          <w:lang w:bidi="en-US"/>
        </w:rPr>
      </w:pPr>
      <w:r>
        <w:rPr>
          <w:rFonts w:hint="eastAsia" w:ascii="仿宋" w:hAnsi="仿宋" w:eastAsia="仿宋"/>
          <w:sz w:val="36"/>
          <w:szCs w:val="36"/>
          <w:highlight w:val="none"/>
          <w:lang w:bidi="en-US"/>
        </w:rPr>
        <w:t>六、主要经验及做法、存在的</w:t>
      </w:r>
      <w:r>
        <w:rPr>
          <w:rFonts w:hint="eastAsia" w:ascii="仿宋" w:hAnsi="仿宋" w:eastAsia="仿宋"/>
          <w:sz w:val="36"/>
          <w:szCs w:val="36"/>
          <w:lang w:bidi="en-US"/>
        </w:rPr>
        <w:t>问题及原因分析</w:t>
      </w:r>
      <w:bookmarkEnd w:id="53"/>
      <w:bookmarkEnd w:id="54"/>
    </w:p>
    <w:p>
      <w:pPr>
        <w:pStyle w:val="3"/>
        <w:ind w:firstLine="643"/>
        <w:rPr>
          <w:rFonts w:ascii="仿宋" w:hAnsi="仿宋" w:eastAsia="仿宋"/>
          <w:lang w:bidi="en-US"/>
        </w:rPr>
      </w:pPr>
      <w:bookmarkStart w:id="55" w:name="_Toc100784617"/>
      <w:bookmarkStart w:id="56" w:name="_Toc67911618"/>
      <w:r>
        <w:rPr>
          <w:rFonts w:hint="eastAsia" w:ascii="仿宋" w:hAnsi="仿宋" w:eastAsia="仿宋"/>
          <w:lang w:bidi="en-US"/>
        </w:rPr>
        <w:t>（一）主要经验及做法</w:t>
      </w:r>
      <w:bookmarkEnd w:id="55"/>
      <w:bookmarkEnd w:id="56"/>
    </w:p>
    <w:p>
      <w:pPr>
        <w:autoSpaceDE w:val="0"/>
        <w:spacing w:line="600" w:lineRule="exact"/>
        <w:ind w:firstLine="562"/>
        <w:rPr>
          <w:rFonts w:ascii="仿宋_GB2312" w:hAnsi="仿宋" w:cs="宋体"/>
          <w:b/>
          <w:kern w:val="0"/>
          <w:szCs w:val="28"/>
          <w:highlight w:val="none"/>
        </w:rPr>
      </w:pPr>
      <w:r>
        <w:rPr>
          <w:rFonts w:hint="eastAsia" w:ascii="仿宋_GB2312" w:hAnsi="仿宋" w:cs="宋体"/>
          <w:b/>
          <w:kern w:val="0"/>
          <w:szCs w:val="28"/>
          <w:highlight w:val="none"/>
        </w:rPr>
        <w:t>1.</w:t>
      </w:r>
      <w:r>
        <w:rPr>
          <w:rFonts w:hint="eastAsia" w:ascii="仿宋_GB2312" w:hAnsi="仿宋" w:cs="宋体"/>
          <w:b/>
          <w:kern w:val="0"/>
          <w:szCs w:val="28"/>
          <w:highlight w:val="none"/>
          <w:lang w:eastAsia="zh-CN"/>
        </w:rPr>
        <w:t>主要经验</w:t>
      </w:r>
    </w:p>
    <w:p>
      <w:pPr>
        <w:autoSpaceDE w:val="0"/>
        <w:spacing w:line="600" w:lineRule="exact"/>
        <w:ind w:firstLine="560"/>
        <w:rPr>
          <w:rFonts w:ascii="仿宋_GB2312" w:hAnsi="仿宋" w:cs="宋体"/>
          <w:b/>
          <w:kern w:val="0"/>
          <w:szCs w:val="28"/>
          <w:highlight w:val="none"/>
        </w:rPr>
      </w:pPr>
      <w:r>
        <w:rPr>
          <w:rFonts w:hint="eastAsia" w:ascii="Times New Roman" w:hAnsi="Times New Roman" w:eastAsia="方正仿宋_GBK" w:cs="Times New Roman"/>
          <w:sz w:val="30"/>
          <w:szCs w:val="30"/>
          <w:highlight w:val="none"/>
        </w:rPr>
        <w:t>依据</w:t>
      </w:r>
      <w:r>
        <w:rPr>
          <w:rFonts w:ascii="Times New Roman" w:hAnsi="Times New Roman" w:eastAsia="方正仿宋_GBK" w:cs="Times New Roman"/>
          <w:sz w:val="30"/>
          <w:szCs w:val="30"/>
          <w:highlight w:val="none"/>
        </w:rPr>
        <w:t>《</w:t>
      </w:r>
      <w:r>
        <w:rPr>
          <w:rFonts w:hint="eastAsia" w:ascii="Times New Roman" w:hAnsi="Times New Roman" w:eastAsia="方正仿宋_GBK" w:cs="Times New Roman"/>
          <w:sz w:val="30"/>
          <w:szCs w:val="30"/>
          <w:highlight w:val="none"/>
        </w:rPr>
        <w:t>自治区党委、自治区人民政府关于全面实施预算绩效管理的实施意见》文件</w:t>
      </w:r>
      <w:r>
        <w:rPr>
          <w:rFonts w:ascii="Times New Roman" w:hAnsi="Times New Roman" w:eastAsia="方正仿宋_GBK" w:cs="Times New Roman"/>
          <w:sz w:val="30"/>
          <w:szCs w:val="30"/>
          <w:highlight w:val="none"/>
        </w:rPr>
        <w:t>的要求</w:t>
      </w:r>
      <w:r>
        <w:rPr>
          <w:rFonts w:hint="eastAsia" w:ascii="Times New Roman" w:hAnsi="Times New Roman" w:eastAsia="方正仿宋_GBK" w:cs="Times New Roman"/>
          <w:sz w:val="30"/>
          <w:szCs w:val="30"/>
          <w:highlight w:val="none"/>
        </w:rPr>
        <w:t>，严格按照国家、自治区有关财经法规和资金管理办法，进一步强化主体责任，完善绩效目标管理，做好绩效运行监控和绩效评价，确保财政资金安全有效，进一步提高资金使用效益。</w:t>
      </w:r>
    </w:p>
    <w:p>
      <w:pPr>
        <w:spacing w:line="360" w:lineRule="auto"/>
        <w:rPr>
          <w:rFonts w:ascii="仿宋_GB2312" w:hAnsi="仿宋" w:cs="宋体"/>
          <w:b/>
          <w:kern w:val="0"/>
          <w:szCs w:val="28"/>
          <w:highlight w:val="none"/>
        </w:rPr>
      </w:pPr>
      <w:r>
        <w:rPr>
          <w:rFonts w:ascii="仿宋_GB2312"/>
          <w:b/>
          <w:bCs/>
          <w:szCs w:val="28"/>
          <w:highlight w:val="none"/>
        </w:rPr>
        <w:t>2.</w:t>
      </w:r>
      <w:r>
        <w:rPr>
          <w:rFonts w:hint="eastAsia" w:ascii="仿宋_GB2312"/>
          <w:b/>
          <w:bCs/>
          <w:szCs w:val="28"/>
          <w:highlight w:val="none"/>
          <w:lang w:eastAsia="zh-CN"/>
        </w:rPr>
        <w:t>做法</w:t>
      </w:r>
    </w:p>
    <w:p>
      <w:pPr>
        <w:spacing w:line="560" w:lineRule="exact"/>
        <w:ind w:firstLine="600" w:firstLineChars="200"/>
        <w:rPr>
          <w:rFonts w:ascii="仿宋_GB2312"/>
          <w:bCs/>
          <w:szCs w:val="28"/>
          <w:highlight w:val="none"/>
        </w:rPr>
      </w:pPr>
      <w:r>
        <w:rPr>
          <w:rFonts w:hint="eastAsia" w:ascii="Times New Roman" w:hAnsi="Times New Roman" w:eastAsia="方正仿宋_GBK" w:cs="Times New Roman"/>
          <w:sz w:val="30"/>
          <w:szCs w:val="30"/>
          <w:highlight w:val="none"/>
        </w:rPr>
        <w:t>加强重大项目的事前、事中、事后监督管理，将资金同项目实施质量挂钩，提升资金的使用效能。</w:t>
      </w:r>
    </w:p>
    <w:p>
      <w:pPr>
        <w:pStyle w:val="3"/>
        <w:ind w:firstLine="643"/>
        <w:rPr>
          <w:rFonts w:ascii="仿宋" w:hAnsi="仿宋" w:eastAsia="仿宋"/>
          <w:lang w:bidi="en-US"/>
        </w:rPr>
      </w:pPr>
      <w:bookmarkStart w:id="57" w:name="_Toc100784618"/>
      <w:r>
        <w:rPr>
          <w:rFonts w:hint="eastAsia" w:ascii="仿宋" w:hAnsi="仿宋" w:eastAsia="仿宋"/>
          <w:lang w:bidi="en-US"/>
        </w:rPr>
        <w:t>（二）存在的问题及原因分析</w:t>
      </w:r>
      <w:bookmarkEnd w:id="57"/>
    </w:p>
    <w:p>
      <w:pPr>
        <w:spacing w:line="360" w:lineRule="auto"/>
        <w:ind w:firstLine="562"/>
        <w:rPr>
          <w:rFonts w:hint="eastAsia" w:ascii="仿宋_GB2312"/>
          <w:b/>
          <w:bCs/>
          <w:szCs w:val="28"/>
          <w:lang w:eastAsia="zh-CN"/>
        </w:rPr>
      </w:pPr>
      <w:bookmarkStart w:id="58" w:name="_Toc100784619"/>
      <w:bookmarkStart w:id="59" w:name="_Toc67911619"/>
      <w:r>
        <w:rPr>
          <w:rFonts w:hint="eastAsia" w:ascii="仿宋_GB2312"/>
          <w:b/>
          <w:bCs/>
          <w:szCs w:val="28"/>
        </w:rPr>
        <w:t>1</w:t>
      </w:r>
      <w:r>
        <w:rPr>
          <w:rFonts w:ascii="仿宋_GB2312"/>
          <w:b/>
          <w:bCs/>
          <w:szCs w:val="28"/>
        </w:rPr>
        <w:t>.</w:t>
      </w:r>
      <w:r>
        <w:rPr>
          <w:rFonts w:hint="eastAsia" w:ascii="仿宋_GB2312"/>
          <w:b/>
          <w:bCs/>
          <w:szCs w:val="28"/>
          <w:lang w:eastAsia="zh-CN"/>
        </w:rPr>
        <w:t>存在问题</w:t>
      </w:r>
    </w:p>
    <w:p>
      <w:pPr>
        <w:spacing w:line="360" w:lineRule="auto"/>
        <w:ind w:firstLine="562"/>
        <w:rPr>
          <w:rFonts w:hint="eastAsia" w:ascii="仿宋_GB2312"/>
          <w:b/>
          <w:bCs/>
          <w:szCs w:val="28"/>
          <w:lang w:eastAsia="zh-CN"/>
        </w:rPr>
      </w:pPr>
      <w:r>
        <w:rPr>
          <w:rFonts w:hint="eastAsia" w:ascii="仿宋_GB2312"/>
          <w:b/>
          <w:bCs/>
          <w:szCs w:val="28"/>
          <w:lang w:eastAsia="zh-CN"/>
        </w:rPr>
        <w:t>成本指标下的城市中小学校舍建设专项资金，支付结算工程款签批手续延迟办理，造成资金支付时间紧迫。</w:t>
      </w:r>
    </w:p>
    <w:p>
      <w:pPr>
        <w:numPr>
          <w:ilvl w:val="0"/>
          <w:numId w:val="0"/>
        </w:numPr>
        <w:spacing w:line="360" w:lineRule="auto"/>
        <w:ind w:firstLine="562" w:firstLineChars="200"/>
        <w:rPr>
          <w:rFonts w:hint="eastAsia" w:ascii="仿宋_GB2312"/>
          <w:b/>
          <w:bCs/>
          <w:szCs w:val="28"/>
          <w:lang w:val="en-US" w:eastAsia="zh-CN"/>
        </w:rPr>
      </w:pPr>
      <w:r>
        <w:rPr>
          <w:rFonts w:hint="eastAsia" w:ascii="仿宋_GB2312"/>
          <w:b/>
          <w:bCs/>
          <w:szCs w:val="28"/>
          <w:lang w:val="en-US" w:eastAsia="zh-CN"/>
        </w:rPr>
        <w:t>2.原因分析</w:t>
      </w:r>
    </w:p>
    <w:p>
      <w:pPr>
        <w:numPr>
          <w:ilvl w:val="0"/>
          <w:numId w:val="0"/>
        </w:numPr>
        <w:spacing w:line="360" w:lineRule="auto"/>
        <w:rPr>
          <w:rFonts w:hint="default" w:ascii="仿宋_GB2312"/>
          <w:b/>
          <w:bCs/>
          <w:szCs w:val="28"/>
          <w:lang w:val="en-US" w:eastAsia="zh-CN"/>
        </w:rPr>
      </w:pPr>
      <w:r>
        <w:rPr>
          <w:rFonts w:hint="eastAsia" w:ascii="仿宋_GB2312"/>
          <w:b/>
          <w:bCs/>
          <w:szCs w:val="28"/>
          <w:lang w:val="en-US" w:eastAsia="zh-CN"/>
        </w:rPr>
        <w:t xml:space="preserve">    签字审批流程时间长，造成年底支付时间过于紧张。</w:t>
      </w:r>
    </w:p>
    <w:p>
      <w:pPr>
        <w:pStyle w:val="2"/>
        <w:ind w:firstLine="0" w:firstLineChars="0"/>
        <w:jc w:val="left"/>
        <w:rPr>
          <w:rFonts w:ascii="仿宋" w:hAnsi="仿宋" w:eastAsia="仿宋"/>
          <w:sz w:val="36"/>
          <w:szCs w:val="36"/>
          <w:lang w:bidi="en-US"/>
        </w:rPr>
      </w:pPr>
      <w:r>
        <w:rPr>
          <w:rFonts w:hint="eastAsia" w:ascii="仿宋" w:hAnsi="仿宋" w:eastAsia="仿宋"/>
          <w:sz w:val="36"/>
          <w:szCs w:val="36"/>
          <w:lang w:bidi="en-US"/>
        </w:rPr>
        <w:t>七、其他需要说明的问题</w:t>
      </w:r>
      <w:bookmarkEnd w:id="58"/>
      <w:bookmarkEnd w:id="59"/>
    </w:p>
    <w:p>
      <w:pPr>
        <w:spacing w:line="360" w:lineRule="auto"/>
        <w:ind w:firstLine="560"/>
        <w:rPr>
          <w:rFonts w:ascii="仿宋_GB2312"/>
          <w:szCs w:val="28"/>
        </w:rPr>
      </w:pPr>
      <w:r>
        <w:rPr>
          <w:rFonts w:hint="eastAsia" w:ascii="仿宋_GB2312"/>
          <w:szCs w:val="28"/>
        </w:rPr>
        <w:t>1</w:t>
      </w:r>
      <w:r>
        <w:rPr>
          <w:rFonts w:ascii="仿宋_GB2312"/>
          <w:szCs w:val="28"/>
        </w:rPr>
        <w:t>.</w:t>
      </w:r>
      <w:r>
        <w:rPr>
          <w:rFonts w:hint="eastAsia" w:ascii="仿宋_GB2312"/>
          <w:szCs w:val="28"/>
        </w:rPr>
        <w:t>项目支出政策和路径设计科学，符合实际需要；</w:t>
      </w:r>
    </w:p>
    <w:p>
      <w:pPr>
        <w:spacing w:line="360" w:lineRule="auto"/>
        <w:ind w:firstLine="560"/>
        <w:rPr>
          <w:rFonts w:ascii="仿宋_GB2312"/>
          <w:szCs w:val="28"/>
        </w:rPr>
      </w:pPr>
      <w:r>
        <w:rPr>
          <w:rFonts w:ascii="仿宋_GB2312"/>
          <w:szCs w:val="28"/>
        </w:rPr>
        <w:t>2.</w:t>
      </w:r>
      <w:r>
        <w:rPr>
          <w:rFonts w:hint="eastAsia" w:ascii="仿宋_GB2312"/>
          <w:szCs w:val="28"/>
        </w:rPr>
        <w:t>项目安排准确，未发现背离项目立项初衷的情况；</w:t>
      </w:r>
    </w:p>
    <w:p>
      <w:pPr>
        <w:spacing w:line="360" w:lineRule="auto"/>
        <w:ind w:firstLine="560"/>
        <w:rPr>
          <w:rFonts w:ascii="仿宋_GB2312"/>
          <w:szCs w:val="28"/>
        </w:rPr>
      </w:pPr>
      <w:r>
        <w:rPr>
          <w:rFonts w:ascii="仿宋_GB2312"/>
          <w:szCs w:val="28"/>
        </w:rPr>
        <w:t>3.</w:t>
      </w:r>
      <w:r>
        <w:rPr>
          <w:rFonts w:hint="eastAsia" w:ascii="仿宋_GB2312"/>
          <w:szCs w:val="28"/>
        </w:rPr>
        <w:t>项目的申报、审核机制完善；</w:t>
      </w:r>
    </w:p>
    <w:p>
      <w:pPr>
        <w:spacing w:line="360" w:lineRule="auto"/>
        <w:ind w:firstLine="560"/>
        <w:rPr>
          <w:rFonts w:ascii="仿宋_GB2312"/>
          <w:szCs w:val="28"/>
        </w:rPr>
      </w:pPr>
      <w:r>
        <w:rPr>
          <w:rFonts w:ascii="仿宋_GB2312"/>
          <w:szCs w:val="28"/>
        </w:rPr>
        <w:t>4.</w:t>
      </w:r>
      <w:r>
        <w:rPr>
          <w:rFonts w:hint="eastAsia" w:ascii="仿宋_GB2312"/>
          <w:szCs w:val="28"/>
        </w:rPr>
        <w:t>未发现虚假行为和骗取财政资金的问题。</w:t>
      </w:r>
    </w:p>
    <w:p>
      <w:pPr>
        <w:pStyle w:val="2"/>
        <w:ind w:firstLine="0" w:firstLineChars="0"/>
        <w:jc w:val="left"/>
        <w:rPr>
          <w:rFonts w:ascii="仿宋" w:hAnsi="仿宋" w:eastAsia="仿宋"/>
          <w:sz w:val="36"/>
          <w:szCs w:val="36"/>
          <w:lang w:bidi="en-US"/>
        </w:rPr>
      </w:pPr>
      <w:bookmarkStart w:id="60" w:name="_Toc67911620"/>
      <w:bookmarkStart w:id="61" w:name="_Toc100784620"/>
      <w:r>
        <w:rPr>
          <w:rFonts w:hint="eastAsia" w:ascii="仿宋" w:hAnsi="仿宋" w:eastAsia="仿宋"/>
          <w:sz w:val="36"/>
          <w:szCs w:val="36"/>
          <w:lang w:bidi="en-US"/>
        </w:rPr>
        <w:t>八、有关建议</w:t>
      </w:r>
      <w:bookmarkEnd w:id="60"/>
      <w:bookmarkEnd w:id="61"/>
    </w:p>
    <w:p>
      <w:pPr>
        <w:spacing w:line="360" w:lineRule="auto"/>
        <w:ind w:firstLine="560"/>
        <w:rPr>
          <w:rFonts w:hint="eastAsia" w:ascii="仿宋_GB2312" w:eastAsia="仿宋_GB2312"/>
          <w:sz w:val="28"/>
          <w:szCs w:val="28"/>
          <w:highlight w:val="none"/>
          <w:lang w:eastAsia="zh-CN"/>
        </w:rPr>
      </w:pPr>
      <w:bookmarkStart w:id="62" w:name="_GoBack"/>
      <w:r>
        <w:rPr>
          <w:rFonts w:hint="eastAsia" w:ascii="仿宋_GB2312"/>
          <w:sz w:val="28"/>
          <w:szCs w:val="28"/>
          <w:highlight w:val="none"/>
          <w:lang w:eastAsia="zh-CN"/>
        </w:rPr>
        <w:t>无</w:t>
      </w:r>
    </w:p>
    <w:bookmarkEnd w:id="62"/>
    <w:sectPr>
      <w:headerReference r:id="rId13" w:type="default"/>
      <w:footerReference r:id="rId14"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Gungsuh">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华文宋体">
    <w:panose1 w:val="02010600040101010101"/>
    <w:charset w:val="86"/>
    <w:family w:val="auto"/>
    <w:pitch w:val="default"/>
    <w:sig w:usb0="00000287" w:usb1="080F0000" w:usb2="00000000" w:usb3="00000000" w:csb0="0004009F" w:csb1="DFD7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6182009"/>
      <w:docPartObj>
        <w:docPartGallery w:val="autotext"/>
      </w:docPartObj>
    </w:sdtPr>
    <w:sdtEndPr>
      <w:rPr>
        <w:rFonts w:hint="eastAsia" w:ascii="仿宋_GB2312" w:eastAsia="仿宋_GB2312"/>
        <w:sz w:val="21"/>
        <w:szCs w:val="21"/>
      </w:rPr>
    </w:sdtEndPr>
    <w:sdtContent>
      <w:p>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7</w:t>
        </w:r>
        <w:r>
          <w:rPr>
            <w:rFonts w:hint="eastAsia" w:ascii="仿宋_GB2312" w:eastAsia="仿宋_GB2312"/>
            <w:sz w:val="21"/>
            <w:szCs w:val="21"/>
          </w:rPr>
          <w:fldChar w:fldCharType="end"/>
        </w:r>
      </w:p>
    </w:sdtContent>
  </w:sdt>
  <w:p>
    <w:pPr>
      <w:pStyle w:val="9"/>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836155"/>
      <w:docPartObj>
        <w:docPartGallery w:val="autotext"/>
      </w:docPartObj>
    </w:sdtPr>
    <w:sdtEndPr>
      <w:rPr>
        <w:rFonts w:hint="eastAsia" w:ascii="仿宋_GB2312" w:eastAsia="仿宋_GB2312"/>
        <w:sz w:val="21"/>
        <w:szCs w:val="21"/>
      </w:rPr>
    </w:sdtEndPr>
    <w:sdtContent>
      <w:p>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20</w:t>
        </w:r>
        <w:r>
          <w:rPr>
            <w:rFonts w:hint="eastAsia" w:ascii="仿宋_GB2312" w:eastAsia="仿宋_GB2312"/>
            <w:sz w:val="21"/>
            <w:szCs w:val="21"/>
          </w:rPr>
          <w:fldChar w:fldCharType="end"/>
        </w:r>
      </w:p>
    </w:sdtContent>
  </w:sdt>
  <w:p>
    <w:pPr>
      <w:pStyle w:val="9"/>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ind w:firstLine="560"/>
      </w:pPr>
      <w:r>
        <w:separator/>
      </w:r>
    </w:p>
  </w:footnote>
  <w:footnote w:type="continuationSeparator" w:id="5">
    <w:p>
      <w:pPr>
        <w:ind w:firstLine="560"/>
      </w:pPr>
      <w:r>
        <w:continuationSeparator/>
      </w:r>
    </w:p>
  </w:footnote>
  <w:footnote w:id="0">
    <w:p>
      <w:pPr>
        <w:pStyle w:val="12"/>
        <w:ind w:firstLine="0" w:firstLineChars="0"/>
        <w:jc w:val="both"/>
        <w:rPr>
          <w:rFonts w:ascii="仿宋_GB2312"/>
        </w:rPr>
      </w:pPr>
      <w:r>
        <w:rPr>
          <w:rStyle w:val="20"/>
          <w:rFonts w:hint="eastAsia" w:ascii="仿宋_GB2312"/>
        </w:rPr>
        <w:footnoteRef/>
      </w:r>
      <w:r>
        <w:rPr>
          <w:rFonts w:hint="eastAsia" w:ascii="仿宋_GB2312"/>
        </w:rPr>
        <w:t xml:space="preserve"> 前期准备主要包括实地调研和认真研读相关文件，根据绩效评价的基本原理、原则和项目特点，结合项目绩效目标，项目绩效评组制定了评价指标体系、评分标准、评价方法和相关的工作程序及步骤，形成评价初步方案。</w:t>
      </w:r>
    </w:p>
  </w:footnote>
  <w:footnote w:id="1">
    <w:p>
      <w:pPr>
        <w:pStyle w:val="12"/>
        <w:ind w:firstLine="0" w:firstLineChars="0"/>
        <w:jc w:val="both"/>
        <w:rPr>
          <w:rFonts w:ascii="仿宋_GB2312"/>
        </w:rPr>
      </w:pPr>
      <w:r>
        <w:rPr>
          <w:rStyle w:val="20"/>
          <w:rFonts w:hint="eastAsia" w:ascii="仿宋_GB2312"/>
        </w:rPr>
        <w:footnoteRef/>
      </w:r>
      <w:r>
        <w:rPr>
          <w:rFonts w:ascii="仿宋_GB2312"/>
        </w:rPr>
        <w:t xml:space="preserve"> </w:t>
      </w:r>
      <w:r>
        <w:rPr>
          <w:rFonts w:hint="eastAsia" w:ascii="仿宋_GB2312"/>
        </w:rPr>
        <w:t>参考《关于印发&lt;项目支出绩效评价管理办法&gt;的通知》（财预〔2020〕10号）中的规定，本次绩效评价结果实施百分制和四级分类，其中90（含）-100分为优、80（含）-90分为良、60（含）-80分为中、60分以下为差。</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jc w:val="right"/>
      <w:rPr>
        <w:rFonts w:ascii="仿宋_GB2312" w:eastAsia="仿宋_GB2312"/>
        <w:sz w:val="21"/>
        <w:szCs w:val="21"/>
      </w:rPr>
    </w:pPr>
    <w:r>
      <w:rPr>
        <w:rFonts w:hint="eastAsia" w:ascii="仿宋_GB2312" w:eastAsia="仿宋_GB2312"/>
        <w:sz w:val="21"/>
        <w:szCs w:val="21"/>
      </w:rPr>
      <w:t>财政委托审计费自评报告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40"/>
  <w:drawingGridVerticalSpacing w:val="381"/>
  <w:displayHorizontalDrawingGridEvery w:val="0"/>
  <w:characterSpacingControl w:val="compressPunctuation"/>
  <w:footnotePr>
    <w:footnote w:id="4"/>
    <w:footnote w:id="5"/>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xYjg2YmQ2Y2I1MDkwODBhZTVmODg1Y2MwYmViNjcifQ=="/>
  </w:docVars>
  <w:rsids>
    <w:rsidRoot w:val="00A43A0A"/>
    <w:rsid w:val="00031A7F"/>
    <w:rsid w:val="00042151"/>
    <w:rsid w:val="000438A0"/>
    <w:rsid w:val="0007002C"/>
    <w:rsid w:val="00071C0F"/>
    <w:rsid w:val="00086724"/>
    <w:rsid w:val="000A2B58"/>
    <w:rsid w:val="000A43E8"/>
    <w:rsid w:val="000B520E"/>
    <w:rsid w:val="000B6FA0"/>
    <w:rsid w:val="000C720A"/>
    <w:rsid w:val="000C77D3"/>
    <w:rsid w:val="000E1EB5"/>
    <w:rsid w:val="000F5DE3"/>
    <w:rsid w:val="00111969"/>
    <w:rsid w:val="00147D9F"/>
    <w:rsid w:val="001544E6"/>
    <w:rsid w:val="001645EB"/>
    <w:rsid w:val="00187B13"/>
    <w:rsid w:val="001A3189"/>
    <w:rsid w:val="001A79B9"/>
    <w:rsid w:val="001C50BA"/>
    <w:rsid w:val="001D66B5"/>
    <w:rsid w:val="001E754D"/>
    <w:rsid w:val="001E7E9F"/>
    <w:rsid w:val="00201C55"/>
    <w:rsid w:val="00213964"/>
    <w:rsid w:val="00220DC6"/>
    <w:rsid w:val="0022245F"/>
    <w:rsid w:val="0022294C"/>
    <w:rsid w:val="00225A82"/>
    <w:rsid w:val="00247354"/>
    <w:rsid w:val="00250131"/>
    <w:rsid w:val="00261F2F"/>
    <w:rsid w:val="00262B75"/>
    <w:rsid w:val="002810AA"/>
    <w:rsid w:val="002B7C09"/>
    <w:rsid w:val="002E1E67"/>
    <w:rsid w:val="002E608B"/>
    <w:rsid w:val="00302E15"/>
    <w:rsid w:val="0032183D"/>
    <w:rsid w:val="0032329D"/>
    <w:rsid w:val="00332C71"/>
    <w:rsid w:val="00333EA5"/>
    <w:rsid w:val="00340CED"/>
    <w:rsid w:val="00343485"/>
    <w:rsid w:val="00350839"/>
    <w:rsid w:val="003766AB"/>
    <w:rsid w:val="00377BA7"/>
    <w:rsid w:val="003C24DB"/>
    <w:rsid w:val="003C4BD9"/>
    <w:rsid w:val="003D74DE"/>
    <w:rsid w:val="00404C10"/>
    <w:rsid w:val="004249EE"/>
    <w:rsid w:val="00425C1F"/>
    <w:rsid w:val="00437C39"/>
    <w:rsid w:val="004925F6"/>
    <w:rsid w:val="004957B3"/>
    <w:rsid w:val="004B12BE"/>
    <w:rsid w:val="004B5A40"/>
    <w:rsid w:val="004D4759"/>
    <w:rsid w:val="004E0DF3"/>
    <w:rsid w:val="004F17C9"/>
    <w:rsid w:val="004F66E9"/>
    <w:rsid w:val="005345BF"/>
    <w:rsid w:val="00534DD6"/>
    <w:rsid w:val="005417D4"/>
    <w:rsid w:val="0054442E"/>
    <w:rsid w:val="00553F30"/>
    <w:rsid w:val="00563798"/>
    <w:rsid w:val="00566083"/>
    <w:rsid w:val="0056794C"/>
    <w:rsid w:val="005764CD"/>
    <w:rsid w:val="005779FD"/>
    <w:rsid w:val="0058379D"/>
    <w:rsid w:val="00592653"/>
    <w:rsid w:val="00593474"/>
    <w:rsid w:val="005A12D0"/>
    <w:rsid w:val="005A2254"/>
    <w:rsid w:val="005A5ABF"/>
    <w:rsid w:val="005A5E3B"/>
    <w:rsid w:val="005B7A28"/>
    <w:rsid w:val="005D2F48"/>
    <w:rsid w:val="005D4D5B"/>
    <w:rsid w:val="005E2098"/>
    <w:rsid w:val="005F226E"/>
    <w:rsid w:val="005F273F"/>
    <w:rsid w:val="005F3A17"/>
    <w:rsid w:val="00604BA5"/>
    <w:rsid w:val="00607D5B"/>
    <w:rsid w:val="00611B95"/>
    <w:rsid w:val="00614CEC"/>
    <w:rsid w:val="00627F97"/>
    <w:rsid w:val="0065079B"/>
    <w:rsid w:val="00656DB7"/>
    <w:rsid w:val="00662C67"/>
    <w:rsid w:val="006B60FE"/>
    <w:rsid w:val="006C40AE"/>
    <w:rsid w:val="006E6431"/>
    <w:rsid w:val="006F3315"/>
    <w:rsid w:val="007027A1"/>
    <w:rsid w:val="00705854"/>
    <w:rsid w:val="00722A72"/>
    <w:rsid w:val="0073210F"/>
    <w:rsid w:val="00733402"/>
    <w:rsid w:val="0073417E"/>
    <w:rsid w:val="00743F96"/>
    <w:rsid w:val="0076734C"/>
    <w:rsid w:val="00783118"/>
    <w:rsid w:val="007C3F63"/>
    <w:rsid w:val="007F185A"/>
    <w:rsid w:val="007F6051"/>
    <w:rsid w:val="007F6745"/>
    <w:rsid w:val="007F77F3"/>
    <w:rsid w:val="008123C5"/>
    <w:rsid w:val="00831695"/>
    <w:rsid w:val="008327EB"/>
    <w:rsid w:val="00835535"/>
    <w:rsid w:val="00863F65"/>
    <w:rsid w:val="00866FB0"/>
    <w:rsid w:val="00884C5F"/>
    <w:rsid w:val="00894E2C"/>
    <w:rsid w:val="008A3394"/>
    <w:rsid w:val="008A476A"/>
    <w:rsid w:val="008C4803"/>
    <w:rsid w:val="008D3FFC"/>
    <w:rsid w:val="008D6D96"/>
    <w:rsid w:val="009068E0"/>
    <w:rsid w:val="00907B15"/>
    <w:rsid w:val="00917C57"/>
    <w:rsid w:val="009214DF"/>
    <w:rsid w:val="00923604"/>
    <w:rsid w:val="009258BD"/>
    <w:rsid w:val="00933961"/>
    <w:rsid w:val="009546FE"/>
    <w:rsid w:val="0095473C"/>
    <w:rsid w:val="00954936"/>
    <w:rsid w:val="00963948"/>
    <w:rsid w:val="00981879"/>
    <w:rsid w:val="0098656D"/>
    <w:rsid w:val="00995079"/>
    <w:rsid w:val="00996B5B"/>
    <w:rsid w:val="009A33B6"/>
    <w:rsid w:val="009D4C5C"/>
    <w:rsid w:val="009F55B0"/>
    <w:rsid w:val="00A00443"/>
    <w:rsid w:val="00A106CE"/>
    <w:rsid w:val="00A2064E"/>
    <w:rsid w:val="00A22963"/>
    <w:rsid w:val="00A425B1"/>
    <w:rsid w:val="00A43A0A"/>
    <w:rsid w:val="00A52E6C"/>
    <w:rsid w:val="00A52E72"/>
    <w:rsid w:val="00A92F9F"/>
    <w:rsid w:val="00AD5430"/>
    <w:rsid w:val="00AE1DCD"/>
    <w:rsid w:val="00AE6C31"/>
    <w:rsid w:val="00B22F6F"/>
    <w:rsid w:val="00B4167E"/>
    <w:rsid w:val="00B72218"/>
    <w:rsid w:val="00B90BA4"/>
    <w:rsid w:val="00B962E0"/>
    <w:rsid w:val="00BA0A35"/>
    <w:rsid w:val="00BA10B1"/>
    <w:rsid w:val="00BA13B7"/>
    <w:rsid w:val="00BA65B8"/>
    <w:rsid w:val="00BA76B5"/>
    <w:rsid w:val="00BC5C63"/>
    <w:rsid w:val="00BF1766"/>
    <w:rsid w:val="00C00DA2"/>
    <w:rsid w:val="00C10C79"/>
    <w:rsid w:val="00C20C51"/>
    <w:rsid w:val="00C409B9"/>
    <w:rsid w:val="00C634EC"/>
    <w:rsid w:val="00C66545"/>
    <w:rsid w:val="00C8191C"/>
    <w:rsid w:val="00C927D9"/>
    <w:rsid w:val="00CA74C5"/>
    <w:rsid w:val="00CB3DFC"/>
    <w:rsid w:val="00CB6D38"/>
    <w:rsid w:val="00CE6337"/>
    <w:rsid w:val="00CF640C"/>
    <w:rsid w:val="00D04E2D"/>
    <w:rsid w:val="00D152B1"/>
    <w:rsid w:val="00D23DCB"/>
    <w:rsid w:val="00D3320C"/>
    <w:rsid w:val="00D4562E"/>
    <w:rsid w:val="00D84293"/>
    <w:rsid w:val="00D9228E"/>
    <w:rsid w:val="00DA4BA7"/>
    <w:rsid w:val="00DB316E"/>
    <w:rsid w:val="00DC1EA8"/>
    <w:rsid w:val="00DD54BF"/>
    <w:rsid w:val="00DF643F"/>
    <w:rsid w:val="00E00B28"/>
    <w:rsid w:val="00E014DB"/>
    <w:rsid w:val="00E04EC2"/>
    <w:rsid w:val="00E14FE5"/>
    <w:rsid w:val="00E24ACA"/>
    <w:rsid w:val="00E26770"/>
    <w:rsid w:val="00E30B1D"/>
    <w:rsid w:val="00E526C7"/>
    <w:rsid w:val="00E73F9C"/>
    <w:rsid w:val="00E75E83"/>
    <w:rsid w:val="00EA63EF"/>
    <w:rsid w:val="00EA7E72"/>
    <w:rsid w:val="00EB0442"/>
    <w:rsid w:val="00EC5F03"/>
    <w:rsid w:val="00EF3B51"/>
    <w:rsid w:val="00F06D23"/>
    <w:rsid w:val="00F36E98"/>
    <w:rsid w:val="00F52C6D"/>
    <w:rsid w:val="00F55451"/>
    <w:rsid w:val="00F73710"/>
    <w:rsid w:val="00F872E7"/>
    <w:rsid w:val="00FA4373"/>
    <w:rsid w:val="00FB09C6"/>
    <w:rsid w:val="00FB2BBD"/>
    <w:rsid w:val="00FD7A36"/>
    <w:rsid w:val="00FD7C5F"/>
    <w:rsid w:val="00FE193C"/>
    <w:rsid w:val="00FE7DCA"/>
    <w:rsid w:val="00FF0452"/>
    <w:rsid w:val="018E0634"/>
    <w:rsid w:val="19E44CD2"/>
    <w:rsid w:val="2149423F"/>
    <w:rsid w:val="216D6D60"/>
    <w:rsid w:val="22065156"/>
    <w:rsid w:val="22FB5429"/>
    <w:rsid w:val="29197F9A"/>
    <w:rsid w:val="418C0EC7"/>
    <w:rsid w:val="41C95079"/>
    <w:rsid w:val="4B581264"/>
    <w:rsid w:val="522A080F"/>
    <w:rsid w:val="56B97761"/>
    <w:rsid w:val="5AF01470"/>
    <w:rsid w:val="5EC56770"/>
    <w:rsid w:val="68617509"/>
    <w:rsid w:val="6AD41A15"/>
    <w:rsid w:val="706C22BF"/>
    <w:rsid w:val="77B82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1"/>
    <w:unhideWhenUsed/>
    <w:qFormat/>
    <w:uiPriority w:val="99"/>
    <w:pPr>
      <w:jc w:val="left"/>
    </w:pPr>
  </w:style>
  <w:style w:type="paragraph" w:styleId="6">
    <w:name w:val="toc 3"/>
    <w:basedOn w:val="1"/>
    <w:next w:val="1"/>
    <w:unhideWhenUsed/>
    <w:qFormat/>
    <w:uiPriority w:val="39"/>
    <w:pPr>
      <w:ind w:left="840" w:leftChars="400"/>
    </w:pPr>
  </w:style>
  <w:style w:type="paragraph" w:styleId="7">
    <w:name w:val="Date"/>
    <w:basedOn w:val="1"/>
    <w:next w:val="1"/>
    <w:link w:val="26"/>
    <w:semiHidden/>
    <w:unhideWhenUsed/>
    <w:qFormat/>
    <w:uiPriority w:val="99"/>
    <w:pPr>
      <w:ind w:left="100" w:leftChars="2500"/>
    </w:pPr>
  </w:style>
  <w:style w:type="paragraph" w:styleId="8">
    <w:name w:val="Balloon Text"/>
    <w:basedOn w:val="1"/>
    <w:link w:val="33"/>
    <w:semiHidden/>
    <w:unhideWhenUsed/>
    <w:qFormat/>
    <w:uiPriority w:val="99"/>
    <w:rPr>
      <w:sz w:val="18"/>
      <w:szCs w:val="18"/>
    </w:rPr>
  </w:style>
  <w:style w:type="paragraph" w:styleId="9">
    <w:name w:val="footer"/>
    <w:basedOn w:val="1"/>
    <w:link w:val="25"/>
    <w:unhideWhenUsed/>
    <w:qFormat/>
    <w:uiPriority w:val="99"/>
    <w:pPr>
      <w:tabs>
        <w:tab w:val="center" w:pos="4153"/>
        <w:tab w:val="right" w:pos="8306"/>
      </w:tabs>
      <w:snapToGrid w:val="0"/>
      <w:ind w:firstLine="0" w:firstLineChars="0"/>
      <w:jc w:val="left"/>
    </w:pPr>
    <w:rPr>
      <w:rFonts w:asciiTheme="minorHAnsi" w:hAnsiTheme="minorHAnsi" w:eastAsiaTheme="minorEastAsia" w:cstheme="minorBidi"/>
      <w:sz w:val="18"/>
      <w:szCs w:val="18"/>
    </w:rPr>
  </w:style>
  <w:style w:type="paragraph" w:styleId="10">
    <w:name w:val="header"/>
    <w:basedOn w:val="1"/>
    <w:link w:val="24"/>
    <w:unhideWhenUsed/>
    <w:qFormat/>
    <w:uiPriority w:val="99"/>
    <w:pPr>
      <w:pBdr>
        <w:bottom w:val="single" w:color="auto" w:sz="6" w:space="1"/>
      </w:pBdr>
      <w:tabs>
        <w:tab w:val="center" w:pos="4153"/>
        <w:tab w:val="right" w:pos="8306"/>
      </w:tabs>
      <w:snapToGrid w:val="0"/>
      <w:ind w:firstLine="0" w:firstLineChars="0"/>
      <w:jc w:val="center"/>
    </w:pPr>
    <w:rPr>
      <w:rFonts w:asciiTheme="minorHAnsi" w:hAnsiTheme="minorHAnsi" w:eastAsiaTheme="minorEastAsia" w:cstheme="minorBidi"/>
      <w:sz w:val="18"/>
      <w:szCs w:val="18"/>
    </w:rPr>
  </w:style>
  <w:style w:type="paragraph" w:styleId="11">
    <w:name w:val="toc 1"/>
    <w:basedOn w:val="1"/>
    <w:next w:val="1"/>
    <w:unhideWhenUsed/>
    <w:qFormat/>
    <w:uiPriority w:val="39"/>
  </w:style>
  <w:style w:type="paragraph" w:styleId="12">
    <w:name w:val="footnote text"/>
    <w:basedOn w:val="1"/>
    <w:link w:val="27"/>
    <w:semiHidden/>
    <w:unhideWhenUsed/>
    <w:qFormat/>
    <w:uiPriority w:val="99"/>
    <w:pPr>
      <w:snapToGrid w:val="0"/>
      <w:jc w:val="left"/>
    </w:pPr>
    <w:rPr>
      <w:sz w:val="18"/>
      <w:szCs w:val="18"/>
    </w:rPr>
  </w:style>
  <w:style w:type="paragraph" w:styleId="13">
    <w:name w:val="toc 2"/>
    <w:basedOn w:val="1"/>
    <w:next w:val="1"/>
    <w:unhideWhenUsed/>
    <w:qFormat/>
    <w:uiPriority w:val="39"/>
    <w:pPr>
      <w:ind w:left="420" w:leftChars="200"/>
    </w:pPr>
  </w:style>
  <w:style w:type="paragraph" w:styleId="14">
    <w:name w:val="annotation subject"/>
    <w:basedOn w:val="5"/>
    <w:next w:val="5"/>
    <w:link w:val="32"/>
    <w:semiHidden/>
    <w:unhideWhenUsed/>
    <w:qFormat/>
    <w:uiPriority w:val="99"/>
    <w:rPr>
      <w:b/>
      <w:bCs/>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unhideWhenUsed/>
    <w:qFormat/>
    <w:uiPriority w:val="99"/>
    <w:rPr>
      <w:color w:val="0563C1" w:themeColor="hyperlink"/>
      <w:u w:val="single"/>
      <w14:textFill>
        <w14:solidFill>
          <w14:schemeClr w14:val="hlink"/>
        </w14:solidFill>
      </w14:textFill>
    </w:rPr>
  </w:style>
  <w:style w:type="character" w:styleId="19">
    <w:name w:val="annotation reference"/>
    <w:basedOn w:val="17"/>
    <w:semiHidden/>
    <w:unhideWhenUsed/>
    <w:qFormat/>
    <w:uiPriority w:val="99"/>
    <w:rPr>
      <w:sz w:val="21"/>
      <w:szCs w:val="21"/>
    </w:rPr>
  </w:style>
  <w:style w:type="character" w:styleId="20">
    <w:name w:val="footnote reference"/>
    <w:basedOn w:val="17"/>
    <w:semiHidden/>
    <w:unhideWhenUsed/>
    <w:qFormat/>
    <w:uiPriority w:val="99"/>
    <w:rPr>
      <w:vertAlign w:val="superscript"/>
    </w:rPr>
  </w:style>
  <w:style w:type="character" w:customStyle="1" w:styleId="21">
    <w:name w:val="标题 1 Char"/>
    <w:basedOn w:val="17"/>
    <w:link w:val="2"/>
    <w:qFormat/>
    <w:uiPriority w:val="9"/>
    <w:rPr>
      <w:rFonts w:ascii="Calibri" w:hAnsi="Calibri" w:eastAsia="仿宋_GB2312" w:cs="黑体"/>
      <w:b/>
      <w:bCs/>
      <w:kern w:val="44"/>
      <w:sz w:val="44"/>
      <w:szCs w:val="44"/>
    </w:rPr>
  </w:style>
  <w:style w:type="character" w:customStyle="1" w:styleId="22">
    <w:name w:val="标题 2 Char"/>
    <w:basedOn w:val="17"/>
    <w:link w:val="3"/>
    <w:qFormat/>
    <w:uiPriority w:val="9"/>
    <w:rPr>
      <w:rFonts w:asciiTheme="majorHAnsi" w:hAnsiTheme="majorHAnsi" w:eastAsiaTheme="majorEastAsia" w:cstheme="majorBidi"/>
      <w:b/>
      <w:bCs/>
      <w:sz w:val="32"/>
      <w:szCs w:val="32"/>
    </w:rPr>
  </w:style>
  <w:style w:type="character" w:customStyle="1" w:styleId="23">
    <w:name w:val="标题 3 Char"/>
    <w:basedOn w:val="17"/>
    <w:link w:val="4"/>
    <w:qFormat/>
    <w:uiPriority w:val="9"/>
    <w:rPr>
      <w:rFonts w:ascii="Calibri" w:hAnsi="Calibri" w:eastAsia="仿宋_GB2312" w:cs="黑体"/>
      <w:b/>
      <w:bCs/>
      <w:sz w:val="32"/>
      <w:szCs w:val="32"/>
    </w:rPr>
  </w:style>
  <w:style w:type="character" w:customStyle="1" w:styleId="24">
    <w:name w:val="页眉 Char"/>
    <w:basedOn w:val="17"/>
    <w:link w:val="10"/>
    <w:qFormat/>
    <w:uiPriority w:val="99"/>
    <w:rPr>
      <w:sz w:val="18"/>
      <w:szCs w:val="18"/>
    </w:rPr>
  </w:style>
  <w:style w:type="character" w:customStyle="1" w:styleId="25">
    <w:name w:val="页脚 Char"/>
    <w:basedOn w:val="17"/>
    <w:link w:val="9"/>
    <w:qFormat/>
    <w:uiPriority w:val="99"/>
    <w:rPr>
      <w:sz w:val="18"/>
      <w:szCs w:val="18"/>
    </w:rPr>
  </w:style>
  <w:style w:type="character" w:customStyle="1" w:styleId="26">
    <w:name w:val="日期 Char"/>
    <w:basedOn w:val="17"/>
    <w:link w:val="7"/>
    <w:semiHidden/>
    <w:qFormat/>
    <w:uiPriority w:val="99"/>
    <w:rPr>
      <w:rFonts w:ascii="Calibri" w:hAnsi="Calibri" w:eastAsia="仿宋_GB2312" w:cs="黑体"/>
      <w:sz w:val="28"/>
    </w:rPr>
  </w:style>
  <w:style w:type="character" w:customStyle="1" w:styleId="27">
    <w:name w:val="脚注文本 Char"/>
    <w:basedOn w:val="17"/>
    <w:link w:val="12"/>
    <w:semiHidden/>
    <w:qFormat/>
    <w:uiPriority w:val="99"/>
    <w:rPr>
      <w:rFonts w:ascii="Calibri" w:hAnsi="Calibri" w:eastAsia="仿宋_GB2312" w:cs="黑体"/>
      <w:sz w:val="18"/>
      <w:szCs w:val="18"/>
    </w:rPr>
  </w:style>
  <w:style w:type="paragraph" w:styleId="28">
    <w:name w:val="List Paragraph"/>
    <w:basedOn w:val="1"/>
    <w:qFormat/>
    <w:uiPriority w:val="34"/>
    <w:pPr>
      <w:ind w:firstLine="420"/>
    </w:pPr>
  </w:style>
  <w:style w:type="table" w:customStyle="1" w:styleId="29">
    <w:name w:val="网格型1"/>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0">
    <w:name w:val="TOC Heading"/>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31">
    <w:name w:val="批注文字 Char"/>
    <w:basedOn w:val="17"/>
    <w:link w:val="5"/>
    <w:qFormat/>
    <w:uiPriority w:val="99"/>
    <w:rPr>
      <w:rFonts w:ascii="Calibri" w:hAnsi="Calibri" w:eastAsia="仿宋_GB2312" w:cs="黑体"/>
      <w:sz w:val="28"/>
    </w:rPr>
  </w:style>
  <w:style w:type="character" w:customStyle="1" w:styleId="32">
    <w:name w:val="批注主题 Char"/>
    <w:basedOn w:val="31"/>
    <w:link w:val="14"/>
    <w:semiHidden/>
    <w:qFormat/>
    <w:uiPriority w:val="99"/>
    <w:rPr>
      <w:rFonts w:ascii="Calibri" w:hAnsi="Calibri" w:eastAsia="仿宋_GB2312" w:cs="黑体"/>
      <w:b/>
      <w:bCs/>
      <w:sz w:val="28"/>
    </w:rPr>
  </w:style>
  <w:style w:type="character" w:customStyle="1" w:styleId="33">
    <w:name w:val="批注框文本 Char"/>
    <w:basedOn w:val="17"/>
    <w:link w:val="8"/>
    <w:semiHidden/>
    <w:qFormat/>
    <w:uiPriority w:val="99"/>
    <w:rPr>
      <w:rFonts w:ascii="Calibri" w:hAnsi="Calibri" w:eastAsia="仿宋_GB2312" w:cs="黑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4E86A-DDD8-4986-A4CA-450E8FD5B409}">
  <ds:schemaRefs/>
</ds:datastoreItem>
</file>

<file path=docProps/app.xml><?xml version="1.0" encoding="utf-8"?>
<Properties xmlns="http://schemas.openxmlformats.org/officeDocument/2006/extended-properties" xmlns:vt="http://schemas.openxmlformats.org/officeDocument/2006/docPropsVTypes">
  <Template>Normal</Template>
  <Pages>26</Pages>
  <Words>9517</Words>
  <Characters>9933</Characters>
  <Lines>79</Lines>
  <Paragraphs>22</Paragraphs>
  <TotalTime>6</TotalTime>
  <ScaleCrop>false</ScaleCrop>
  <LinksUpToDate>false</LinksUpToDate>
  <CharactersWithSpaces>10087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2022-04-13T15:23:00Z</dcterms:created>
  <dc:creator>张 宇</dc:creator>
  <cp:lastModifiedBy>逐梦令</cp:lastModifiedBy>
  <cp:lastPrinted>2023-04-11T02:57:00Z</cp:lastPrinted>
  <dcterms:modified xsi:type="dcterms:W3CDTF">2023-09-01T15:01:00Z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4414406F1ECC4E6C95060BCE3218FE6B</vt:lpwstr>
  </property>
</Properties>
</file>