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乌鲁木齐市米东区第79中学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(1)全面贯彻党和国家的路线、方针、政策、法规，全面实施素质教育，认真执行上级党委和教育行政部门的指示，依法治校，努力提高学校的办学水平和办学效益</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(2)全面规划，统一安排学校的各项工作，组织制定和实施学校发展规划、工作计划</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(3)负责健全学校行政指挥系统，健全各项规章制度，保证学校正常的工作秩序</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(4)按照学校经费使用计划，负责教育教学及办公用品、维修设备的采购、发放和管理工作</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(5)根据预算安排，拟定收支计划，并组织实施、管理和监督</w:t>
      </w:r>
      <w:r>
        <w:rPr>
          <w:rFonts w:hint="eastAsia" w:ascii="仿宋_GB2312" w:hAnsi="仿宋_GB2312" w:eastAsia="仿宋_GB2312"/>
          <w:kern w:val="0"/>
          <w:sz w:val="32"/>
          <w:szCs w:val="24"/>
          <w:lang w:eastAsia="zh-CN"/>
        </w:rPr>
        <w:t>；</w:t>
      </w:r>
    </w:p>
    <w:p>
      <w:pPr>
        <w:shd w:val="clear" w:color="auto" w:fill="FFFFFF"/>
        <w:spacing w:beforeLines="0" w:afterLines="0" w:line="360" w:lineRule="auto"/>
        <w:ind w:firstLine="640"/>
        <w:rPr>
          <w:rFonts w:hint="default" w:ascii="仿宋_GB2312" w:hAnsi="仿宋_GB2312" w:eastAsia="仿宋_GB2312"/>
          <w:kern w:val="0"/>
          <w:sz w:val="32"/>
          <w:szCs w:val="24"/>
          <w:lang w:val="zh-CN"/>
        </w:rPr>
      </w:pPr>
      <w:r>
        <w:rPr>
          <w:rFonts w:hint="eastAsia" w:ascii="仿宋_GB2312" w:hAnsi="仿宋_GB2312" w:eastAsia="仿宋_GB2312"/>
          <w:kern w:val="0"/>
          <w:sz w:val="32"/>
          <w:szCs w:val="24"/>
        </w:rPr>
        <w:t>(6)规范会计行为；组织执行国家统一的会计制度和自治区相关补充规定；组织管理会计人员的业务培训。</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乌鲁木齐市米东区第79中学2022年度，实有人数189人，其中：在职人员104人，离休人员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人，退休人员85人。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从部门决算单位构成看，乌鲁木齐市米东区第79中学部门决算包括：乌鲁木齐市米东区第79中学</w:t>
      </w:r>
      <w:r>
        <w:rPr>
          <w:rFonts w:hint="eastAsia" w:ascii="仿宋_GB2312" w:hAnsi="仿宋_GB2312" w:eastAsia="仿宋_GB2312"/>
          <w:kern w:val="0"/>
          <w:sz w:val="32"/>
          <w:szCs w:val="24"/>
          <w:lang w:val="zh-CN"/>
        </w:rPr>
        <w:t>决算。单位无下属预算单位，下设5个科室，分别是：</w:t>
      </w:r>
      <w:r>
        <w:rPr>
          <w:rFonts w:hint="eastAsia" w:ascii="仿宋_GB2312" w:hAnsi="仿宋_GB2312" w:eastAsia="仿宋_GB2312"/>
          <w:kern w:val="0"/>
          <w:sz w:val="32"/>
          <w:szCs w:val="24"/>
        </w:rPr>
        <w:t>党政办、总务处、教务处、财务处、安全办</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2,463.32万元，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2,389.19</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74.13</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与上年相比，增加315.42万元，增长14.69%，主要原因是：</w:t>
      </w:r>
      <w:r>
        <w:rPr>
          <w:rFonts w:hint="eastAsia" w:ascii="仿宋_GB2312" w:hAnsi="仿宋_GB2312" w:eastAsia="仿宋_GB2312"/>
          <w:sz w:val="32"/>
          <w:szCs w:val="24"/>
        </w:rPr>
        <w:t>职工工资待遇增加，社保基数调整，人员经费收入相应增加等</w:t>
      </w:r>
      <w:r>
        <w:rPr>
          <w:rFonts w:hint="eastAsia" w:ascii="仿宋_GB2312" w:hAnsi="仿宋_GB2312" w:eastAsia="仿宋_GB2312"/>
          <w:kern w:val="0"/>
          <w:sz w:val="32"/>
          <w:szCs w:val="24"/>
        </w:rPr>
        <w:t>，</w:t>
      </w:r>
      <w:r>
        <w:rPr>
          <w:rFonts w:hint="eastAsia" w:ascii="仿宋_GB2312" w:hAnsi="仿宋_GB2312" w:eastAsia="仿宋_GB2312"/>
          <w:kern w:val="0"/>
          <w:sz w:val="32"/>
          <w:szCs w:val="24"/>
          <w:lang w:val="en-US" w:eastAsia="zh-CN"/>
        </w:rPr>
        <w:t>增加2021年</w:t>
      </w:r>
      <w:r>
        <w:rPr>
          <w:rFonts w:hint="eastAsia" w:ascii="仿宋_GB2312" w:hAnsi="仿宋_GB2312" w:eastAsia="仿宋_GB2312"/>
          <w:kern w:val="0"/>
          <w:sz w:val="32"/>
          <w:szCs w:val="24"/>
        </w:rPr>
        <w:t>秋季课后托管费。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2,463.32万元，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2,183.15</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280.17</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与上年相比，增加315.42万元，增长14.69%，主要原因是：</w:t>
      </w:r>
      <w:r>
        <w:rPr>
          <w:rFonts w:hint="eastAsia" w:ascii="仿宋_GB2312" w:hAnsi="仿宋_GB2312" w:eastAsia="仿宋_GB2312"/>
          <w:sz w:val="32"/>
          <w:szCs w:val="24"/>
        </w:rPr>
        <w:t>职工工资待遇增加，社保基数调整，人员经费支出相应增加等</w:t>
      </w:r>
      <w:r>
        <w:rPr>
          <w:rFonts w:hint="eastAsia" w:ascii="仿宋_GB2312" w:hAnsi="仿宋_GB2312" w:eastAsia="仿宋_GB2312"/>
          <w:kern w:val="0"/>
          <w:sz w:val="32"/>
          <w:szCs w:val="24"/>
        </w:rPr>
        <w:t>，支付2021年秋季课后托管费。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2022年度本年收入2,389.19万元，其中：财政拨款收入2,251.17万元，占94.22%；上级补助收入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万元，占0.00%；其他收入138.02万元，占5.78%。</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2022年度本年支出2,183.15万元，其中：基本支出2,056.06万元，占94.18%；项目支出127.09万元，占5.82%；上缴上级支出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2,325.31万元，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74.14</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2,251.17</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与上年相比，增加177.41万元，增长8.26%，主要原因是：</w:t>
      </w:r>
      <w:r>
        <w:rPr>
          <w:rFonts w:hint="eastAsia" w:ascii="仿宋_GB2312" w:hAnsi="仿宋_GB2312" w:eastAsia="仿宋_GB2312"/>
          <w:sz w:val="32"/>
          <w:szCs w:val="24"/>
        </w:rPr>
        <w:t>职工工资待遇增加，社保基数调整，人员经费收入相应增加等</w:t>
      </w:r>
      <w:r>
        <w:rPr>
          <w:rFonts w:hint="eastAsia" w:ascii="仿宋_GB2312" w:hAnsi="仿宋_GB2312" w:eastAsia="仿宋_GB2312"/>
          <w:kern w:val="0"/>
          <w:sz w:val="32"/>
          <w:szCs w:val="24"/>
        </w:rPr>
        <w:t>，</w:t>
      </w:r>
      <w:r>
        <w:rPr>
          <w:rFonts w:hint="eastAsia" w:ascii="仿宋_GB2312" w:hAnsi="仿宋_GB2312" w:eastAsia="仿宋_GB2312"/>
          <w:kern w:val="0"/>
          <w:sz w:val="32"/>
          <w:szCs w:val="24"/>
          <w:lang w:val="en-US" w:eastAsia="zh-CN"/>
        </w:rPr>
        <w:t>增加</w:t>
      </w:r>
      <w:r>
        <w:rPr>
          <w:rFonts w:hint="eastAsia" w:ascii="仿宋_GB2312" w:hAnsi="仿宋_GB2312" w:eastAsia="仿宋_GB2312"/>
          <w:kern w:val="0"/>
          <w:sz w:val="32"/>
          <w:szCs w:val="24"/>
        </w:rPr>
        <w:t>2021年秋季课后托管费。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2,325.31万元，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215.38</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2,109.93</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与上年相比，增加177.41万元，增长8.26%，主要原因是：</w:t>
      </w:r>
      <w:r>
        <w:rPr>
          <w:rFonts w:hint="eastAsia" w:ascii="仿宋_GB2312" w:hAnsi="仿宋_GB2312" w:eastAsia="仿宋_GB2312"/>
          <w:sz w:val="32"/>
          <w:szCs w:val="24"/>
        </w:rPr>
        <w:t>职工工资待遇增加，社保基数调整，人员经费支出相应增加等</w:t>
      </w:r>
      <w:r>
        <w:rPr>
          <w:rFonts w:hint="eastAsia" w:ascii="仿宋_GB2312" w:hAnsi="仿宋_GB2312" w:eastAsia="仿宋_GB2312"/>
          <w:kern w:val="0"/>
          <w:sz w:val="32"/>
          <w:szCs w:val="24"/>
        </w:rPr>
        <w:t>，支付2021年秋季课后托管费。</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年初预算数2,217.83万元，决算数2,325.31万元，预决算差异率4.85%，主要原因是：追加</w:t>
      </w:r>
      <w:r>
        <w:rPr>
          <w:rFonts w:hint="eastAsia" w:ascii="仿宋_GB2312" w:hAnsi="仿宋_GB2312" w:eastAsia="仿宋_GB2312"/>
          <w:sz w:val="32"/>
          <w:szCs w:val="24"/>
        </w:rPr>
        <w:t>职工工资待遇、社保等，人员经费相应增加</w:t>
      </w:r>
      <w:r>
        <w:rPr>
          <w:rFonts w:hint="eastAsia" w:ascii="仿宋_GB2312" w:hAnsi="仿宋_GB2312" w:eastAsia="仿宋_GB2312"/>
          <w:kern w:val="0"/>
          <w:sz w:val="32"/>
          <w:szCs w:val="24"/>
        </w:rPr>
        <w:t>，以及2021年秋季课后托管费，导致预决算存在差异。财政拨款支出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年初预算数2,217.83万元，决算数2,325.31万元，预决算差异率4.85%，主要原因是：追加</w:t>
      </w:r>
      <w:r>
        <w:rPr>
          <w:rFonts w:hint="eastAsia" w:ascii="仿宋_GB2312" w:hAnsi="仿宋_GB2312" w:eastAsia="仿宋_GB2312"/>
          <w:sz w:val="32"/>
          <w:szCs w:val="24"/>
        </w:rPr>
        <w:t>职工工资待遇、社保等，人员经费相应增加</w:t>
      </w:r>
      <w:r>
        <w:rPr>
          <w:rFonts w:hint="eastAsia" w:ascii="仿宋_GB2312" w:hAnsi="仿宋_GB2312" w:eastAsia="仿宋_GB2312"/>
          <w:kern w:val="0"/>
          <w:sz w:val="32"/>
          <w:szCs w:val="24"/>
        </w:rPr>
        <w:t>，以及2021年秋季课后托管费，导致预决算存在差异。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2,109.93</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增加36.17万元，增长1.74%，主要原因是：支付了上年的社保公积金款，增加了教职工工资待遇支出。</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1.教育支出（类）2,109.93万元，占100.00%</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1.教育支出（类）普通教育（款）小学教育（项）:支出决算数为1,118.25万元，比上年决算增加14.87万元，增长1.35%，主要原因是：代课人员增加，劳务费开支加大</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2.教育支出（类）普通教育（款）初中教育（项）:支出决算数为991.68万元，比上年决算增加154.23万元，增长18.42%，主要原因是：新增教师多数为初中部教师，且本年较多初中部教师评优晋级，工资待遇上调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3.教育支出（类）普通教育（款）其他普通教育支出（项）:支出决算数为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万元，比上年决算减少1.20万元，下降100.00%，主要原因是：因疫情原因，南疆支教补助本年未支付</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4.社会保障和就业支出（类）民政管理事务（款）基层政权建设和社区治理（项）:支出决算数为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万元，比上年决算减少8.22万元，下降100.00%，主要原因是：本年社会保障和就业支出（类）民政管理事务（款）基层政权建设和社区治理（项）未支出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5.社会保障和就业支出（类）行政事业单位养老支出（款）机关事业单位基本养老保险缴费支出（项）:支出决算数为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万元，比上年决算减少123.51万元，下降100.00%，主要原因是：2022年部分机关养老款项由2050208款调整为2050202款。</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2022年度一般公共预算财政拨款基本支出2,056.07万元，其中：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人员经费1,831.80万元，包括：基本工资、津贴补贴、绩效工资、机关事业单位基本养老保险缴费、职工基本医疗保险缴费、公务员医疗补助缴费、其他社会保障缴费、住房公积金、抚恤金、生活补助、奖励金。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公用经费224.27万元，包括：办公费、水费、电费、邮电费、取暖费、劳务费。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2022年度乌鲁木齐市米东区第79中学单位公用经费224.27万元，比上年增加86.90万元，增长63.26%，主要原因是：：办公费、取暖费、劳务费等经费支出增加。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2,432.13</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房屋9,773.00平方米，价值1,541.05万元。车辆2辆，价值26.73万元，其中：副部（省）级及以上领导用车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辆、其他用车2辆，其他用车主要是：巡逻车；单价100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根据预算绩效管理要求，我单位2022年度开展预算绩效评价项目4个，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171.11</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51.98</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使我校的各项教育教学工作能有序开展，保障教师的各项教学需要，提升了学校的社会影响力；二是办学条件进一步改善，优化教育资源配置。发现的问题及原因：一是对项目资金的重视情况下还未形成书面管理制度；二是</w:t>
      </w:r>
      <w:r>
        <w:rPr>
          <w:rFonts w:hint="eastAsia" w:ascii="仿宋_GB2312" w:eastAsia="仿宋_GB2312" w:cs="仿宋_GB2312"/>
          <w:kern w:val="0"/>
          <w:sz w:val="32"/>
          <w:szCs w:val="32"/>
        </w:rPr>
        <w:t>年初在做绩效目标时，由于没有对项目数据进行严谨的分析，导致年初年度指标值设置不够准确，造成个别项目绩效目标完成率及执行率较</w:t>
      </w:r>
      <w:r>
        <w:rPr>
          <w:rFonts w:hint="eastAsia" w:ascii="仿宋_GB2312" w:hAnsi="仿宋_GB2312" w:eastAsia="仿宋_GB2312"/>
          <w:kern w:val="0"/>
          <w:sz w:val="32"/>
          <w:szCs w:val="24"/>
        </w:rPr>
        <w:t>。下一步改进措施：一是是协助相关人员尽快形成书面管理制度；二是</w:t>
      </w:r>
      <w:r>
        <w:rPr>
          <w:rFonts w:hint="eastAsia" w:ascii="仿宋_GB2312" w:eastAsia="仿宋_GB2312" w:cs="仿宋_GB2312"/>
          <w:kern w:val="0"/>
          <w:sz w:val="32"/>
          <w:szCs w:val="32"/>
        </w:rPr>
        <w:t>加强项目资金管理，严格规范项目资金使用。严格规范专项资金的审批程序，切实做好专项资金专款专用，严禁专项资金挪作他用。设置专项资金科目进行核算，真实反馈专项资金使用情况，严禁专项资金在项目间自行调剂。</w:t>
      </w:r>
      <w:r>
        <w:rPr>
          <w:rFonts w:hint="eastAsia" w:ascii="仿宋_GB2312" w:hAnsi="仿宋_GB2312" w:eastAsia="仿宋_GB2312"/>
          <w:kern w:val="0"/>
          <w:sz w:val="32"/>
          <w:szCs w:val="24"/>
        </w:rPr>
        <w:t>具体项目自评情况附项目支出绩效自评表。</w:t>
      </w:r>
    </w:p>
    <w:tbl>
      <w:tblPr>
        <w:tblStyle w:val="4"/>
        <w:tblW w:w="4883"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2"/>
        <w:gridCol w:w="628"/>
        <w:gridCol w:w="585"/>
        <w:gridCol w:w="960"/>
        <w:gridCol w:w="930"/>
        <w:gridCol w:w="880"/>
        <w:gridCol w:w="5"/>
        <w:gridCol w:w="663"/>
        <w:gridCol w:w="417"/>
        <w:gridCol w:w="374"/>
        <w:gridCol w:w="627"/>
        <w:gridCol w:w="184"/>
        <w:gridCol w:w="745"/>
        <w:gridCol w:w="425"/>
        <w:gridCol w:w="825"/>
        <w:gridCol w:w="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405" w:hRule="atLeast"/>
        </w:trPr>
        <w:tc>
          <w:tcPr>
            <w:tcW w:w="4994" w:type="pct"/>
            <w:gridSpan w:val="15"/>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270" w:hRule="atLeast"/>
        </w:trPr>
        <w:tc>
          <w:tcPr>
            <w:tcW w:w="4994" w:type="pct"/>
            <w:gridSpan w:val="15"/>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04" w:type="pct"/>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公用经费2---提前下达2022城乡义务教育直达资金（乌财科教【2021】96号】）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939"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c>
          <w:tcPr>
            <w:tcW w:w="627"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838"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0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27"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684"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37.45</w:t>
            </w:r>
          </w:p>
        </w:tc>
        <w:tc>
          <w:tcPr>
            <w:tcW w:w="6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23.81</w:t>
            </w:r>
          </w:p>
        </w:tc>
        <w:tc>
          <w:tcPr>
            <w:tcW w:w="684"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63.58%</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6.36分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37.45</w:t>
            </w:r>
          </w:p>
        </w:tc>
        <w:tc>
          <w:tcPr>
            <w:tcW w:w="6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23.81</w:t>
            </w:r>
          </w:p>
        </w:tc>
        <w:tc>
          <w:tcPr>
            <w:tcW w:w="684"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4"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5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84"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7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05"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46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305"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为教师提供了更多的学习、培训机会，教师专业化水平和综合素质不断提升。</w:t>
            </w:r>
          </w:p>
        </w:tc>
        <w:tc>
          <w:tcPr>
            <w:tcW w:w="2462"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3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601"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38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45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6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3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28"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1601"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8"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6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享受教学条件改善学生数</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&gt;=1519人</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1519人</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水电费缴纳次数</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&gt;=10次</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学校公共设施日常维修改造次数</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&gt;=10次</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教科书质量合格率</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&gt;=99%</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用水用电质量保障率</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每次公共设施维修成本</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&lt;=3.20万元</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3.2万元</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义务教育生均公用经费</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=650元/生/年</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650元/生/年</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每次水电费缴纳费用</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&lt;=5000元</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5000元</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提高社会服务发展能力，提升学生综合素质</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保障教育教学工作正常开展</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60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学生和家长满意度</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4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28"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396" w:hRule="atLeast"/>
        </w:trPr>
        <w:tc>
          <w:tcPr>
            <w:tcW w:w="3372" w:type="pct"/>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96.36分</w:t>
            </w:r>
          </w:p>
        </w:tc>
        <w:tc>
          <w:tcPr>
            <w:tcW w:w="72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4878"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6"/>
        <w:gridCol w:w="694"/>
        <w:gridCol w:w="705"/>
        <w:gridCol w:w="944"/>
        <w:gridCol w:w="634"/>
        <w:gridCol w:w="147"/>
        <w:gridCol w:w="1039"/>
        <w:gridCol w:w="273"/>
        <w:gridCol w:w="908"/>
        <w:gridCol w:w="496"/>
        <w:gridCol w:w="176"/>
        <w:gridCol w:w="711"/>
        <w:gridCol w:w="272"/>
        <w:gridCol w:w="396"/>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5"/>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5"/>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57" w:type="pct"/>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165"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7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9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7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7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94.95</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7.68</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8.09%</w:t>
            </w:r>
          </w:p>
        </w:tc>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0.81分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7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94.95</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7.68</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5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567"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19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567"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19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该项目支付本单位8个月学校安保服务费，维修学校设施，改善我校办学硬件设施，有效改善校园环境，明显提高办学条件，推动义务教育均衡化发展。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0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91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8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8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8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6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0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1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8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6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40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享受教学条件改善学生数</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1519人</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1519人</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水电费缴纳次数</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&gt;=10次</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学校公共设施日常维修改造次数</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&gt;=10次</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10次</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教科书质量合格率</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&gt;=99%</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用水用电质量保障率</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每次公共设施维修成本</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&lt;=9万元</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9万元</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义务教育生均公用经费</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=650元/人/年</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650元/人/年</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每次水电费缴纳费用</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&lt;=5000元</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5000元</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提高社会服务发展能力，提升学生综合素质</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保障教育教学工作正常开展</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91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学生和家长满意度</w:t>
            </w:r>
          </w:p>
        </w:tc>
        <w:tc>
          <w:tcPr>
            <w:tcW w:w="68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6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33"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8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6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90.81分</w:t>
            </w:r>
          </w:p>
        </w:tc>
        <w:tc>
          <w:tcPr>
            <w:tcW w:w="70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hint="default" w:eastAsia="Times New Roman"/>
          <w:color w:val="auto"/>
          <w:kern w:val="0"/>
          <w:sz w:val="18"/>
          <w:szCs w:val="24"/>
          <w:highlight w:val="white"/>
          <w:lang w:val="en-US"/>
        </w:rPr>
      </w:pPr>
    </w:p>
    <w:p>
      <w:pPr>
        <w:shd w:val="clear" w:color="auto" w:fill="FFFFFF"/>
        <w:spacing w:before="100" w:line="520" w:lineRule="exact"/>
        <w:ind w:left="118" w:firstLine="480"/>
        <w:rPr>
          <w:rFonts w:hint="default" w:eastAsia="Times New Roman"/>
          <w:color w:val="auto"/>
          <w:kern w:val="0"/>
          <w:sz w:val="18"/>
          <w:szCs w:val="24"/>
          <w:highlight w:val="white"/>
          <w:lang w:val="en-US"/>
        </w:rPr>
      </w:pPr>
    </w:p>
    <w:p>
      <w:pPr>
        <w:shd w:val="clear" w:color="auto" w:fill="FFFFFF"/>
        <w:spacing w:before="100" w:line="520" w:lineRule="exact"/>
        <w:ind w:left="118" w:firstLine="480"/>
        <w:rPr>
          <w:rFonts w:hint="default" w:eastAsia="Times New Roman"/>
          <w:color w:val="auto"/>
          <w:kern w:val="0"/>
          <w:sz w:val="18"/>
          <w:szCs w:val="24"/>
          <w:highlight w:val="white"/>
          <w:lang w:val="en-US"/>
        </w:rPr>
      </w:pPr>
    </w:p>
    <w:tbl>
      <w:tblPr>
        <w:tblStyle w:val="4"/>
        <w:tblW w:w="4878"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
        <w:gridCol w:w="615"/>
        <w:gridCol w:w="762"/>
        <w:gridCol w:w="708"/>
        <w:gridCol w:w="1297"/>
        <w:gridCol w:w="1104"/>
        <w:gridCol w:w="1037"/>
        <w:gridCol w:w="102"/>
        <w:gridCol w:w="552"/>
        <w:gridCol w:w="228"/>
        <w:gridCol w:w="700"/>
        <w:gridCol w:w="1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01" w:type="pct"/>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乌财科教[2022]45号--关于拨付2022年中小学和幼儿园自聘教师补助资金的通知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59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24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501"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8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7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33.88</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15.66</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46.22%</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4.62分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7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33.88</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15.66</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7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85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7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45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59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16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59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聘用代课教师，弥补现有师资力量的不足，保障学校各项正常教学工作的完成；提高教师的工作效率，提高受益对象的满意度。</w:t>
            </w:r>
          </w:p>
        </w:tc>
        <w:tc>
          <w:tcPr>
            <w:tcW w:w="216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该项目全额发放我单位1-10月非在编教师工资，改善了非在编教师的生活质量，提高了非在编教师工作积极性。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4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16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63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0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7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3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64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116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3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4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代课教师发放人数</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=7人</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16人</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同工同酬教师发放人数</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=6人</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13人</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资金发放准确性</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资金发放及时性</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10个月</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代课教师月工资</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&lt;=4550元</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4200元</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同工同酬教师（大专）月工资</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&lt;=5287.50元/月</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4627.5元/月</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同工同酬教师（本科）月工资</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&lt;=5760.50元/月</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4980.5元/月</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调动代课教师的工作热情和积极性，提高教学质量</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保证教学工作的正常开展</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16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代课教师满意度</w:t>
            </w:r>
          </w:p>
        </w:tc>
        <w:tc>
          <w:tcPr>
            <w:tcW w:w="6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6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因疫情原因，我单位2022年11-12月未发放工资，导致满意度不满100%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39"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3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88.12分</w:t>
            </w:r>
          </w:p>
        </w:tc>
        <w:tc>
          <w:tcPr>
            <w:tcW w:w="6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hint="default" w:eastAsia="Times New Roman"/>
          <w:color w:val="auto"/>
          <w:kern w:val="0"/>
          <w:sz w:val="18"/>
          <w:szCs w:val="24"/>
          <w:highlight w:val="white"/>
          <w:lang w:val="en-US"/>
        </w:rPr>
      </w:pPr>
    </w:p>
    <w:tbl>
      <w:tblPr>
        <w:tblStyle w:val="4"/>
        <w:tblW w:w="4869"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8"/>
        <w:gridCol w:w="645"/>
        <w:gridCol w:w="643"/>
        <w:gridCol w:w="988"/>
        <w:gridCol w:w="1246"/>
        <w:gridCol w:w="320"/>
        <w:gridCol w:w="850"/>
        <w:gridCol w:w="674"/>
        <w:gridCol w:w="383"/>
        <w:gridCol w:w="443"/>
        <w:gridCol w:w="165"/>
        <w:gridCol w:w="746"/>
        <w:gridCol w:w="9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19"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学生补助---提前下达2022城乡义务教育直达资金[乌财科教[2021]96号]]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346"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60"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第79中学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（万元）</w:t>
            </w:r>
          </w:p>
        </w:tc>
        <w:tc>
          <w:tcPr>
            <w:tcW w:w="9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7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7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4.83</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4.83</w:t>
            </w:r>
          </w:p>
        </w:tc>
        <w:tc>
          <w:tcPr>
            <w:tcW w:w="3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7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4.83</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4.83</w:t>
            </w:r>
          </w:p>
        </w:tc>
        <w:tc>
          <w:tcPr>
            <w:tcW w:w="3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7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8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94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 xml:space="preserve"> 其他资金</w:t>
            </w:r>
          </w:p>
        </w:tc>
        <w:tc>
          <w:tcPr>
            <w:tcW w:w="7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1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5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72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1973"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272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解决贫困生生活困难，减轻贫困家庭经济负担，促进贫困生平等享受教育资源</w:t>
            </w:r>
          </w:p>
        </w:tc>
        <w:tc>
          <w:tcPr>
            <w:tcW w:w="1973"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该项目全额发放2022年上半学期贫困生补助，该项目的实施可改善学生生活水平，提高学生生活质量，小学标准为325.5元/学期，中学标准为375元/学期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7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480"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49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39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7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2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1480"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9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9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7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7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发放贫困补助学生人数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&gt;=165人</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205人</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非寄宿贫困学生覆盖率</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享受补助时长</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=2学期</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1学期</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2022年度下半学期因疫情原因，暂未发放该项目部分资金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享受补助标准</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=312.50元/生/学期</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312.5元/生/学期</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解决非寄宿贫困学生困难</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有效解决</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有效解决</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rPr>
                <w:rFonts w:hint="eastAsia" w:ascii="宋体" w:hAns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促进贫困生平等享受教育资源</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长期促进</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长期促进</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c>
          <w:tcPr>
            <w:tcW w:w="3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48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学生及家庭满意度</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3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17"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7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92.50分</w:t>
            </w:r>
          </w:p>
        </w:tc>
        <w:tc>
          <w:tcPr>
            <w:tcW w:w="57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ascii="宋体" w:hAnsi="宋体" w:cs="宋体"/>
                <w:color w:val="000000"/>
                <w:sz w:val="18"/>
                <w:szCs w:val="18"/>
              </w:rPr>
            </w:pPr>
          </w:p>
        </w:tc>
      </w:tr>
    </w:tbl>
    <w:p>
      <w:pPr>
        <w:shd w:val="clear" w:color="auto" w:fill="FFFFFF"/>
        <w:spacing w:before="100" w:beforeLines="0" w:after="240" w:afterLines="0"/>
        <w:jc w:val="center"/>
        <w:rPr>
          <w:rFonts w:hint="default" w:eastAsia="Times New Roman"/>
          <w:b/>
          <w:kern w:val="0"/>
          <w:sz w:val="28"/>
          <w:szCs w:val="24"/>
        </w:rPr>
      </w:pPr>
      <w:bookmarkStart w:id="0" w:name="_GoBack"/>
      <w:bookmarkEnd w:id="0"/>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69E6D4A"/>
    <w:rsid w:val="3F897E5C"/>
    <w:rsid w:val="5B5410F1"/>
    <w:rsid w:val="68305E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7876</Words>
  <Characters>9038</Characters>
  <TotalTime>157</TotalTime>
  <ScaleCrop>false</ScaleCrop>
  <LinksUpToDate>false</LinksUpToDate>
  <CharactersWithSpaces>9052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2023-08-24T03:10:00Z</dcterms:created>
  <dc:creator>asus</dc:creator>
  <cp:lastModifiedBy>逐梦令</cp:lastModifiedBy>
  <dcterms:modified xsi:type="dcterms:W3CDTF">2023-08-31T09:13:44Z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0554C3E650044B18B7DF99C60D34C26E_13</vt:lpwstr>
  </property>
</Properties>
</file>