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hd w:val="clear" w:color="auto" w:fill="FFFFFF"/>
        <w:spacing w:before="240" w:beforeLines="0" w:after="240" w:afterLines="0"/>
        <w:jc w:val="center"/>
        <w:rPr>
          <w:rFonts w:hint="default" w:eastAsia="Times New Roman"/>
          <w:kern w:val="36"/>
          <w:sz w:val="40"/>
          <w:szCs w:val="24"/>
          <w:lang w:val="zh-CN"/>
        </w:rPr>
      </w:pPr>
    </w:p>
    <w:p>
      <w:pPr>
        <w:shd w:val="clear" w:color="auto" w:fill="FFFFFF"/>
        <w:spacing w:before="240" w:beforeLines="0" w:after="240" w:afterLines="0"/>
        <w:jc w:val="center"/>
        <w:rPr>
          <w:rFonts w:hint="default" w:eastAsia="Times New Roman"/>
          <w:kern w:val="36"/>
          <w:sz w:val="40"/>
          <w:szCs w:val="24"/>
          <w:lang w:val="zh-CN"/>
        </w:rPr>
      </w:pPr>
    </w:p>
    <w:p>
      <w:pPr>
        <w:spacing w:beforeLines="0" w:afterLines="0"/>
        <w:jc w:val="center"/>
        <w:rPr>
          <w:rFonts w:hint="default" w:ascii="方正小标宋_GBK" w:hAnsi="方正小标宋_GBK" w:eastAsia="方正小标宋_GBK"/>
          <w:sz w:val="44"/>
          <w:szCs w:val="24"/>
        </w:rPr>
      </w:pPr>
      <w:r>
        <w:rPr>
          <w:rFonts w:hint="eastAsia" w:ascii="方正小标宋_GBK" w:hAnsi="方正小标宋_GBK" w:eastAsia="方正小标宋_GBK"/>
          <w:sz w:val="44"/>
          <w:szCs w:val="24"/>
        </w:rPr>
        <w:t>乌鲁木齐市米东区第87小学</w:t>
      </w:r>
    </w:p>
    <w:p>
      <w:pPr>
        <w:spacing w:beforeLines="0" w:afterLines="0"/>
        <w:jc w:val="center"/>
        <w:rPr>
          <w:rFonts w:hint="default" w:eastAsia="Times New Roman"/>
          <w:kern w:val="36"/>
          <w:sz w:val="40"/>
          <w:szCs w:val="24"/>
          <w:lang w:val="zh-CN"/>
        </w:rPr>
      </w:pPr>
      <w:r>
        <w:rPr>
          <w:rFonts w:hint="eastAsia" w:ascii="方正小标宋_GBK" w:hAnsi="方正小标宋_GBK" w:eastAsia="方正小标宋_GBK"/>
          <w:sz w:val="44"/>
          <w:szCs w:val="24"/>
        </w:rPr>
        <w:t>2022年度部门决算公开说明</w:t>
      </w:r>
    </w:p>
    <w:p>
      <w:pPr>
        <w:shd w:val="clear" w:color="auto" w:fill="FFFFFF"/>
        <w:spacing w:before="240" w:beforeLines="0" w:after="240" w:afterLines="0"/>
        <w:jc w:val="center"/>
        <w:rPr>
          <w:rFonts w:hint="default" w:eastAsia="Times New Roman"/>
          <w:kern w:val="36"/>
          <w:sz w:val="40"/>
          <w:szCs w:val="24"/>
          <w:lang w:val="zh-CN"/>
        </w:rPr>
      </w:pPr>
    </w:p>
    <w:p>
      <w:pPr>
        <w:spacing w:beforeLines="0" w:afterLines="0" w:line="540" w:lineRule="exact"/>
        <w:jc w:val="center"/>
        <w:rPr>
          <w:rFonts w:hint="default" w:eastAsia="Times New Roman"/>
          <w:b/>
          <w:kern w:val="0"/>
          <w:sz w:val="24"/>
          <w:szCs w:val="24"/>
        </w:rPr>
      </w:pPr>
      <w:r>
        <w:rPr>
          <w:rFonts w:hint="default" w:eastAsia="Times New Roman"/>
          <w:b/>
          <w:kern w:val="36"/>
          <w:sz w:val="36"/>
          <w:szCs w:val="24"/>
        </w:rPr>
        <w:br w:type="page"/>
      </w:r>
      <w:r>
        <w:rPr>
          <w:rFonts w:hint="eastAsia" w:ascii="仿宋_GB2312" w:hAnsi="仿宋_GB2312" w:eastAsia="仿宋_GB2312"/>
          <w:b/>
          <w:kern w:val="0"/>
          <w:sz w:val="36"/>
          <w:szCs w:val="24"/>
        </w:rPr>
        <w:t>目  录</w:t>
      </w:r>
    </w:p>
    <w:p>
      <w:pPr>
        <w:spacing w:beforeLines="0" w:afterLines="0" w:line="360" w:lineRule="auto"/>
        <w:rPr>
          <w:rFonts w:hint="default" w:eastAsia="Times New Roman"/>
          <w:kern w:val="0"/>
          <w:sz w:val="32"/>
          <w:szCs w:val="24"/>
        </w:rPr>
      </w:pPr>
      <w:r>
        <w:rPr>
          <w:rFonts w:hint="eastAsia" w:ascii="仿宋_GB2312" w:hAnsi="仿宋_GB2312" w:eastAsia="仿宋_GB2312"/>
          <w:b/>
          <w:kern w:val="0"/>
          <w:sz w:val="32"/>
          <w:szCs w:val="24"/>
        </w:rPr>
        <w:t>第一部分 单位概况</w:t>
      </w:r>
    </w:p>
    <w:p>
      <w:pPr>
        <w:spacing w:beforeLines="0" w:afterLines="0" w:line="360" w:lineRule="auto"/>
        <w:rPr>
          <w:rFonts w:hint="default" w:eastAsia="Times New Roman"/>
          <w:kern w:val="0"/>
          <w:sz w:val="32"/>
          <w:szCs w:val="24"/>
        </w:rPr>
      </w:pPr>
      <w:r>
        <w:rPr>
          <w:rFonts w:hint="eastAsia" w:ascii="仿宋_GB2312" w:hAnsi="仿宋_GB2312" w:eastAsia="仿宋_GB2312"/>
          <w:kern w:val="0"/>
          <w:sz w:val="32"/>
          <w:szCs w:val="24"/>
        </w:rPr>
        <w:t>一、主要职能</w:t>
      </w:r>
    </w:p>
    <w:p>
      <w:pPr>
        <w:spacing w:beforeLines="0" w:afterLines="0" w:line="360" w:lineRule="auto"/>
        <w:rPr>
          <w:rFonts w:hint="default" w:eastAsia="Times New Roman"/>
          <w:kern w:val="0"/>
          <w:sz w:val="32"/>
          <w:szCs w:val="24"/>
        </w:rPr>
      </w:pPr>
      <w:r>
        <w:rPr>
          <w:rFonts w:hint="eastAsia" w:ascii="仿宋_GB2312" w:hAnsi="仿宋_GB2312" w:eastAsia="仿宋_GB2312"/>
          <w:kern w:val="0"/>
          <w:sz w:val="32"/>
          <w:szCs w:val="24"/>
        </w:rPr>
        <w:t>二、</w:t>
      </w:r>
      <w:r>
        <w:rPr>
          <w:rFonts w:hint="eastAsia" w:ascii="仿宋_GB2312" w:hAnsi="仿宋_GB2312" w:eastAsia="仿宋_GB2312"/>
          <w:sz w:val="32"/>
          <w:szCs w:val="24"/>
        </w:rPr>
        <w:t>机构设置及人员情况</w:t>
      </w:r>
    </w:p>
    <w:p>
      <w:pPr>
        <w:spacing w:beforeLines="0" w:afterLines="0" w:line="360" w:lineRule="auto"/>
        <w:rPr>
          <w:rFonts w:hint="default" w:eastAsia="Times New Roman"/>
          <w:kern w:val="0"/>
          <w:sz w:val="32"/>
          <w:szCs w:val="24"/>
        </w:rPr>
      </w:pPr>
      <w:r>
        <w:rPr>
          <w:rFonts w:hint="eastAsia" w:ascii="仿宋_GB2312" w:hAnsi="仿宋_GB2312" w:eastAsia="仿宋_GB2312"/>
          <w:b/>
          <w:kern w:val="0"/>
          <w:sz w:val="32"/>
          <w:szCs w:val="24"/>
        </w:rPr>
        <w:t>第二部分 部门决算情况说明</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一、收入支出决算总体情况说明</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二、收入决算情况说明</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三、支出决算情况说明</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四、财政拨款收入支出决算总体情况说明</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五、一般公共预算财政拨款支出决算情况说明</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六、一般公共预算财政拨款基本支出决算情况说明</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七、财政拨款“三公”经费支出决算情况说明</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八、政府性基金预算</w:t>
      </w:r>
      <w:r>
        <w:rPr>
          <w:rFonts w:hint="eastAsia" w:ascii="仿宋_GB2312" w:hAnsi="仿宋_GB2312" w:eastAsia="仿宋_GB2312"/>
          <w:sz w:val="32"/>
          <w:szCs w:val="24"/>
          <w:lang w:val="zh-CN"/>
        </w:rPr>
        <w:t>财政拨款</w:t>
      </w:r>
      <w:r>
        <w:rPr>
          <w:rFonts w:hint="eastAsia" w:ascii="仿宋_GB2312" w:hAnsi="仿宋_GB2312" w:eastAsia="仿宋_GB2312"/>
          <w:sz w:val="32"/>
          <w:szCs w:val="24"/>
        </w:rPr>
        <w:t>收入支出决算情况说明</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九、国有资本经营预算财政拨款收入支出决算情况说明</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十、其他重要事项的情况说明</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（一）机关运行经费支出情况</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（二）政府采购情况</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（三）国有资产占用情况说明</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十</w:t>
      </w:r>
      <w:r>
        <w:rPr>
          <w:rFonts w:hint="eastAsia" w:ascii="仿宋_GB2312" w:hAnsi="仿宋_GB2312" w:eastAsia="仿宋_GB2312"/>
          <w:sz w:val="32"/>
          <w:szCs w:val="24"/>
          <w:lang w:val="zh-CN"/>
        </w:rPr>
        <w:t>一</w:t>
      </w:r>
      <w:r>
        <w:rPr>
          <w:rFonts w:hint="eastAsia" w:ascii="仿宋_GB2312" w:hAnsi="仿宋_GB2312" w:eastAsia="仿宋_GB2312"/>
          <w:sz w:val="32"/>
          <w:szCs w:val="24"/>
        </w:rPr>
        <w:t>、预算绩效的情况说明</w:t>
      </w:r>
    </w:p>
    <w:p>
      <w:pPr>
        <w:spacing w:beforeLines="0" w:afterLines="0" w:line="360" w:lineRule="auto"/>
        <w:rPr>
          <w:rFonts w:hint="default" w:eastAsia="Times New Roman"/>
          <w:b/>
          <w:kern w:val="0"/>
          <w:sz w:val="32"/>
          <w:szCs w:val="24"/>
        </w:rPr>
      </w:pPr>
      <w:r>
        <w:rPr>
          <w:rFonts w:hint="eastAsia" w:ascii="仿宋_GB2312" w:hAnsi="仿宋_GB2312" w:eastAsia="仿宋_GB2312"/>
          <w:b/>
          <w:kern w:val="0"/>
          <w:sz w:val="32"/>
          <w:szCs w:val="24"/>
        </w:rPr>
        <w:t>第三部分 专业名词解释</w:t>
      </w:r>
    </w:p>
    <w:p>
      <w:pPr>
        <w:spacing w:beforeLines="0" w:afterLines="0" w:line="360" w:lineRule="auto"/>
        <w:rPr>
          <w:rFonts w:hint="default" w:eastAsia="Times New Roman"/>
          <w:b/>
          <w:kern w:val="0"/>
          <w:sz w:val="32"/>
          <w:szCs w:val="24"/>
        </w:rPr>
      </w:pPr>
      <w:r>
        <w:rPr>
          <w:rFonts w:hint="eastAsia" w:ascii="仿宋_GB2312" w:hAnsi="仿宋_GB2312" w:eastAsia="仿宋_GB2312"/>
          <w:b/>
          <w:kern w:val="0"/>
          <w:sz w:val="32"/>
          <w:szCs w:val="24"/>
        </w:rPr>
        <w:t>第四部分 部</w:t>
      </w:r>
      <w:r>
        <w:rPr>
          <w:rFonts w:hint="eastAsia" w:ascii="仿宋_GB2312" w:hAnsi="仿宋_GB2312" w:eastAsia="仿宋_GB2312"/>
          <w:b/>
          <w:sz w:val="32"/>
          <w:szCs w:val="24"/>
        </w:rPr>
        <w:t>门决算报表（见附表）</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一、《收入支出决算总表》</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二、《收入决算表》</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三、《支出决算表》</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四、《财政拨款收入支出决算总表》</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五、《一般公共预算财政拨款支出决算表》</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六、《一般公共预算财政拨款基本支出决算表》</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七、《财政拨款“三公”经费支出决算表》</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八、《政府性基金预算财政拨款收入支出决算表》</w:t>
      </w:r>
    </w:p>
    <w:p>
      <w:pPr>
        <w:spacing w:beforeLines="0" w:afterLines="0" w:line="360" w:lineRule="auto"/>
        <w:rPr>
          <w:rFonts w:hint="default" w:eastAsia="Times New Roman"/>
          <w:sz w:val="32"/>
          <w:szCs w:val="24"/>
        </w:rPr>
      </w:pPr>
      <w:r>
        <w:rPr>
          <w:rFonts w:hint="eastAsia" w:ascii="仿宋_GB2312" w:hAnsi="仿宋_GB2312" w:eastAsia="仿宋_GB2312"/>
          <w:sz w:val="32"/>
          <w:szCs w:val="24"/>
        </w:rPr>
        <w:t>九、《国有资本经营预算财政拨款收入支出决算表》</w:t>
      </w:r>
    </w:p>
    <w:p>
      <w:pPr>
        <w:spacing w:beforeLines="0" w:afterLines="0" w:line="540" w:lineRule="exact"/>
        <w:ind w:firstLine="640"/>
        <w:rPr>
          <w:rFonts w:hint="default" w:eastAsia="Times New Roman"/>
          <w:b/>
          <w:kern w:val="0"/>
          <w:sz w:val="28"/>
          <w:szCs w:val="24"/>
        </w:rPr>
      </w:pPr>
    </w:p>
    <w:p>
      <w:pPr>
        <w:shd w:val="clear" w:color="auto" w:fill="FFFFFF"/>
        <w:spacing w:beforeLines="0" w:afterLines="0" w:line="360" w:lineRule="auto"/>
        <w:jc w:val="center"/>
        <w:rPr>
          <w:rFonts w:hint="default" w:eastAsia="Times New Roman"/>
          <w:kern w:val="0"/>
          <w:sz w:val="32"/>
          <w:szCs w:val="24"/>
        </w:rPr>
      </w:pPr>
    </w:p>
    <w:p>
      <w:pPr>
        <w:shd w:val="clear" w:color="auto" w:fill="FFFFFF"/>
        <w:spacing w:beforeLines="0" w:afterLines="0" w:line="360" w:lineRule="auto"/>
        <w:jc w:val="center"/>
        <w:rPr>
          <w:rFonts w:hint="default" w:ascii="黑体" w:hAnsi="黑体" w:eastAsia="黑体"/>
          <w:kern w:val="0"/>
          <w:sz w:val="32"/>
          <w:szCs w:val="24"/>
          <w:lang w:val="ar-SA"/>
        </w:rPr>
      </w:pPr>
      <w:r>
        <w:rPr>
          <w:rFonts w:hint="default" w:eastAsia="Times New Roman"/>
          <w:kern w:val="0"/>
          <w:sz w:val="32"/>
          <w:szCs w:val="24"/>
        </w:rPr>
        <w:br w:type="page"/>
      </w:r>
      <w:r>
        <w:rPr>
          <w:rFonts w:hint="eastAsia" w:ascii="黑体" w:hAnsi="黑体" w:eastAsia="黑体"/>
          <w:kern w:val="0"/>
          <w:sz w:val="32"/>
          <w:szCs w:val="24"/>
        </w:rPr>
        <w:t>第一部分 单位概况</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一、主要职能</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乌鲁木齐市第八十七小学（简称</w:t>
      </w:r>
      <w:r>
        <w:rPr>
          <w:rFonts w:hint="default" w:ascii="仿宋_GB2312" w:hAnsi="仿宋_GB2312" w:eastAsia="仿宋_GB2312"/>
          <w:kern w:val="0"/>
          <w:sz w:val="32"/>
          <w:szCs w:val="24"/>
        </w:rPr>
        <w:t>“</w:t>
      </w:r>
      <w:r>
        <w:rPr>
          <w:rFonts w:hint="eastAsia" w:ascii="仿宋_GB2312" w:hAnsi="仿宋_GB2312" w:eastAsia="仿宋_GB2312"/>
          <w:kern w:val="0"/>
          <w:sz w:val="32"/>
          <w:szCs w:val="24"/>
        </w:rPr>
        <w:t>乌市87小学</w:t>
      </w:r>
      <w:r>
        <w:rPr>
          <w:rFonts w:hint="default" w:ascii="仿宋_GB2312" w:hAnsi="仿宋_GB2312" w:eastAsia="仿宋_GB2312"/>
          <w:kern w:val="0"/>
          <w:sz w:val="32"/>
          <w:szCs w:val="24"/>
        </w:rPr>
        <w:t>”</w:t>
      </w:r>
      <w:r>
        <w:rPr>
          <w:rFonts w:hint="eastAsia" w:ascii="仿宋_GB2312" w:hAnsi="仿宋_GB2312" w:eastAsia="仿宋_GB2312"/>
          <w:kern w:val="0"/>
          <w:sz w:val="32"/>
          <w:szCs w:val="24"/>
        </w:rPr>
        <w:t>）为乌鲁木齐市米东区教育局下属的正科级全额拔款事业单位，于2005年1月1日年由中国石油乌鲁木齐石油化工总厂第一小学整体移交乌鲁木齐市政府</w:t>
      </w:r>
      <w:r>
        <w:rPr>
          <w:rFonts w:hint="default" w:ascii="仿宋_GB2312" w:hAnsi="仿宋_GB2312" w:eastAsia="仿宋_GB2312"/>
          <w:kern w:val="0"/>
          <w:sz w:val="32"/>
          <w:szCs w:val="24"/>
        </w:rPr>
        <w:t>,</w:t>
      </w:r>
      <w:r>
        <w:rPr>
          <w:rFonts w:hint="eastAsia" w:ascii="仿宋_GB2312" w:hAnsi="仿宋_GB2312" w:eastAsia="仿宋_GB2312"/>
          <w:kern w:val="0"/>
          <w:sz w:val="32"/>
          <w:szCs w:val="24"/>
        </w:rPr>
        <w:t>命名乌鲁木齐市第八十七小学。部门主要职责为小学学历教育。</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1.贯彻落实党和政府关于小学学历教育的各项各类方针、政策。</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2.承担乌鲁木齐市米东区方向、战略、政策、措施的制定和实施。负责在米东区开展推广工作。</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3.负责在米东区开展小学学历教育等工作。</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4.负责结合米东区实际情况，制订教育教学政策，监督教育教学管理工作。</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二、机构设置及人员情况</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乌鲁木齐市米东区第87小学2022年度，实有人数216人，其中：在职人员80人，离休人员</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人，退休人员136人。</w:t>
      </w:r>
    </w:p>
    <w:p>
      <w:pPr>
        <w:shd w:val="clear" w:color="auto" w:fill="FFFFFF"/>
        <w:spacing w:beforeLines="0" w:afterLines="0" w:line="360" w:lineRule="auto"/>
        <w:ind w:firstLine="640"/>
        <w:rPr>
          <w:rFonts w:hint="default" w:eastAsia="Times New Roman"/>
          <w:kern w:val="0"/>
          <w:sz w:val="24"/>
          <w:szCs w:val="24"/>
          <w:lang w:val="ar-SA"/>
        </w:rPr>
      </w:pPr>
      <w:r>
        <w:rPr>
          <w:rFonts w:hint="eastAsia" w:ascii="仿宋_GB2312" w:hAnsi="仿宋_GB2312" w:eastAsia="仿宋_GB2312"/>
          <w:kern w:val="0"/>
          <w:sz w:val="32"/>
          <w:szCs w:val="24"/>
        </w:rPr>
        <w:t>从部门决算单位构成看，乌鲁木齐市米东区第87小学部门决算包括：乌鲁木齐市米东区第87小学</w:t>
      </w:r>
      <w:r>
        <w:rPr>
          <w:rFonts w:hint="eastAsia" w:ascii="仿宋_GB2312" w:hAnsi="仿宋_GB2312" w:eastAsia="仿宋_GB2312"/>
          <w:kern w:val="0"/>
          <w:sz w:val="32"/>
          <w:szCs w:val="24"/>
          <w:lang w:val="zh-CN"/>
        </w:rPr>
        <w:t>决算。单位无下属预算单位，</w:t>
      </w:r>
      <w:r>
        <w:rPr>
          <w:rFonts w:hint="eastAsia" w:ascii="仿宋_GB2312" w:hAnsi="仿宋_GB2312" w:eastAsia="仿宋_GB2312"/>
          <w:kern w:val="0"/>
          <w:sz w:val="32"/>
          <w:szCs w:val="24"/>
        </w:rPr>
        <w:t>下设4个科室，分别是：行政办、总务办、德育办</w:t>
      </w:r>
      <w:r>
        <w:rPr>
          <w:rFonts w:hint="default" w:ascii="仿宋_GB2312" w:hAnsi="仿宋_GB2312" w:eastAsia="仿宋_GB2312"/>
          <w:kern w:val="0"/>
          <w:sz w:val="32"/>
          <w:szCs w:val="24"/>
        </w:rPr>
        <w:t>,</w:t>
      </w:r>
      <w:r>
        <w:rPr>
          <w:rFonts w:hint="eastAsia" w:ascii="仿宋_GB2312" w:hAnsi="仿宋_GB2312" w:eastAsia="仿宋_GB2312"/>
          <w:kern w:val="0"/>
          <w:sz w:val="32"/>
          <w:szCs w:val="24"/>
        </w:rPr>
        <w:t>教务办。</w:t>
      </w:r>
    </w:p>
    <w:p>
      <w:pPr>
        <w:shd w:val="clear" w:color="auto" w:fill="FFFFFF"/>
        <w:spacing w:before="100" w:beforeLines="0" w:after="240" w:afterLines="0"/>
        <w:jc w:val="center"/>
        <w:rPr>
          <w:rFonts w:hint="default" w:eastAsia="Times New Roman"/>
          <w:kern w:val="0"/>
          <w:sz w:val="28"/>
          <w:szCs w:val="24"/>
          <w:lang w:val="ar-SA"/>
        </w:rPr>
      </w:pPr>
      <w:r>
        <w:rPr>
          <w:rFonts w:hint="eastAsia" w:ascii="黑体" w:hAnsi="黑体" w:eastAsia="黑体"/>
          <w:kern w:val="0"/>
          <w:sz w:val="32"/>
          <w:szCs w:val="24"/>
        </w:rPr>
        <w:t>第二部分 部门决算情况说明</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一、收入支出决算总体情况说明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2022年度收入</w:t>
      </w:r>
      <w:r>
        <w:rPr>
          <w:rFonts w:hint="eastAsia" w:ascii="仿宋_GB2312" w:hAnsi="仿宋_GB2312" w:eastAsia="仿宋_GB2312"/>
          <w:sz w:val="32"/>
          <w:szCs w:val="24"/>
        </w:rPr>
        <w:t>总计</w:t>
      </w:r>
      <w:r>
        <w:rPr>
          <w:rFonts w:hint="eastAsia" w:ascii="仿宋_GB2312" w:hAnsi="仿宋_GB2312" w:eastAsia="仿宋_GB2312"/>
          <w:kern w:val="0"/>
          <w:sz w:val="32"/>
          <w:szCs w:val="24"/>
        </w:rPr>
        <w:t>2,448.58万元，</w:t>
      </w:r>
      <w:r>
        <w:rPr>
          <w:rFonts w:hint="eastAsia" w:ascii="仿宋_GB2312" w:hAnsi="仿宋_GB2312" w:eastAsia="仿宋_GB2312"/>
          <w:sz w:val="32"/>
          <w:szCs w:val="24"/>
        </w:rPr>
        <w:t>其中：本年收入合计</w:t>
      </w:r>
      <w:r>
        <w:rPr>
          <w:rFonts w:hint="eastAsia" w:ascii="仿宋_GB2312" w:hAnsi="仿宋_GB2312" w:eastAsia="仿宋_GB2312"/>
          <w:kern w:val="0"/>
          <w:sz w:val="32"/>
          <w:szCs w:val="24"/>
        </w:rPr>
        <w:t>2,448.58</w:t>
      </w:r>
      <w:r>
        <w:rPr>
          <w:rFonts w:hint="eastAsia" w:ascii="仿宋_GB2312" w:hAnsi="仿宋_GB2312" w:eastAsia="仿宋_GB2312"/>
          <w:sz w:val="32"/>
          <w:szCs w:val="24"/>
        </w:rPr>
        <w:t>万元，使用非财政拨款结余</w:t>
      </w:r>
      <w:r>
        <w:rPr>
          <w:rFonts w:hint="default" w:ascii="仿宋_GB2312" w:hAnsi="仿宋_GB2312" w:eastAsia="仿宋_GB2312"/>
          <w:kern w:val="0"/>
          <w:sz w:val="32"/>
          <w:szCs w:val="24"/>
        </w:rPr>
        <w:t>0.00</w:t>
      </w:r>
      <w:r>
        <w:rPr>
          <w:rFonts w:hint="eastAsia" w:ascii="仿宋_GB2312" w:hAnsi="仿宋_GB2312" w:eastAsia="仿宋_GB2312"/>
          <w:sz w:val="32"/>
          <w:szCs w:val="24"/>
        </w:rPr>
        <w:t>万元，年初结转和</w:t>
      </w:r>
      <w:r>
        <w:rPr>
          <w:rFonts w:hint="eastAsia" w:ascii="仿宋_GB2312" w:hAnsi="仿宋_GB2312" w:eastAsia="仿宋_GB2312"/>
          <w:kern w:val="0"/>
          <w:sz w:val="32"/>
          <w:szCs w:val="24"/>
        </w:rPr>
        <w:t>结余</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万元。收入总计与上年相比，增加437.87万元，增长21.78%，主要原因是：本年单位新增四季度企业保留工资部分；人员工资基数调增，收入较上年有所增加。</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sz w:val="32"/>
          <w:szCs w:val="24"/>
        </w:rPr>
        <w:t>本年支出总计</w:t>
      </w:r>
      <w:r>
        <w:rPr>
          <w:rFonts w:hint="eastAsia" w:ascii="仿宋_GB2312" w:hAnsi="仿宋_GB2312" w:eastAsia="仿宋_GB2312"/>
          <w:kern w:val="0"/>
          <w:sz w:val="32"/>
          <w:szCs w:val="24"/>
        </w:rPr>
        <w:t>2,448.58万元，</w:t>
      </w:r>
      <w:r>
        <w:rPr>
          <w:rFonts w:hint="eastAsia" w:ascii="仿宋_GB2312" w:hAnsi="仿宋_GB2312" w:eastAsia="仿宋_GB2312"/>
          <w:sz w:val="32"/>
          <w:szCs w:val="24"/>
        </w:rPr>
        <w:t>其中：本年支出合计</w:t>
      </w:r>
      <w:r>
        <w:rPr>
          <w:rFonts w:hint="eastAsia" w:ascii="仿宋_GB2312" w:hAnsi="仿宋_GB2312" w:eastAsia="仿宋_GB2312"/>
          <w:kern w:val="0"/>
          <w:sz w:val="32"/>
          <w:szCs w:val="24"/>
        </w:rPr>
        <w:t>2,258.30</w:t>
      </w:r>
      <w:r>
        <w:rPr>
          <w:rFonts w:hint="eastAsia" w:ascii="仿宋_GB2312" w:hAnsi="仿宋_GB2312" w:eastAsia="仿宋_GB2312"/>
          <w:sz w:val="32"/>
          <w:szCs w:val="24"/>
        </w:rPr>
        <w:t>万元，结余分配</w:t>
      </w:r>
      <w:r>
        <w:rPr>
          <w:rFonts w:hint="default" w:ascii="仿宋_GB2312" w:hAnsi="仿宋_GB2312" w:eastAsia="仿宋_GB2312"/>
          <w:kern w:val="0"/>
          <w:sz w:val="32"/>
          <w:szCs w:val="24"/>
        </w:rPr>
        <w:t>0.00</w:t>
      </w:r>
      <w:r>
        <w:rPr>
          <w:rFonts w:hint="eastAsia" w:ascii="仿宋_GB2312" w:hAnsi="仿宋_GB2312" w:eastAsia="仿宋_GB2312"/>
          <w:sz w:val="32"/>
          <w:szCs w:val="24"/>
        </w:rPr>
        <w:t>万元，年末结转和结余</w:t>
      </w:r>
      <w:r>
        <w:rPr>
          <w:rFonts w:hint="eastAsia" w:ascii="仿宋_GB2312" w:hAnsi="仿宋_GB2312" w:eastAsia="仿宋_GB2312"/>
          <w:kern w:val="0"/>
          <w:sz w:val="32"/>
          <w:szCs w:val="24"/>
        </w:rPr>
        <w:t>190.28</w:t>
      </w:r>
      <w:r>
        <w:rPr>
          <w:rFonts w:hint="eastAsia" w:ascii="仿宋_GB2312" w:hAnsi="仿宋_GB2312" w:eastAsia="仿宋_GB2312"/>
          <w:sz w:val="32"/>
          <w:szCs w:val="24"/>
        </w:rPr>
        <w:t>万元。支出总计</w:t>
      </w:r>
      <w:r>
        <w:rPr>
          <w:rFonts w:hint="eastAsia" w:ascii="仿宋_GB2312" w:hAnsi="仿宋_GB2312" w:eastAsia="仿宋_GB2312"/>
          <w:kern w:val="0"/>
          <w:sz w:val="32"/>
          <w:szCs w:val="24"/>
        </w:rPr>
        <w:t>与上年相比，增加437.87万元，增长21.78%，主要原因是：本年单位新增四季度企业保留工资部分；人员工资基数调增，支出较上年有所增加。</w:t>
      </w:r>
    </w:p>
    <w:p>
      <w:pPr>
        <w:spacing w:beforeLines="0" w:afterLines="0" w:line="360" w:lineRule="auto"/>
        <w:ind w:firstLine="640"/>
        <w:rPr>
          <w:rFonts w:hint="default" w:eastAsia="Times New Roman"/>
          <w:sz w:val="32"/>
          <w:szCs w:val="24"/>
        </w:rPr>
      </w:pPr>
      <w:r>
        <w:rPr>
          <w:rFonts w:hint="eastAsia" w:ascii="黑体" w:hAnsi="黑体" w:eastAsia="黑体"/>
          <w:sz w:val="32"/>
          <w:szCs w:val="24"/>
          <w:lang w:val="zh-CN"/>
        </w:rPr>
        <w:t>二、收入决算情况说明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2022年度本年收入2,448.58万元，其中：财政拨款收入2,448.58万元，占100.00%；上级补助收入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万元，占0.00%；事业收入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万元，占0.00%；经营收入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万元，占0.00%；附属单位上缴收入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万元，占0.00%；其他收入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w:t>
      </w:r>
    </w:p>
    <w:p>
      <w:pPr>
        <w:spacing w:beforeLines="0" w:afterLines="0" w:line="360" w:lineRule="auto"/>
        <w:ind w:firstLine="640"/>
        <w:rPr>
          <w:rFonts w:hint="default" w:eastAsia="Times New Roman"/>
          <w:sz w:val="32"/>
          <w:szCs w:val="24"/>
        </w:rPr>
      </w:pPr>
      <w:r>
        <w:rPr>
          <w:rFonts w:hint="eastAsia" w:ascii="黑体" w:hAnsi="黑体" w:eastAsia="黑体"/>
          <w:sz w:val="32"/>
          <w:szCs w:val="24"/>
          <w:lang w:val="zh-CN"/>
        </w:rPr>
        <w:t>三、支出决算情况说明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2022年度本年支出2,258.30万元，其中：基本支出2,258.30万元，占100.00%；项目支出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万元，占0.00%；上缴上级支出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万元，占0.00%；经营支出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万元，占0.00%；对附属单位补助支出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四、财政拨款收入支出决算总体情况说明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2022年度财政拨款收入</w:t>
      </w:r>
      <w:r>
        <w:rPr>
          <w:rFonts w:hint="eastAsia" w:ascii="仿宋_GB2312" w:hAnsi="仿宋_GB2312" w:eastAsia="仿宋_GB2312"/>
          <w:sz w:val="32"/>
          <w:szCs w:val="24"/>
        </w:rPr>
        <w:t>总计</w:t>
      </w:r>
      <w:r>
        <w:rPr>
          <w:rFonts w:hint="eastAsia" w:ascii="仿宋_GB2312" w:hAnsi="仿宋_GB2312" w:eastAsia="仿宋_GB2312"/>
          <w:kern w:val="0"/>
          <w:sz w:val="32"/>
          <w:szCs w:val="24"/>
        </w:rPr>
        <w:t>2,448.58万元，</w:t>
      </w:r>
      <w:r>
        <w:rPr>
          <w:rFonts w:hint="eastAsia" w:ascii="仿宋_GB2312" w:hAnsi="仿宋_GB2312" w:eastAsia="仿宋_GB2312"/>
          <w:sz w:val="32"/>
          <w:szCs w:val="24"/>
        </w:rPr>
        <w:t>其中：年初财政拨款结转和结余</w:t>
      </w:r>
      <w:r>
        <w:rPr>
          <w:rFonts w:hint="default" w:ascii="仿宋_GB2312" w:hAnsi="仿宋_GB2312" w:eastAsia="仿宋_GB2312"/>
          <w:kern w:val="0"/>
          <w:sz w:val="32"/>
          <w:szCs w:val="24"/>
        </w:rPr>
        <w:t>0.00</w:t>
      </w:r>
      <w:r>
        <w:rPr>
          <w:rFonts w:hint="eastAsia" w:ascii="仿宋_GB2312" w:hAnsi="仿宋_GB2312" w:eastAsia="仿宋_GB2312"/>
          <w:sz w:val="32"/>
          <w:szCs w:val="24"/>
        </w:rPr>
        <w:t>万元，财政拨款本年收入</w:t>
      </w:r>
      <w:r>
        <w:rPr>
          <w:rFonts w:hint="eastAsia" w:ascii="仿宋_GB2312" w:hAnsi="仿宋_GB2312" w:eastAsia="仿宋_GB2312"/>
          <w:kern w:val="0"/>
          <w:sz w:val="32"/>
          <w:szCs w:val="24"/>
        </w:rPr>
        <w:t>2,448.58</w:t>
      </w:r>
      <w:r>
        <w:rPr>
          <w:rFonts w:hint="eastAsia" w:ascii="仿宋_GB2312" w:hAnsi="仿宋_GB2312" w:eastAsia="仿宋_GB2312"/>
          <w:sz w:val="32"/>
          <w:szCs w:val="24"/>
        </w:rPr>
        <w:t>万元。财政拨款收入总计</w:t>
      </w:r>
      <w:r>
        <w:rPr>
          <w:rFonts w:hint="eastAsia" w:ascii="仿宋_GB2312" w:hAnsi="仿宋_GB2312" w:eastAsia="仿宋_GB2312"/>
          <w:kern w:val="0"/>
          <w:sz w:val="32"/>
          <w:szCs w:val="24"/>
        </w:rPr>
        <w:t>与上年相比，增加437.87万元，增长21.78%，主要原因是：本年单位新增四季度企业保留工资部分；人员工资基数调增，收入较上年有所增加。</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财政拨款支出</w:t>
      </w:r>
      <w:r>
        <w:rPr>
          <w:rFonts w:hint="eastAsia" w:ascii="仿宋_GB2312" w:hAnsi="仿宋_GB2312" w:eastAsia="仿宋_GB2312"/>
          <w:sz w:val="32"/>
          <w:szCs w:val="24"/>
        </w:rPr>
        <w:t>总计</w:t>
      </w:r>
      <w:r>
        <w:rPr>
          <w:rFonts w:hint="eastAsia" w:ascii="仿宋_GB2312" w:hAnsi="仿宋_GB2312" w:eastAsia="仿宋_GB2312"/>
          <w:kern w:val="0"/>
          <w:sz w:val="32"/>
          <w:szCs w:val="24"/>
        </w:rPr>
        <w:t>2,448.58万元，</w:t>
      </w:r>
      <w:r>
        <w:rPr>
          <w:rFonts w:hint="eastAsia" w:ascii="仿宋_GB2312" w:hAnsi="仿宋_GB2312" w:eastAsia="仿宋_GB2312"/>
          <w:sz w:val="32"/>
          <w:szCs w:val="24"/>
        </w:rPr>
        <w:t>其中：年末财政拨款结转和结余</w:t>
      </w:r>
      <w:r>
        <w:rPr>
          <w:rFonts w:hint="eastAsia" w:ascii="仿宋_GB2312" w:hAnsi="仿宋_GB2312" w:eastAsia="仿宋_GB2312"/>
          <w:kern w:val="0"/>
          <w:sz w:val="32"/>
          <w:szCs w:val="24"/>
        </w:rPr>
        <w:t>190.28</w:t>
      </w:r>
      <w:r>
        <w:rPr>
          <w:rFonts w:hint="eastAsia" w:ascii="仿宋_GB2312" w:hAnsi="仿宋_GB2312" w:eastAsia="仿宋_GB2312"/>
          <w:sz w:val="32"/>
          <w:szCs w:val="24"/>
        </w:rPr>
        <w:t>万元，财政拨款本年支出</w:t>
      </w:r>
      <w:r>
        <w:rPr>
          <w:rFonts w:hint="eastAsia" w:ascii="仿宋_GB2312" w:hAnsi="仿宋_GB2312" w:eastAsia="仿宋_GB2312"/>
          <w:kern w:val="0"/>
          <w:sz w:val="32"/>
          <w:szCs w:val="24"/>
        </w:rPr>
        <w:t>2,258.30</w:t>
      </w:r>
      <w:r>
        <w:rPr>
          <w:rFonts w:hint="eastAsia" w:ascii="仿宋_GB2312" w:hAnsi="仿宋_GB2312" w:eastAsia="仿宋_GB2312"/>
          <w:sz w:val="32"/>
          <w:szCs w:val="24"/>
        </w:rPr>
        <w:t>万元。财政拨款支出总计</w:t>
      </w:r>
      <w:r>
        <w:rPr>
          <w:rFonts w:hint="eastAsia" w:ascii="仿宋_GB2312" w:hAnsi="仿宋_GB2312" w:eastAsia="仿宋_GB2312"/>
          <w:kern w:val="0"/>
          <w:sz w:val="32"/>
          <w:szCs w:val="24"/>
        </w:rPr>
        <w:t>与上年相比，增加437.87万元，增长21.78%，主要原因是：本年单位新增四季度企业保留工资部分，人员工资基数调增，支出较上年有所增加。</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与年初预算数相比情况：财政拨款收入</w:t>
      </w:r>
      <w:r>
        <w:rPr>
          <w:rFonts w:hint="eastAsia" w:ascii="仿宋_GB2312" w:hAnsi="仿宋_GB2312" w:eastAsia="仿宋_GB2312"/>
          <w:sz w:val="32"/>
          <w:szCs w:val="24"/>
        </w:rPr>
        <w:t>总计</w:t>
      </w:r>
      <w:r>
        <w:rPr>
          <w:rFonts w:hint="eastAsia" w:ascii="仿宋_GB2312" w:hAnsi="仿宋_GB2312" w:eastAsia="仿宋_GB2312"/>
          <w:kern w:val="0"/>
          <w:sz w:val="32"/>
          <w:szCs w:val="24"/>
        </w:rPr>
        <w:t>年初预算数2,314.85万元，决算数2,448.58万元，预决算差异率5.78%，主要原因是：年中人员工资基数调增，追加人员经费，导致预决算有所差异。财政拨款支出</w:t>
      </w:r>
      <w:r>
        <w:rPr>
          <w:rFonts w:hint="eastAsia" w:ascii="仿宋_GB2312" w:hAnsi="仿宋_GB2312" w:eastAsia="仿宋_GB2312"/>
          <w:sz w:val="32"/>
          <w:szCs w:val="24"/>
        </w:rPr>
        <w:t>总计</w:t>
      </w:r>
      <w:r>
        <w:rPr>
          <w:rFonts w:hint="eastAsia" w:ascii="仿宋_GB2312" w:hAnsi="仿宋_GB2312" w:eastAsia="仿宋_GB2312"/>
          <w:kern w:val="0"/>
          <w:sz w:val="32"/>
          <w:szCs w:val="24"/>
        </w:rPr>
        <w:t>年初预算数2,314.85万元，决算数2,448.58万元，预决算差异率5.78%，主要原因是：年中人员工资基数调增，追加人员经费，导致预决算有所差异。</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五、一般公共预算财政拨款支出决算情况说明</w:t>
      </w:r>
    </w:p>
    <w:p>
      <w:pPr>
        <w:spacing w:beforeLines="0" w:afterLines="0"/>
        <w:ind w:firstLine="640"/>
        <w:rPr>
          <w:rFonts w:hint="default" w:eastAsia="Times New Roman"/>
          <w:sz w:val="32"/>
          <w:szCs w:val="24"/>
        </w:rPr>
      </w:pPr>
      <w:r>
        <w:rPr>
          <w:rFonts w:hint="eastAsia" w:ascii="黑体" w:hAnsi="黑体" w:eastAsia="黑体"/>
          <w:sz w:val="32"/>
          <w:szCs w:val="24"/>
        </w:rPr>
        <w:t>（一）一般公共预算财政拨款支出决算总体情况</w:t>
      </w:r>
    </w:p>
    <w:p>
      <w:pPr>
        <w:spacing w:beforeLines="0" w:afterLines="0" w:line="600" w:lineRule="exact"/>
        <w:ind w:firstLine="640"/>
        <w:rPr>
          <w:rFonts w:hint="default" w:ascii="仿宋_GB2312" w:hAnsi="仿宋_GB2312" w:eastAsia="仿宋_GB2312"/>
          <w:kern w:val="0"/>
          <w:sz w:val="32"/>
          <w:szCs w:val="24"/>
        </w:rPr>
      </w:pPr>
      <w:r>
        <w:rPr>
          <w:rFonts w:hint="eastAsia" w:ascii="仿宋_GB2312" w:hAnsi="仿宋_GB2312" w:eastAsia="仿宋_GB2312"/>
          <w:sz w:val="32"/>
          <w:szCs w:val="24"/>
        </w:rPr>
        <w:t>2022年度一般公共预算财政拨款支出</w:t>
      </w:r>
      <w:r>
        <w:rPr>
          <w:rFonts w:hint="eastAsia" w:ascii="仿宋_GB2312" w:hAnsi="仿宋_GB2312" w:eastAsia="仿宋_GB2312"/>
          <w:kern w:val="0"/>
          <w:sz w:val="32"/>
          <w:szCs w:val="24"/>
        </w:rPr>
        <w:t>2,258.30</w:t>
      </w:r>
      <w:r>
        <w:rPr>
          <w:rFonts w:hint="eastAsia" w:ascii="仿宋_GB2312" w:hAnsi="仿宋_GB2312" w:eastAsia="仿宋_GB2312"/>
          <w:sz w:val="32"/>
          <w:szCs w:val="24"/>
        </w:rPr>
        <w:t>万元，占本年支出合计的</w:t>
      </w:r>
      <w:r>
        <w:rPr>
          <w:rFonts w:hint="eastAsia" w:ascii="仿宋_GB2312" w:hAnsi="仿宋_GB2312" w:eastAsia="仿宋_GB2312"/>
          <w:kern w:val="0"/>
          <w:sz w:val="32"/>
          <w:szCs w:val="24"/>
        </w:rPr>
        <w:t>100.00%</w:t>
      </w:r>
      <w:r>
        <w:rPr>
          <w:rFonts w:hint="eastAsia" w:ascii="仿宋_GB2312" w:hAnsi="仿宋_GB2312" w:eastAsia="仿宋_GB2312"/>
          <w:sz w:val="32"/>
          <w:szCs w:val="24"/>
        </w:rPr>
        <w:t>，与上年相比，</w:t>
      </w:r>
      <w:r>
        <w:rPr>
          <w:rFonts w:hint="eastAsia" w:ascii="仿宋_GB2312" w:hAnsi="仿宋_GB2312" w:eastAsia="仿宋_GB2312"/>
          <w:kern w:val="0"/>
          <w:sz w:val="32"/>
          <w:szCs w:val="24"/>
        </w:rPr>
        <w:t>增加247.59万元，增长12.31%，主要原因是：本年单位人员工资基数调增，取暖费、劳务费较上年有所增加。</w:t>
      </w:r>
    </w:p>
    <w:p>
      <w:pPr>
        <w:spacing w:beforeLines="0" w:afterLines="0"/>
        <w:ind w:firstLine="640"/>
        <w:rPr>
          <w:rFonts w:hint="default" w:eastAsia="Times New Roman"/>
          <w:sz w:val="32"/>
          <w:szCs w:val="24"/>
        </w:rPr>
      </w:pPr>
      <w:r>
        <w:rPr>
          <w:rFonts w:hint="eastAsia" w:ascii="黑体" w:hAnsi="黑体" w:eastAsia="黑体"/>
          <w:sz w:val="32"/>
          <w:szCs w:val="24"/>
        </w:rPr>
        <w:t>（二）一般公共预算财政拨款支出决算结构情况</w:t>
      </w:r>
    </w:p>
    <w:p>
      <w:pPr>
        <w:spacing w:beforeLines="0" w:afterLines="0" w:line="600" w:lineRule="exact"/>
        <w:ind w:firstLine="640"/>
        <w:rPr>
          <w:rFonts w:hint="default" w:eastAsia="仿宋_GB2312"/>
          <w:kern w:val="0"/>
          <w:sz w:val="32"/>
          <w:szCs w:val="24"/>
        </w:rPr>
      </w:pPr>
      <w:r>
        <w:rPr>
          <w:rFonts w:hint="eastAsia" w:ascii="仿宋_GB2312" w:hAnsi="仿宋_GB2312" w:eastAsia="仿宋_GB2312"/>
          <w:sz w:val="32"/>
          <w:szCs w:val="24"/>
        </w:rPr>
        <w:t>1.教育支出（类）2,258.30万元，占100.00%.</w:t>
      </w:r>
    </w:p>
    <w:p>
      <w:pPr>
        <w:spacing w:beforeLines="0" w:afterLines="0"/>
        <w:ind w:firstLine="640"/>
        <w:rPr>
          <w:rFonts w:hint="default" w:eastAsia="Times New Roman"/>
          <w:sz w:val="32"/>
          <w:szCs w:val="24"/>
        </w:rPr>
      </w:pPr>
      <w:r>
        <w:rPr>
          <w:rFonts w:hint="eastAsia" w:ascii="黑体" w:hAnsi="黑体" w:eastAsia="黑体"/>
          <w:sz w:val="32"/>
          <w:szCs w:val="24"/>
        </w:rPr>
        <w:t>（三）一般公共预算财政拨款支出决算具体情况</w:t>
      </w:r>
    </w:p>
    <w:p>
      <w:pPr>
        <w:spacing w:beforeLines="0" w:afterLines="0" w:line="600" w:lineRule="exact"/>
        <w:ind w:firstLine="640"/>
        <w:rPr>
          <w:rFonts w:hint="eastAsia" w:eastAsia="仿宋_GB2312"/>
          <w:kern w:val="0"/>
          <w:sz w:val="32"/>
          <w:szCs w:val="24"/>
          <w:lang w:eastAsia="zh-CN"/>
        </w:rPr>
      </w:pPr>
      <w:r>
        <w:rPr>
          <w:rFonts w:hint="eastAsia" w:ascii="仿宋_GB2312" w:hAnsi="仿宋_GB2312" w:eastAsia="仿宋_GB2312"/>
          <w:kern w:val="0"/>
          <w:sz w:val="32"/>
          <w:szCs w:val="24"/>
        </w:rPr>
        <w:t>1.教育支出（类）普通教育（款）小学教育（项）:支出决算数为2,257.30万元，比上年决算增加332.10万元，增长17.25%，主要原因是：本年单位人员工资基数调增，故支出较上年有所增加</w:t>
      </w:r>
      <w:r>
        <w:rPr>
          <w:rFonts w:hint="eastAsia" w:ascii="仿宋_GB2312" w:hAnsi="仿宋_GB2312" w:eastAsia="仿宋_GB2312"/>
          <w:kern w:val="0"/>
          <w:sz w:val="32"/>
          <w:szCs w:val="24"/>
          <w:lang w:eastAsia="zh-CN"/>
        </w:rPr>
        <w:t>；</w:t>
      </w:r>
    </w:p>
    <w:p>
      <w:pPr>
        <w:spacing w:beforeLines="0" w:afterLines="0" w:line="600" w:lineRule="exact"/>
        <w:ind w:firstLine="640"/>
        <w:rPr>
          <w:rFonts w:hint="eastAsia" w:ascii="仿宋_GB2312" w:hAnsi="仿宋_GB2312" w:eastAsia="仿宋_GB2312"/>
          <w:kern w:val="0"/>
          <w:sz w:val="32"/>
          <w:szCs w:val="24"/>
          <w:lang w:eastAsia="zh-CN"/>
        </w:rPr>
      </w:pPr>
      <w:r>
        <w:rPr>
          <w:rFonts w:hint="eastAsia" w:ascii="仿宋_GB2312" w:hAnsi="仿宋_GB2312" w:eastAsia="仿宋_GB2312"/>
          <w:kern w:val="0"/>
          <w:sz w:val="32"/>
          <w:szCs w:val="24"/>
        </w:rPr>
        <w:t>2.教育支出（类）普通教育（款）其他普通教育支出（项）:支出决算数为1.00万元，比上年决算增加1.00万元，增长100.00%，主要原因是：本年新增此款项列支对个人家庭补助，故支出较上年有所增加</w:t>
      </w:r>
      <w:r>
        <w:rPr>
          <w:rFonts w:hint="eastAsia" w:ascii="仿宋_GB2312" w:hAnsi="仿宋_GB2312" w:eastAsia="仿宋_GB2312"/>
          <w:kern w:val="0"/>
          <w:sz w:val="32"/>
          <w:szCs w:val="24"/>
          <w:lang w:eastAsia="zh-CN"/>
        </w:rPr>
        <w:t>；</w:t>
      </w:r>
    </w:p>
    <w:p>
      <w:pPr>
        <w:spacing w:beforeLines="0" w:afterLines="0" w:line="600" w:lineRule="exact"/>
        <w:ind w:firstLine="640"/>
        <w:rPr>
          <w:rFonts w:hint="default" w:eastAsia="Times New Roman"/>
          <w:kern w:val="0"/>
          <w:sz w:val="32"/>
          <w:szCs w:val="24"/>
        </w:rPr>
      </w:pPr>
      <w:r>
        <w:rPr>
          <w:rFonts w:hint="eastAsia" w:ascii="仿宋_GB2312" w:hAnsi="仿宋_GB2312" w:eastAsia="仿宋_GB2312"/>
          <w:kern w:val="0"/>
          <w:sz w:val="32"/>
          <w:szCs w:val="24"/>
        </w:rPr>
        <w:t>3.社会保障和就业支出（类）行政事业单位养老支出（款）机关事业单位基本养老保险缴费支出（项）:支出决算数为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万元，比上年决算减少85.51万元，下降100.00%，主要原因是：</w:t>
      </w:r>
      <w:bookmarkStart w:id="0" w:name="_Hlk143783239"/>
      <w:r>
        <w:rPr>
          <w:rFonts w:hint="eastAsia" w:ascii="仿宋_GB2312" w:eastAsia="仿宋_GB2312" w:cs="仿宋_GB2312"/>
          <w:kern w:val="0"/>
          <w:sz w:val="32"/>
          <w:szCs w:val="32"/>
        </w:rPr>
        <w:t>本年此功能科目未支出</w:t>
      </w:r>
      <w:bookmarkEnd w:id="0"/>
      <w:r>
        <w:rPr>
          <w:rFonts w:hint="eastAsia" w:ascii="仿宋_GB2312" w:hAnsi="仿宋_GB2312" w:eastAsia="仿宋_GB2312"/>
          <w:kern w:val="0"/>
          <w:sz w:val="32"/>
          <w:szCs w:val="24"/>
        </w:rPr>
        <w:t>。</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六、一般公共预算财政拨款基本支出决算情况说明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2022年度一般公共预算财政拨款基本支出2,258.30万元，其中：</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人员经费2,040.02万元，包括：基本工资、津贴补贴、奖金、绩效工资、机关事业单位基本养老保险缴费、职业年金缴费、职工基本医疗保险缴费、其他社会保障缴费、住房公积金、抚恤金、生活补助、其他对个人和家庭的补助。</w:t>
      </w:r>
    </w:p>
    <w:p>
      <w:pPr>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公用经费218.28万元，包括：办公费、手续费、水费、电费、取暖费、物业管理费、培训费、劳务费、福利费、办公设备购置。</w:t>
      </w:r>
    </w:p>
    <w:p>
      <w:pPr>
        <w:spacing w:beforeLines="0" w:afterLines="0" w:line="360" w:lineRule="auto"/>
        <w:ind w:firstLine="640"/>
        <w:rPr>
          <w:rFonts w:hint="default" w:eastAsia="Times New Roman"/>
          <w:sz w:val="32"/>
          <w:szCs w:val="24"/>
        </w:rPr>
      </w:pPr>
      <w:r>
        <w:rPr>
          <w:rFonts w:hint="eastAsia" w:ascii="黑体" w:hAnsi="黑体" w:eastAsia="黑体"/>
          <w:sz w:val="32"/>
          <w:szCs w:val="24"/>
          <w:lang w:val="zh-CN"/>
        </w:rPr>
        <w:t>七、财政拨款</w:t>
      </w:r>
      <w:r>
        <w:rPr>
          <w:rFonts w:hint="eastAsia" w:ascii="黑体" w:hAnsi="黑体" w:eastAsia="黑体"/>
          <w:kern w:val="0"/>
          <w:sz w:val="32"/>
          <w:szCs w:val="24"/>
        </w:rPr>
        <w:t>“三公”</w:t>
      </w:r>
      <w:r>
        <w:rPr>
          <w:rFonts w:hint="eastAsia" w:ascii="黑体" w:hAnsi="黑体" w:eastAsia="黑体"/>
          <w:sz w:val="32"/>
          <w:szCs w:val="24"/>
          <w:lang w:val="zh-CN"/>
        </w:rPr>
        <w:t>经费支出决算情况说明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w:t>
      </w:r>
      <w:r>
        <w:rPr>
          <w:rFonts w:hint="eastAsia" w:ascii="仿宋_GB2312" w:hAnsi="仿宋_GB2312" w:eastAsia="仿宋_GB2312"/>
          <w:sz w:val="32"/>
          <w:szCs w:val="24"/>
        </w:rPr>
        <w:t>财政拨款</w:t>
      </w:r>
      <w:r>
        <w:rPr>
          <w:rFonts w:hint="eastAsia" w:ascii="仿宋_GB2312" w:hAnsi="仿宋_GB2312" w:eastAsia="仿宋_GB2312"/>
          <w:kern w:val="0"/>
          <w:sz w:val="32"/>
          <w:szCs w:val="24"/>
        </w:rPr>
        <w:t>“三公”经费支出决算</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万元，增长0.00%，主要原因是：本年单位无此项支出。其中：因公出国（境）费支出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万元，增长0.00%，主要原因是：本年单位无因公出国（境）费支出；公务用车购置及运行维护费支出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万元，增长0.00%，主要原因是：本年单位无此项支出；公务接待费支出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万元，增长0.00%，主要原因是：本年单位无此项支出。具体情况如下：</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因公出国（境）费支出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万元，开支内容包括本年单位无因公出国（境）费支出。单位全年安排的因公出国（境）团组</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个，因公出国（境）</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人次。</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公务用车购置及运行维护费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万元，其中：公务用车购置费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万元，公务用车运行维护费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w:t>
      </w:r>
      <w:bookmarkStart w:id="1" w:name="_Hlk143782590"/>
      <w:r>
        <w:rPr>
          <w:rFonts w:hint="eastAsia" w:ascii="仿宋_GB2312" w:eastAsia="仿宋_GB2312" w:cs="仿宋_GB2312"/>
          <w:kern w:val="0"/>
          <w:sz w:val="32"/>
          <w:szCs w:val="32"/>
        </w:rPr>
        <w:t>公务用车运行维护费开支内容包括公</w:t>
      </w:r>
      <w:bookmarkEnd w:id="1"/>
      <w:r>
        <w:rPr>
          <w:rFonts w:hint="eastAsia" w:ascii="仿宋_GB2312" w:eastAsia="仿宋_GB2312" w:cs="仿宋_GB2312"/>
          <w:kern w:val="0"/>
          <w:sz w:val="32"/>
          <w:szCs w:val="32"/>
          <w:lang w:val="en-US" w:eastAsia="zh-CN"/>
        </w:rPr>
        <w:t>本年单位无此项支出</w:t>
      </w:r>
      <w:r>
        <w:rPr>
          <w:rFonts w:hint="eastAsia" w:ascii="仿宋_GB2312" w:hAnsi="仿宋_GB2312" w:eastAsia="仿宋_GB2312"/>
          <w:kern w:val="0"/>
          <w:sz w:val="32"/>
          <w:szCs w:val="24"/>
        </w:rPr>
        <w:t>。公务用车购置数</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辆，公务用车保有量</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公务接待费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万元，开支内容包括本年单位无此项支出。单位全年安排的国内公务接待</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批次，</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人次。</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与</w:t>
      </w:r>
      <w:r>
        <w:rPr>
          <w:rFonts w:hint="eastAsia" w:ascii="仿宋_GB2312" w:hAnsi="仿宋_GB2312" w:eastAsia="仿宋_GB2312"/>
          <w:sz w:val="32"/>
          <w:szCs w:val="24"/>
        </w:rPr>
        <w:t>全年</w:t>
      </w:r>
      <w:r>
        <w:rPr>
          <w:rFonts w:hint="eastAsia" w:ascii="仿宋_GB2312" w:hAnsi="仿宋_GB2312" w:eastAsia="仿宋_GB2312"/>
          <w:kern w:val="0"/>
          <w:sz w:val="32"/>
          <w:szCs w:val="24"/>
        </w:rPr>
        <w:t>预算</w:t>
      </w:r>
      <w:r>
        <w:rPr>
          <w:rFonts w:hint="eastAsia" w:ascii="仿宋_GB2312" w:hAnsi="仿宋_GB2312" w:eastAsia="仿宋_GB2312"/>
          <w:kern w:val="0"/>
          <w:sz w:val="32"/>
          <w:szCs w:val="24"/>
          <w:lang w:val="zh-CN"/>
        </w:rPr>
        <w:t>数</w:t>
      </w:r>
      <w:r>
        <w:rPr>
          <w:rFonts w:hint="eastAsia" w:ascii="仿宋_GB2312" w:hAnsi="仿宋_GB2312" w:eastAsia="仿宋_GB2312"/>
          <w:kern w:val="0"/>
          <w:sz w:val="32"/>
          <w:szCs w:val="24"/>
        </w:rPr>
        <w:t>相比情况</w:t>
      </w:r>
      <w:r>
        <w:rPr>
          <w:rFonts w:hint="eastAsia" w:ascii="仿宋_GB2312" w:hAnsi="仿宋_GB2312" w:eastAsia="仿宋_GB2312"/>
          <w:sz w:val="32"/>
          <w:szCs w:val="24"/>
        </w:rPr>
        <w:t>：</w:t>
      </w:r>
      <w:r>
        <w:rPr>
          <w:rFonts w:hint="default" w:eastAsia="Times New Roman"/>
          <w:kern w:val="0"/>
          <w:sz w:val="32"/>
          <w:szCs w:val="24"/>
        </w:rPr>
        <w:t>“</w:t>
      </w:r>
      <w:r>
        <w:rPr>
          <w:rFonts w:hint="eastAsia" w:ascii="仿宋_GB2312" w:hAnsi="仿宋_GB2312" w:eastAsia="仿宋_GB2312"/>
          <w:kern w:val="0"/>
          <w:sz w:val="32"/>
          <w:szCs w:val="24"/>
        </w:rPr>
        <w:t>三公</w:t>
      </w:r>
      <w:r>
        <w:rPr>
          <w:rFonts w:hint="default" w:eastAsia="Times New Roman"/>
          <w:kern w:val="0"/>
          <w:sz w:val="32"/>
          <w:szCs w:val="24"/>
        </w:rPr>
        <w:t>”</w:t>
      </w:r>
      <w:r>
        <w:rPr>
          <w:rFonts w:hint="eastAsia" w:ascii="仿宋_GB2312" w:hAnsi="仿宋_GB2312" w:eastAsia="仿宋_GB2312"/>
          <w:kern w:val="0"/>
          <w:sz w:val="32"/>
          <w:szCs w:val="24"/>
        </w:rPr>
        <w:t>经费支出</w:t>
      </w:r>
      <w:r>
        <w:rPr>
          <w:rFonts w:hint="eastAsia" w:ascii="仿宋_GB2312" w:hAnsi="仿宋_GB2312" w:eastAsia="仿宋_GB2312"/>
          <w:sz w:val="32"/>
          <w:szCs w:val="24"/>
        </w:rPr>
        <w:t>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万元，预决算差异率0.00%，主要原因是：本年单位无此项支出。其中：因公出国（境）费全年预算数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万元，预决算差异率0.00%，主要原因是：本年单位无因公出国（境）费支出；公务用车购置费全年预算数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万元，预决算差异率0.00%，主要原因是：本年单位无此项支出；公务用车运行费全年预算数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万元，预决算差异率0.00%，主要原因是：本年单位无此项支出；公务接待费全年预算数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万元，预决算差异率0.00%，主要原因是：本年单位无此项支出。</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八、政府性基金预算财政拨款收入支出决算情况说明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我单位本年度无政府性基金预算财政拨款收入、支出及结转和结余，政府性基金预算财政拨款收入支出决算表为空表。</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九、国有资本经营预算财政拨款收入支出决算情况说明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我单位本年度无国有资本经营预算财政拨款收入、支出及结转和结余，国有资本经营预算财政拨款收入支出决算表为空表。</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十、其他重要事项的情况说明</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 xml:space="preserve">（一）机关运行经费支出情况 </w:t>
      </w:r>
    </w:p>
    <w:p>
      <w:pPr>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2022年度乌鲁木齐市米东区第87小学单位公用经费218.28万元，比上年减少26.96万元，下降10.99%，主要原因是：本年单位办公费、物业管理费、专用材料费较上年有所减少。</w:t>
      </w:r>
    </w:p>
    <w:p>
      <w:pPr>
        <w:spacing w:beforeLines="0" w:afterLines="0" w:line="360" w:lineRule="auto"/>
        <w:ind w:firstLine="640"/>
        <w:rPr>
          <w:rFonts w:hint="default" w:eastAsia="Times New Roman"/>
          <w:sz w:val="32"/>
          <w:szCs w:val="24"/>
        </w:rPr>
      </w:pPr>
      <w:r>
        <w:rPr>
          <w:rFonts w:hint="eastAsia" w:ascii="黑体" w:hAnsi="黑体" w:eastAsia="黑体"/>
          <w:sz w:val="32"/>
          <w:szCs w:val="24"/>
        </w:rPr>
        <w:t>（</w:t>
      </w:r>
      <w:r>
        <w:rPr>
          <w:rFonts w:hint="eastAsia" w:ascii="黑体" w:hAnsi="黑体" w:eastAsia="黑体"/>
          <w:sz w:val="32"/>
          <w:szCs w:val="24"/>
          <w:lang w:val="zh-CN"/>
        </w:rPr>
        <w:t>二</w:t>
      </w:r>
      <w:r>
        <w:rPr>
          <w:rFonts w:hint="eastAsia" w:ascii="黑体" w:hAnsi="黑体" w:eastAsia="黑体"/>
          <w:sz w:val="32"/>
          <w:szCs w:val="24"/>
        </w:rPr>
        <w:t>）</w:t>
      </w:r>
      <w:r>
        <w:rPr>
          <w:rFonts w:hint="eastAsia" w:ascii="黑体" w:hAnsi="黑体" w:eastAsia="黑体"/>
          <w:sz w:val="32"/>
          <w:szCs w:val="24"/>
          <w:lang w:val="zh-CN"/>
        </w:rPr>
        <w:t>政府采购情况</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2022年度政府采购支出总额6.45万元，其中：政府采购货物支出6.45万元、政府采购工程支出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万元、政府采购服务支出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授予中小企业合同金额6.45万元，占政府采购支出总额的100.00%，其中：授予小微企业合同金额6.45万元，占政府采购支出总额的100.00%。</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（三）国有资产占用情况说明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截止2022年12月31日，</w:t>
      </w:r>
      <w:r>
        <w:rPr>
          <w:rFonts w:hint="eastAsia" w:ascii="仿宋_GB2312" w:hAnsi="仿宋_GB2312" w:eastAsia="仿宋_GB2312"/>
          <w:sz w:val="32"/>
          <w:szCs w:val="24"/>
        </w:rPr>
        <w:t>固定资产原值</w:t>
      </w:r>
      <w:r>
        <w:rPr>
          <w:rFonts w:hint="eastAsia" w:ascii="仿宋_GB2312" w:hAnsi="仿宋_GB2312" w:eastAsia="仿宋_GB2312"/>
          <w:kern w:val="0"/>
          <w:sz w:val="32"/>
          <w:szCs w:val="24"/>
        </w:rPr>
        <w:t>2,124.38</w:t>
      </w:r>
      <w:r>
        <w:rPr>
          <w:rFonts w:hint="eastAsia" w:ascii="仿宋_GB2312" w:hAnsi="仿宋_GB2312" w:eastAsia="仿宋_GB2312"/>
          <w:sz w:val="32"/>
          <w:szCs w:val="24"/>
        </w:rPr>
        <w:t>万元，</w:t>
      </w:r>
      <w:r>
        <w:rPr>
          <w:rFonts w:hint="eastAsia" w:ascii="仿宋_GB2312" w:hAnsi="仿宋_GB2312" w:eastAsia="仿宋_GB2312"/>
          <w:kern w:val="0"/>
          <w:sz w:val="32"/>
          <w:szCs w:val="24"/>
        </w:rPr>
        <w:t>房屋13,121.00平方米，价值1,387.44万元。车辆1辆，价值3.73万元，其中：副部（省）级及以上领导用车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辆、主要领导干部用车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辆、机要通信用车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辆、应急保障用车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辆、执法执勤用车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辆、特种专业技术用车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辆、离退休干部用车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辆、其他用车1辆，其他用车主要是：为单位业务用车；单价100</w:t>
      </w:r>
      <w:r>
        <w:rPr>
          <w:rFonts w:hint="eastAsia" w:ascii="仿宋_GB2312" w:hAnsi="仿宋_GB2312" w:eastAsia="仿宋_GB2312"/>
          <w:sz w:val="32"/>
          <w:szCs w:val="24"/>
        </w:rPr>
        <w:t>万元（含）以上设备（不含车辆）</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台（套）。</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十一、预算绩效的情况说明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根据预算绩效管理要求，我单位2022年度开展预算绩效评价项目</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个，</w:t>
      </w:r>
      <w:r>
        <w:rPr>
          <w:rFonts w:hint="eastAsia" w:ascii="仿宋_GB2312" w:hAnsi="仿宋_GB2312" w:eastAsia="仿宋_GB2312"/>
          <w:sz w:val="32"/>
          <w:szCs w:val="24"/>
        </w:rPr>
        <w:t>全年预算数</w:t>
      </w:r>
      <w:r>
        <w:rPr>
          <w:rFonts w:hint="default" w:ascii="仿宋_GB2312" w:hAnsi="仿宋_GB2312" w:eastAsia="仿宋_GB2312"/>
          <w:kern w:val="0"/>
          <w:sz w:val="32"/>
          <w:szCs w:val="24"/>
        </w:rPr>
        <w:t>0</w:t>
      </w:r>
      <w:r>
        <w:rPr>
          <w:rFonts w:hint="eastAsia" w:ascii="仿宋_GB2312" w:hAnsi="仿宋_GB2312" w:eastAsia="仿宋_GB2312"/>
          <w:kern w:val="0"/>
          <w:sz w:val="32"/>
          <w:szCs w:val="24"/>
          <w:lang w:val="en-US" w:eastAsia="zh-CN"/>
        </w:rPr>
        <w:t>.00</w:t>
      </w:r>
      <w:r>
        <w:rPr>
          <w:rFonts w:hint="eastAsia" w:ascii="仿宋_GB2312" w:hAnsi="仿宋_GB2312" w:eastAsia="仿宋_GB2312"/>
          <w:sz w:val="32"/>
          <w:szCs w:val="24"/>
        </w:rPr>
        <w:t>万元，全年执行数</w:t>
      </w:r>
      <w:r>
        <w:rPr>
          <w:rFonts w:hint="default" w:ascii="仿宋_GB2312" w:hAnsi="仿宋_GB2312" w:eastAsia="仿宋_GB2312"/>
          <w:kern w:val="0"/>
          <w:sz w:val="32"/>
          <w:szCs w:val="24"/>
        </w:rPr>
        <w:t>0</w:t>
      </w:r>
      <w:r>
        <w:rPr>
          <w:rFonts w:hint="eastAsia" w:ascii="仿宋_GB2312" w:hAnsi="仿宋_GB2312" w:eastAsia="仿宋_GB2312"/>
          <w:kern w:val="0"/>
          <w:sz w:val="32"/>
          <w:szCs w:val="24"/>
          <w:lang w:val="en-US" w:eastAsia="zh-CN"/>
        </w:rPr>
        <w:t>.00</w:t>
      </w:r>
      <w:bookmarkStart w:id="3" w:name="_GoBack"/>
      <w:bookmarkEnd w:id="3"/>
      <w:r>
        <w:rPr>
          <w:rFonts w:hint="eastAsia" w:ascii="仿宋_GB2312" w:hAnsi="仿宋_GB2312" w:eastAsia="仿宋_GB2312"/>
          <w:sz w:val="32"/>
          <w:szCs w:val="24"/>
        </w:rPr>
        <w:t>万元。</w:t>
      </w:r>
      <w:r>
        <w:rPr>
          <w:rFonts w:hint="eastAsia" w:ascii="仿宋_GB2312" w:hAnsi="仿宋_GB2312" w:eastAsia="仿宋_GB2312"/>
          <w:kern w:val="0"/>
          <w:sz w:val="32"/>
          <w:szCs w:val="24"/>
        </w:rPr>
        <w:t>预算绩效管理取得的成效：</w:t>
      </w:r>
      <w:bookmarkStart w:id="2" w:name="_Hlk143789211"/>
      <w:r>
        <w:rPr>
          <w:rFonts w:hint="eastAsia" w:ascii="仿宋_GB2312" w:eastAsia="仿宋_GB2312" w:cs="仿宋_GB2312"/>
          <w:kern w:val="0"/>
          <w:sz w:val="32"/>
          <w:szCs w:val="32"/>
        </w:rPr>
        <w:t>我单位无预算绩效管理的项目。发现的问题及原因：我单位无预算绩效管理的项目。下一步改进措施：我单位无预算绩效管理的项目。</w:t>
      </w:r>
      <w:bookmarkEnd w:id="2"/>
    </w:p>
    <w:p>
      <w:pPr>
        <w:shd w:val="clear" w:color="auto" w:fill="FFFFFF"/>
        <w:spacing w:before="100" w:beforeLines="0" w:after="240" w:afterLines="0"/>
        <w:jc w:val="center"/>
        <w:rPr>
          <w:rFonts w:hint="default" w:eastAsia="Times New Roman"/>
          <w:b/>
          <w:kern w:val="0"/>
          <w:sz w:val="28"/>
          <w:szCs w:val="24"/>
        </w:rPr>
      </w:pPr>
      <w:r>
        <w:rPr>
          <w:rFonts w:hint="eastAsia" w:ascii="黑体" w:hAnsi="黑体" w:eastAsia="黑体"/>
          <w:kern w:val="0"/>
          <w:sz w:val="32"/>
          <w:szCs w:val="24"/>
        </w:rPr>
        <w:t>第三部分 专业名词解释</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财政拨款收入：指同级财政当年拨付的资金。</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上级补助收入：指事业单位从主管部门和上级单位取得的非财政补助收入。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事业收入：指事业单位开展专业业务活动及其辅助活动所取得的收入。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经营收入：指事业单位在专业业务活动及其辅助活动之外开展非独立核算经营活动取得的收入。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附属单位上缴收入：指事业单位附属的独立核算单位按有关规定上缴的收入。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其他收入：指除上述“财政拨款收入”、“事业收入”、“经营收入”、“附属单位上缴收入”等之外取得的收入。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年初结转和结余：指以前年度支出预算因客观条件变化未执行完毕、结转到本年度按有关规定继续使用的资金，既包括财政拨款结转和结余，也包括事业收入、经营收入、其他收入的结转和结余。</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基本支出：指为保障机构正常运转、完成日常工作任务而发生的人员支出和公用支出。</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项目支出：指在基本支出之外为完成特定行政任务和事业发展目标所发生的支出。</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经营支出：指事业单位在专业业务活动及其辅助活动之外开展非独立核算经营活动发生的支出。</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对附属单位补助支出：指事业单位发生的用非财政预算资金对附属单位的补助支出。</w:t>
      </w:r>
    </w:p>
    <w:p>
      <w:pPr>
        <w:spacing w:beforeLines="0" w:afterLines="0" w:line="360" w:lineRule="auto"/>
        <w:ind w:firstLine="640"/>
        <w:rPr>
          <w:rFonts w:hint="default" w:eastAsia="Times New Roman"/>
          <w:sz w:val="32"/>
          <w:szCs w:val="24"/>
        </w:rPr>
      </w:pPr>
      <w:r>
        <w:rPr>
          <w:rFonts w:hint="eastAsia" w:ascii="仿宋_GB2312" w:hAnsi="仿宋_GB2312" w:eastAsia="仿宋_GB2312"/>
          <w:sz w:val="32"/>
          <w:szCs w:val="24"/>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beforeLines="0" w:afterLines="0" w:line="360" w:lineRule="auto"/>
        <w:ind w:firstLine="640"/>
        <w:rPr>
          <w:rFonts w:hint="default" w:eastAsia="Times New Roman"/>
          <w:sz w:val="32"/>
          <w:szCs w:val="24"/>
        </w:rPr>
      </w:pPr>
      <w:r>
        <w:rPr>
          <w:rFonts w:hint="eastAsia" w:ascii="仿宋_GB2312" w:hAnsi="仿宋_GB2312" w:eastAsia="仿宋_GB2312"/>
          <w:sz w:val="32"/>
          <w:szCs w:val="24"/>
        </w:rPr>
        <w:t>机关运行经费：行政单位和参照公务员法管理的事业单位财政拨款基本支出中的公用经费支出。</w:t>
      </w:r>
    </w:p>
    <w:p>
      <w:pPr>
        <w:shd w:val="clear" w:color="auto" w:fill="FFFFFF"/>
        <w:spacing w:beforeLines="0" w:afterLines="0" w:line="360" w:lineRule="auto"/>
        <w:ind w:firstLine="640"/>
        <w:rPr>
          <w:rFonts w:hint="default" w:eastAsia="Times New Roman"/>
          <w:kern w:val="0"/>
          <w:sz w:val="32"/>
          <w:szCs w:val="24"/>
        </w:rPr>
      </w:pPr>
    </w:p>
    <w:p>
      <w:pPr>
        <w:shd w:val="clear" w:color="auto" w:fill="FFFFFF"/>
        <w:spacing w:before="100" w:beforeLines="0" w:after="240" w:afterLines="0"/>
        <w:jc w:val="center"/>
        <w:rPr>
          <w:rFonts w:hint="default" w:eastAsia="Times New Roman"/>
          <w:kern w:val="0"/>
          <w:sz w:val="32"/>
          <w:szCs w:val="24"/>
        </w:rPr>
      </w:pPr>
      <w:r>
        <w:rPr>
          <w:rFonts w:hint="default" w:ascii="黑体" w:hAnsi="黑体" w:eastAsia="黑体"/>
          <w:kern w:val="0"/>
          <w:sz w:val="32"/>
          <w:szCs w:val="24"/>
        </w:rPr>
        <w:br w:type="page"/>
      </w:r>
      <w:r>
        <w:rPr>
          <w:rFonts w:hint="eastAsia" w:ascii="黑体" w:hAnsi="黑体" w:eastAsia="黑体"/>
          <w:kern w:val="0"/>
          <w:sz w:val="32"/>
          <w:szCs w:val="24"/>
        </w:rPr>
        <w:t>第四部分 部门决算报表（见附表）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一、《收入支出决算总表》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二、《收入决算表》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三、《支出决算表》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四、《财政拨款收入支出决算总表》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五、《一般公共预算财政拨款支出决算表》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六、《一般公共预算财政拨款基本支出决算表》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七、《财政拨款“三公”经费支出决算表》</w:t>
      </w:r>
    </w:p>
    <w:p>
      <w:pPr>
        <w:spacing w:beforeLines="0" w:afterLines="0" w:line="540" w:lineRule="exact"/>
        <w:ind w:firstLine="640"/>
        <w:rPr>
          <w:rFonts w:hint="default" w:eastAsia="Times New Roman"/>
          <w:kern w:val="0"/>
          <w:sz w:val="32"/>
          <w:szCs w:val="24"/>
        </w:rPr>
      </w:pPr>
      <w:r>
        <w:rPr>
          <w:rFonts w:hint="eastAsia" w:ascii="黑体" w:hAnsi="黑体" w:eastAsia="黑体"/>
          <w:sz w:val="32"/>
          <w:szCs w:val="24"/>
        </w:rPr>
        <w:t>八、《政府性基金预算财政拨款收入支出决算表》</w:t>
      </w:r>
    </w:p>
    <w:p>
      <w:pPr>
        <w:spacing w:beforeLines="0" w:afterLines="0" w:line="540" w:lineRule="exact"/>
        <w:ind w:firstLine="640"/>
        <w:rPr>
          <w:rFonts w:hint="default" w:eastAsia="Times New Roman"/>
          <w:kern w:val="0"/>
          <w:sz w:val="32"/>
          <w:szCs w:val="24"/>
        </w:rPr>
      </w:pPr>
      <w:r>
        <w:rPr>
          <w:rFonts w:hint="eastAsia" w:ascii="黑体" w:hAnsi="黑体" w:eastAsia="黑体"/>
          <w:sz w:val="32"/>
          <w:szCs w:val="24"/>
          <w:lang w:val="zh-CN"/>
        </w:rPr>
        <w:t>九</w:t>
      </w:r>
      <w:r>
        <w:rPr>
          <w:rFonts w:hint="eastAsia" w:ascii="黑体" w:hAnsi="黑体" w:eastAsia="黑体"/>
          <w:sz w:val="32"/>
          <w:szCs w:val="24"/>
        </w:rPr>
        <w:t>、《国有资本经营预算财政拨款收入支出决算表》</w:t>
      </w:r>
    </w:p>
    <w:p>
      <w:pPr>
        <w:spacing w:beforeLines="0" w:afterLines="0"/>
        <w:jc w:val="left"/>
        <w:rPr>
          <w:rFonts w:hint="default" w:eastAsia="Times New Roman"/>
          <w:kern w:val="36"/>
          <w:sz w:val="40"/>
          <w:szCs w:val="24"/>
          <w:lang w:val="zh-CN"/>
        </w:rPr>
      </w:pPr>
    </w:p>
    <w:p>
      <w:pPr>
        <w:spacing w:beforeLines="0" w:afterLines="0"/>
        <w:rPr>
          <w:rFonts w:hint="default" w:eastAsia="Times New Roman"/>
          <w:sz w:val="21"/>
          <w:szCs w:val="24"/>
        </w:rPr>
      </w:pPr>
    </w:p>
    <w:p>
      <w:pPr>
        <w:spacing w:beforeLines="0" w:afterLines="0"/>
        <w:jc w:val="left"/>
        <w:rPr>
          <w:rFonts w:hint="default" w:eastAsia="Times New Roman"/>
          <w:kern w:val="36"/>
          <w:sz w:val="40"/>
          <w:szCs w:val="24"/>
          <w:lang w:val="zh-CN"/>
        </w:rPr>
      </w:pPr>
    </w:p>
    <w:p>
      <w:pPr>
        <w:spacing w:beforeLines="0" w:afterLines="0"/>
        <w:rPr>
          <w:rFonts w:hint="default" w:eastAsia="Times New Roman"/>
          <w:sz w:val="21"/>
          <w:szCs w:val="24"/>
        </w:rPr>
      </w:pPr>
    </w:p>
    <w:p>
      <w:pPr>
        <w:spacing w:beforeLines="0" w:afterLines="0"/>
        <w:jc w:val="left"/>
        <w:rPr>
          <w:rFonts w:hint="default" w:eastAsia="Times New Roman"/>
          <w:kern w:val="36"/>
          <w:sz w:val="40"/>
          <w:szCs w:val="24"/>
          <w:lang w:val="zh-CN"/>
        </w:rPr>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0"/>
  <w:displayVerticalDrawingGridEvery w:val="3"/>
  <w:doNotUseMarginsForDrawingGridOrigin w:val="1"/>
  <w:drawingGridHorizontalOrigin w:val="1701"/>
  <w:drawingGridVerticalOrigin w:val="1984"/>
  <w:doNotShadeFormData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kZGMyOWI2OTRjOWQ4ZTEzMzkxOGQzMTU2NTIzNjEifQ=="/>
  </w:docVars>
  <w:rsids>
    <w:rsidRoot w:val="00172A27"/>
    <w:rsid w:val="0AF61A0C"/>
    <w:rsid w:val="25CC0143"/>
    <w:rsid w:val="26A60606"/>
    <w:rsid w:val="39FF1B0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nhideWhenUsed="0" w:uiPriority="99" w:semiHidden="0" w:name="heading 1"/>
    <w:lsdException w:uiPriority="99"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iPriority="99" w:semiHidden="0" w:name="header"/>
    <w:lsdException w:qFormat="1" w:uiPriority="99" w:semiHidden="0" w:name="footer"/>
    <w:lsdException w:qFormat="1" w:unhideWhenUsed="0" w:uiPriority="99" w:semiHidden="0" w:name="index heading"/>
    <w:lsdException w:uiPriority="99"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nhideWhenUsed="0" w:uiPriority="99" w:semiHidden="0" w:name="Closing"/>
    <w:lsdException w:qFormat="1" w:unhideWhenUsed="0" w:uiPriority="99" w:semiHidden="0" w:name="Signature"/>
    <w:lsdException w:qFormat="1" w:uiPriority="99" w:semiHidden="0"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99"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nhideWhenUsed="0"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nhideWhenUsed="0" w:uiPriority="99" w:semiHidden="0" w:name="Normal Table"/>
    <w:lsdException w:qFormat="1" w:unhideWhenUsed="0" w:uiPriority="99" w:semiHidden="0" w:name="annotation subject"/>
    <w:lsdException w:qFormat="1" w:unhideWhenUsed="0" w:uiPriority="99" w:semiHidden="0" w:name="Table Simple 1"/>
    <w:lsdException w:qFormat="1" w:unhideWhenUsed="0" w:uiPriority="99" w:semiHidden="0" w:name="Table Simple 2"/>
    <w:lsdException w:qFormat="1" w:unhideWhenUsed="0" w:uiPriority="99" w:semiHidden="0" w:name="Table Simple 3"/>
    <w:lsdException w:qFormat="1" w:unhideWhenUsed="0" w:uiPriority="99" w:semiHidden="0" w:name="Table Classic 1"/>
    <w:lsdException w:qFormat="1" w:unhideWhenUsed="0" w:uiPriority="99" w:semiHidden="0" w:name="Table Classic 2"/>
    <w:lsdException w:qFormat="1" w:unhideWhenUsed="0" w:uiPriority="99" w:semiHidden="0" w:name="Table Classic 3"/>
    <w:lsdException w:qFormat="1" w:unhideWhenUsed="0" w:uiPriority="99" w:semiHidden="0" w:name="Table Classic 4"/>
    <w:lsdException w:qFormat="1" w:unhideWhenUsed="0" w:uiPriority="99" w:semiHidden="0" w:name="Table Colorful 1"/>
    <w:lsdException w:qFormat="1" w:unhideWhenUsed="0" w:uiPriority="99" w:semiHidden="0" w:name="Table Colorful 2"/>
    <w:lsdException w:qFormat="1" w:unhideWhenUsed="0" w:uiPriority="99" w:semiHidden="0" w:name="Table Colorful 3"/>
    <w:lsdException w:qFormat="1" w:unhideWhenUsed="0" w:uiPriority="99" w:semiHidden="0" w:name="Table Columns 1"/>
    <w:lsdException w:qFormat="1" w:unhideWhenUsed="0" w:uiPriority="99" w:semiHidden="0" w:name="Table Columns 2"/>
    <w:lsdException w:qFormat="1" w:unhideWhenUsed="0" w:uiPriority="99" w:semiHidden="0" w:name="Table Columns 3"/>
    <w:lsdException w:qFormat="1" w:unhideWhenUsed="0" w:uiPriority="99" w:semiHidden="0" w:name="Table Columns 4"/>
    <w:lsdException w:qFormat="1" w:unhideWhenUsed="0" w:uiPriority="99" w:semiHidden="0" w:name="Table Columns 5"/>
    <w:lsdException w:qFormat="1" w:unhideWhenUsed="0" w:uiPriority="99" w:semiHidden="0" w:name="Table Grid 1"/>
    <w:lsdException w:qFormat="1" w:unhideWhenUsed="0" w:uiPriority="99" w:semiHidden="0" w:name="Table Grid 2"/>
    <w:lsdException w:qFormat="1" w:unhideWhenUsed="0" w:uiPriority="99" w:semiHidden="0" w:name="Table Grid 3"/>
    <w:lsdException w:qFormat="1" w:unhideWhenUsed="0" w:uiPriority="99" w:semiHidden="0" w:name="Table Grid 4"/>
    <w:lsdException w:qFormat="1" w:unhideWhenUsed="0" w:uiPriority="99" w:semiHidden="0" w:name="Table Grid 5"/>
    <w:lsdException w:qFormat="1" w:unhideWhenUsed="0" w:uiPriority="99" w:semiHidden="0" w:name="Table Grid 6"/>
    <w:lsdException w:qFormat="1" w:unhideWhenUsed="0" w:uiPriority="99" w:semiHidden="0" w:name="Table Grid 7"/>
    <w:lsdException w:qFormat="1" w:unhideWhenUsed="0" w:uiPriority="99" w:semiHidden="0" w:name="Table Grid 8"/>
    <w:lsdException w:qFormat="1" w:unhideWhenUsed="0" w:uiPriority="99" w:semiHidden="0" w:name="Table List 1"/>
    <w:lsdException w:qFormat="1" w:unhideWhenUsed="0" w:uiPriority="99" w:semiHidden="0" w:name="Table List 2"/>
    <w:lsdException w:qFormat="1" w:unhideWhenUsed="0" w:uiPriority="99" w:semiHidden="0" w:name="Table List 3"/>
    <w:lsdException w:qFormat="1" w:unhideWhenUsed="0" w:uiPriority="99" w:semiHidden="0" w:name="Table List 4"/>
    <w:lsdException w:qFormat="1" w:unhideWhenUsed="0" w:uiPriority="99" w:semiHidden="0" w:name="Table List 5"/>
    <w:lsdException w:qFormat="1" w:unhideWhenUsed="0" w:uiPriority="99" w:semiHidden="0" w:name="Table List 6"/>
    <w:lsdException w:qFormat="1" w:unhideWhenUsed="0" w:uiPriority="99" w:semiHidden="0" w:name="Table List 7"/>
    <w:lsdException w:qFormat="1" w:unhideWhenUsed="0" w:uiPriority="99" w:semiHidden="0" w:name="Table List 8"/>
    <w:lsdException w:qFormat="1" w:unhideWhenUsed="0" w:uiPriority="99" w:semiHidden="0" w:name="Table 3D effects 1"/>
    <w:lsdException w:qFormat="1" w:unhideWhenUsed="0" w:uiPriority="99" w:semiHidden="0" w:name="Table 3D effects 2"/>
    <w:lsdException w:qFormat="1" w:unhideWhenUsed="0" w:uiPriority="99" w:semiHidden="0" w:name="Table 3D effects 3"/>
    <w:lsdException w:qFormat="1" w:unhideWhenUsed="0" w:uiPriority="99" w:semiHidden="0" w:name="Table Contemporary"/>
    <w:lsdException w:qFormat="1" w:unhideWhenUsed="0" w:uiPriority="99" w:semiHidden="0" w:name="Table Elegant"/>
    <w:lsdException w:qFormat="1" w:unhideWhenUsed="0" w:uiPriority="99" w:semiHidden="0" w:name="Table Professional"/>
    <w:lsdException w:qFormat="1" w:unhideWhenUsed="0" w:uiPriority="99" w:semiHidden="0" w:name="Table Subtle 1"/>
    <w:lsdException w:qFormat="1" w:unhideWhenUsed="0" w:uiPriority="99" w:semiHidden="0" w:name="Table Subtle 2"/>
    <w:lsdException w:qFormat="1" w:unhideWhenUsed="0" w:uiPriority="99" w:semiHidden="0" w:name="Table Web 1"/>
    <w:lsdException w:qFormat="1" w:unhideWhenUsed="0" w:uiPriority="99" w:semiHidden="0" w:name="Table Web 2"/>
    <w:lsdException w:qFormat="1" w:unhideWhenUsed="0" w:uiPriority="99" w:semiHidden="0" w:name="Table Web 3"/>
    <w:lsdException w:qFormat="1" w:unhideWhenUsed="0" w:uiPriority="99" w:semiHidden="0" w:name="Balloon Text"/>
    <w:lsdException w:qFormat="1" w:unhideWhenUsed="0" w:uiPriority="99" w:semiHidden="0" w:name="Table Grid"/>
    <w:lsdException w:qFormat="1"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spacing w:beforeLines="0" w:afterLines="0"/>
      <w:jc w:val="both"/>
    </w:pPr>
    <w:rPr>
      <w:rFonts w:hint="eastAsia" w:ascii="Times New Roman" w:hAnsi="Times New Roman" w:eastAsia="宋体" w:cs="Times New Roman"/>
      <w:kern w:val="2"/>
      <w:sz w:val="21"/>
      <w:szCs w:val="21"/>
      <w:lang w:val="en-US" w:eastAsia="zh-CN" w:bidi="ar-SA"/>
    </w:rPr>
  </w:style>
  <w:style w:type="character" w:default="1" w:styleId="5">
    <w:name w:val="Default Paragraph Font"/>
    <w:unhideWhenUsed/>
    <w:qFormat/>
    <w:uiPriority w:val="99"/>
    <w:rPr>
      <w:rFonts w:hint="default"/>
      <w:sz w:val="24"/>
      <w:szCs w:val="24"/>
    </w:rPr>
  </w:style>
  <w:style w:type="table" w:default="1" w:styleId="4">
    <w:name w:val="Normal Table"/>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spacing w:beforeLines="0" w:afterLines="0"/>
      <w:jc w:val="left"/>
    </w:pPr>
    <w:rPr>
      <w:rFonts w:hint="eastAsia"/>
      <w:sz w:val="18"/>
      <w:szCs w:val="18"/>
    </w:rPr>
  </w:style>
  <w:style w:type="paragraph" w:styleId="3">
    <w:name w:val="header"/>
    <w:basedOn w:val="1"/>
    <w:link w:val="6"/>
    <w:unhideWhenUsed/>
    <w:qFormat/>
    <w:uiPriority w:val="99"/>
    <w:pPr>
      <w:tabs>
        <w:tab w:val="center" w:pos="4153"/>
        <w:tab w:val="right" w:pos="8306"/>
      </w:tabs>
      <w:snapToGrid w:val="0"/>
      <w:spacing w:beforeLines="0" w:afterLines="0"/>
      <w:jc w:val="center"/>
    </w:pPr>
    <w:rPr>
      <w:rFonts w:hint="eastAsia"/>
      <w:sz w:val="18"/>
      <w:szCs w:val="18"/>
    </w:rPr>
  </w:style>
  <w:style w:type="character" w:customStyle="1" w:styleId="6">
    <w:name w:val="页眉 字符"/>
    <w:basedOn w:val="5"/>
    <w:link w:val="3"/>
    <w:unhideWhenUsed/>
    <w:qFormat/>
    <w:uiPriority w:val="99"/>
    <w:rPr>
      <w:rFonts w:hint="default" w:cs="Times New Roman"/>
      <w:sz w:val="18"/>
      <w:szCs w:val="18"/>
    </w:rPr>
  </w:style>
  <w:style w:type="character" w:customStyle="1" w:styleId="7">
    <w:name w:val="页脚 字符"/>
    <w:basedOn w:val="5"/>
    <w:link w:val="2"/>
    <w:unhideWhenUsed/>
    <w:qFormat/>
    <w:uiPriority w:val="99"/>
    <w:rPr>
      <w:rFonts w:hint="default"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14</Pages>
  <Words>4621</Words>
  <Characters>5227</Characters>
  <TotalTime>2</TotalTime>
  <ScaleCrop>false</ScaleCrop>
  <LinksUpToDate>false</LinksUpToDate>
  <CharactersWithSpaces>5238</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2023-08-28T07:03:00Z</dcterms:created>
  <dc:creator>asus</dc:creator>
  <cp:lastModifiedBy>逐梦令</cp:lastModifiedBy>
  <dcterms:modified xsi:type="dcterms:W3CDTF">2023-09-01T12:44:55Z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BCFFFA1FED3047E5A790BFC5D4909995_13</vt:lpwstr>
  </property>
</Properties>
</file>