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乌鲁木齐市米东区第97小学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eastAsia" w:ascii="黑体" w:hAnsi="黑体" w:eastAsia="黑体"/>
          <w:sz w:val="32"/>
          <w:szCs w:val="24"/>
          <w:lang w:val="zh-CN"/>
        </w:rPr>
      </w:pPr>
      <w:r>
        <w:rPr>
          <w:rFonts w:hint="eastAsia" w:ascii="黑体" w:hAnsi="黑体" w:eastAsia="黑体"/>
          <w:sz w:val="32"/>
          <w:szCs w:val="24"/>
          <w:lang w:val="zh-CN"/>
        </w:rPr>
        <w:t>一、主要职能</w:t>
      </w:r>
    </w:p>
    <w:p>
      <w:pPr>
        <w:shd w:val="clear" w:color="auto" w:fill="FFFFFF"/>
        <w:spacing w:beforeLines="0" w:afterLines="0" w:line="360" w:lineRule="auto"/>
        <w:ind w:firstLine="640"/>
        <w:rPr>
          <w:rFonts w:hint="default" w:ascii="仿宋_GB2312" w:hAnsi="仿宋_GB2312" w:eastAsia="仿宋_GB2312"/>
          <w:kern w:val="0"/>
          <w:sz w:val="32"/>
          <w:szCs w:val="24"/>
          <w:lang w:val="zh-CN" w:eastAsia="zh-CN"/>
        </w:rPr>
      </w:pPr>
      <w:r>
        <w:rPr>
          <w:rFonts w:hint="default" w:ascii="仿宋_GB2312" w:hAnsi="仿宋_GB2312" w:eastAsia="仿宋_GB2312"/>
          <w:kern w:val="0"/>
          <w:sz w:val="32"/>
          <w:szCs w:val="24"/>
          <w:lang w:val="zh-CN" w:eastAsia="zh-CN"/>
        </w:rPr>
        <w:t>1、全面贯彻党和国家的路线、方针、政策、法规，全面实施素质教育，认真执行上级党委和教育行政部门的指示，依法治校，努力提高学校的办学水平和办学效益。</w:t>
      </w:r>
    </w:p>
    <w:p>
      <w:pPr>
        <w:shd w:val="clear" w:color="auto" w:fill="FFFFFF"/>
        <w:spacing w:beforeLines="0" w:afterLines="0" w:line="360" w:lineRule="auto"/>
        <w:ind w:firstLine="640"/>
        <w:rPr>
          <w:rFonts w:hint="default" w:ascii="仿宋_GB2312" w:hAnsi="仿宋_GB2312" w:eastAsia="仿宋_GB2312"/>
          <w:kern w:val="0"/>
          <w:sz w:val="32"/>
          <w:szCs w:val="24"/>
          <w:lang w:val="zh-CN" w:eastAsia="zh-CN"/>
        </w:rPr>
      </w:pPr>
      <w:r>
        <w:rPr>
          <w:rFonts w:hint="default" w:ascii="仿宋_GB2312" w:hAnsi="仿宋_GB2312" w:eastAsia="仿宋_GB2312"/>
          <w:kern w:val="0"/>
          <w:sz w:val="32"/>
          <w:szCs w:val="24"/>
          <w:lang w:val="zh-CN" w:eastAsia="zh-CN"/>
        </w:rPr>
        <w:t>2、全面规划，统一安排学校的各项工作，组织制定和实施学校发展规划、工作计划。</w:t>
      </w:r>
    </w:p>
    <w:p>
      <w:pPr>
        <w:shd w:val="clear" w:color="auto" w:fill="FFFFFF"/>
        <w:spacing w:beforeLines="0" w:afterLines="0" w:line="360" w:lineRule="auto"/>
        <w:ind w:firstLine="640"/>
        <w:rPr>
          <w:rFonts w:hint="default" w:ascii="仿宋_GB2312" w:hAnsi="仿宋_GB2312" w:eastAsia="仿宋_GB2312"/>
          <w:kern w:val="0"/>
          <w:sz w:val="32"/>
          <w:szCs w:val="24"/>
          <w:lang w:val="zh-CN" w:eastAsia="zh-CN"/>
        </w:rPr>
      </w:pPr>
      <w:r>
        <w:rPr>
          <w:rFonts w:hint="default" w:ascii="仿宋_GB2312" w:hAnsi="仿宋_GB2312" w:eastAsia="仿宋_GB2312"/>
          <w:kern w:val="0"/>
          <w:sz w:val="32"/>
          <w:szCs w:val="24"/>
          <w:lang w:val="zh-CN" w:eastAsia="zh-CN"/>
        </w:rPr>
        <w:t>3、负责健全学校行政指挥系统，健全各项规章制度，保证学校正常的工作秩序。</w:t>
      </w:r>
    </w:p>
    <w:p>
      <w:pPr>
        <w:shd w:val="clear" w:color="auto" w:fill="FFFFFF"/>
        <w:spacing w:beforeLines="0" w:afterLines="0" w:line="360" w:lineRule="auto"/>
        <w:ind w:firstLine="640"/>
        <w:rPr>
          <w:rFonts w:hint="default"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4按照学校经费使用计划，负责教育教学及办公用品、维修设备的采购、发放和管理工作。</w:t>
      </w:r>
    </w:p>
    <w:p>
      <w:pPr>
        <w:shd w:val="clear" w:color="auto" w:fill="FFFFFF"/>
        <w:spacing w:beforeLines="0" w:afterLines="0" w:line="360" w:lineRule="auto"/>
        <w:ind w:firstLine="640"/>
        <w:rPr>
          <w:rFonts w:hint="default"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5、根据预算安排，拟定收支计划，并组织实施、管理和监督。</w:t>
      </w:r>
    </w:p>
    <w:p>
      <w:pPr>
        <w:shd w:val="clear" w:color="auto" w:fill="FFFFFF"/>
        <w:spacing w:beforeLines="0" w:afterLines="0" w:line="360" w:lineRule="auto"/>
        <w:ind w:firstLine="640"/>
        <w:rPr>
          <w:rFonts w:hint="default" w:ascii="仿宋_GB2312" w:hAnsi="仿宋_GB2312" w:eastAsia="仿宋_GB2312"/>
          <w:kern w:val="0"/>
          <w:sz w:val="32"/>
          <w:szCs w:val="24"/>
          <w:lang w:val="zh-CN" w:eastAsia="zh-CN"/>
        </w:rPr>
      </w:pPr>
      <w:r>
        <w:rPr>
          <w:rFonts w:hint="eastAsia" w:ascii="仿宋_GB2312" w:hAnsi="仿宋_GB2312" w:eastAsia="仿宋_GB2312"/>
          <w:kern w:val="0"/>
          <w:sz w:val="32"/>
          <w:szCs w:val="24"/>
          <w:lang w:val="en-US" w:eastAsia="zh-CN"/>
        </w:rPr>
        <w:t>6、规范会计行为；组织执行国家统一的会计制度和自治区相关补充规定；组织管理会计人员的业务培训。</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乌鲁木齐市米东区第97小学2022年度，实有人数211人，其中：在职人员100人，离休人员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人，退休人员111人。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从部门决算单位构成看，乌鲁木齐市米东区第97小学部门决算包括：乌鲁木齐市米东区第97小学</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rPr>
        <w:t>14</w:t>
      </w:r>
      <w:r>
        <w:rPr>
          <w:rFonts w:hint="eastAsia" w:ascii="仿宋_GB2312" w:hAnsi="仿宋_GB2312" w:eastAsia="仿宋_GB2312"/>
          <w:kern w:val="0"/>
          <w:sz w:val="32"/>
          <w:szCs w:val="24"/>
          <w:lang w:val="zh-CN"/>
        </w:rPr>
        <w:t>个科室，分别是：</w:t>
      </w:r>
      <w:r>
        <w:rPr>
          <w:rFonts w:hint="eastAsia" w:ascii="仿宋_GB2312" w:hAnsi="仿宋_GB2312" w:eastAsia="仿宋_GB2312"/>
          <w:kern w:val="0"/>
          <w:sz w:val="32"/>
          <w:szCs w:val="24"/>
        </w:rPr>
        <w:t>书记办公室、校长办公室、副校长办公室、教务处、德育处、总务处、财务室、数学组办公室、语文组办公室、英语组办公室、美术组办公室、体育组办公室、音乐组办公室、综合办公室</w:t>
      </w:r>
      <w:r>
        <w:rPr>
          <w:rFonts w:hint="eastAsia" w:ascii="仿宋_GB2312" w:hAnsi="仿宋_GB2312" w:eastAsia="仿宋_GB2312"/>
          <w:kern w:val="0"/>
          <w:sz w:val="32"/>
          <w:szCs w:val="24"/>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2,524.71万元，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2,523.03</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eastAsia" w:ascii="仿宋_GB2312" w:hAnsi="仿宋_GB2312" w:eastAsia="仿宋_GB2312"/>
          <w:kern w:val="0"/>
          <w:sz w:val="32"/>
          <w:szCs w:val="24"/>
        </w:rPr>
        <w:t>1.68</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与上年相比，增加290.68万元，增长13.01%，主要原因是：本年度增加课后服务收入，另人员工资有所调整，故人员经费收入也有所增加。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2,524.71万元，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2,395.09</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129.62</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与上年相比，增加290.68万元，增长13.01%，主要原因是：本年度增加课后服务，另人员工资有所调整，故人员经费等支出也有所增加。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2022年度本年收入2,523.03万元，其中：财政拨款收入2,356.43万元，占93.40%；上级补助收入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万元，占0.00%；其他收入166.60万元，占6.60%。</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2022年度本年支出2,395.09万元，其中：基本支出2,189.96万元，占91.44%；项目支出205.13万元，占8.56%；上缴上级支出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2,358.11万元，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1.68</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2,356.43</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与上年相比，增加124.63万元，增长5.58%，主要原因是：人员工资较上年度有所调整，导致人员经费收入有所增加。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2,358.11万元，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49.73</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2,308.38</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与上年相比，增加124.63万元，增长5.58%，主要原因是：人员工资较上年度有所调整，导致人员经费支出有所增加。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年初预算数2,320.00万元，决算数2,358.11万元，预决算差异率1.64%，主要原因是：年中追加项目城乡义务保障经费</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公用经费、城乡义务保障经费</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贫困生补助经费等项目，导致财政拨款收入决算数与预算数之间存在差异率。财政拨款支出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年初预算数2,320.00万元，决算数2,358.11万元，预决算差异率1.64%，主要原因是：年中追加项目城乡义务保障经费</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公用经费、城乡义务保障经费</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贫困生补助经费等项目，导致财政拨款支出决算数与预算数之间存在差异率。</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2,308.38</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增加76.03万元，增长3.41%，主要原因是：人员工资较上年度有所调整，导致人员经费支出有所增加。</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eastAsia="仿宋_GB2312"/>
          <w:kern w:val="0"/>
          <w:sz w:val="32"/>
          <w:szCs w:val="24"/>
        </w:rPr>
      </w:pPr>
      <w:r>
        <w:rPr>
          <w:rFonts w:hint="eastAsia" w:ascii="仿宋_GB2312" w:hAnsi="仿宋_GB2312" w:eastAsia="仿宋_GB2312"/>
          <w:sz w:val="32"/>
          <w:szCs w:val="24"/>
        </w:rPr>
        <w:t>1.教育支出（类）2,308.38万元，占100.00%。</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1.教育支出（类）普通教育（款）小学教育（项）:支出决算数为2,308.38万元，比上年决算增加230.39万元，增长11.09%，主要原因是：本年度人员工资较上年度有所调整，导致人员经费支出也有所增加，以及养老保险支出调整到了本单位的教育支出中，所以本年度中教育支出（类）普通教育（款）小学教育（项）支出较上年度决算有所增加</w:t>
      </w:r>
      <w:r>
        <w:rPr>
          <w:rFonts w:hint="eastAsia" w:ascii="仿宋_GB2312" w:hAnsi="仿宋_GB2312" w:eastAsia="仿宋_GB2312"/>
          <w:kern w:val="0"/>
          <w:sz w:val="32"/>
          <w:szCs w:val="24"/>
          <w:lang w:eastAsia="zh-CN"/>
        </w:rPr>
        <w:t>；</w:t>
      </w:r>
    </w:p>
    <w:p>
      <w:pPr>
        <w:spacing w:beforeLines="0" w:afterLines="0" w:line="600" w:lineRule="exact"/>
        <w:ind w:firstLine="640"/>
        <w:rPr>
          <w:rFonts w:hint="default" w:eastAsia="Times New Roman"/>
          <w:sz w:val="32"/>
          <w:szCs w:val="24"/>
        </w:rPr>
      </w:pPr>
      <w:r>
        <w:rPr>
          <w:rFonts w:hint="eastAsia" w:ascii="仿宋_GB2312" w:hAnsi="仿宋_GB2312" w:eastAsia="仿宋_GB2312"/>
          <w:kern w:val="0"/>
          <w:sz w:val="32"/>
          <w:szCs w:val="24"/>
        </w:rPr>
        <w:t>2.社会保障和就业支出（类）行政事业单位养老支出（款）机关事业单位基本养老保险缴费支出（项）:支出决算数为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万元，比上年决算减少154.36万元，下降100.00%，主要原因是：养老保险支出调整到了本单位的教育支出中，所以本年度中教育支出（类）普通教育（款）小学教育（项）支出较上年减少。</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2022年度一般公共预算财政拨款基本支出2,189.96万元，其中：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2,061.19万元，包括：基本工资、津贴补贴、奖金、绩效工资、机关事业单位基本养老保险缴费、职业年金缴费、职工基本医疗保险缴费、公务员医疗补助缴费、其他社会保障缴费、住房公积金、抚恤金、生活补助、其他对个人和家庭的补助。</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公用经费128.77万元，包括：电费、邮电费、取暖费、劳务费、其他商品和服务支出、办公设备购置。</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万元。公务用车运行维护费开支内容包括本年单位无此项支出。公务用车购置数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万元，开支内容包括本年单位无此项支出。单位全年安排的国内公务接待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万元，预决算差异率0.00%，主要原因是：本年单位无此项支出；公务用车运行费全年预算数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2022年度乌鲁木齐市米东区第97小学单位公用经费128.76万元，比上年减少11.30万元，下降8.07%，主要原因是：</w:t>
      </w:r>
      <w:r>
        <w:rPr>
          <w:rFonts w:hint="eastAsia" w:ascii="仿宋_GB2312" w:hAnsi="仿宋_GB2312" w:eastAsia="仿宋_GB2312"/>
          <w:kern w:val="0"/>
          <w:sz w:val="32"/>
          <w:szCs w:val="24"/>
          <w:lang w:val="en-US" w:eastAsia="zh-CN"/>
        </w:rPr>
        <w:t>本年单位购买办公用品减少，学校设施维护次数减少。相关</w:t>
      </w:r>
      <w:r>
        <w:rPr>
          <w:rFonts w:hint="eastAsia" w:ascii="仿宋_GB2312" w:hAnsi="仿宋_GB2312" w:eastAsia="仿宋_GB2312"/>
          <w:kern w:val="0"/>
          <w:sz w:val="32"/>
          <w:szCs w:val="24"/>
        </w:rPr>
        <w:t>经费支出较上年减少。</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2022年度政府采购支出总额23.29万元，其中：政府采购货物支出5.14万元、政府采购工程支出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万元、政府采购服务支出18.15万元。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授予中小企业合同金额23.29万元，占政府采购支出总额的100.00%，其中：授予小微企业合同金额23.29万元，占政府采购支出总额的100.00%。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1,222.56</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房屋8,304.00平方米，价值436.07万元。车辆1辆，价值3.73万元，其中：副部（省）级及以上领导用车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辆、其他用车1辆，其他用车主要是：警务车辆；单价100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根据预算绩效管理要求，我单位2022年度开展预算绩效评价项目4个，</w:t>
      </w:r>
      <w:r>
        <w:rPr>
          <w:rFonts w:hint="eastAsia" w:ascii="仿宋_GB2312" w:hAnsi="仿宋_GB2312" w:eastAsia="仿宋_GB2312"/>
          <w:sz w:val="32"/>
          <w:szCs w:val="24"/>
        </w:rPr>
        <w:t>全年预算数</w:t>
      </w:r>
      <w:r>
        <w:rPr>
          <w:rFonts w:hint="eastAsia" w:ascii="仿宋_GB2312" w:hAnsi="仿宋_GB2312" w:eastAsia="仿宋_GB2312"/>
          <w:kern w:val="0"/>
          <w:sz w:val="32"/>
          <w:szCs w:val="24"/>
        </w:rPr>
        <w:t>223.32</w:t>
      </w:r>
      <w:r>
        <w:rPr>
          <w:rFonts w:hint="eastAsia" w:ascii="仿宋_GB2312" w:hAnsi="仿宋_GB2312" w:eastAsia="仿宋_GB2312"/>
          <w:sz w:val="32"/>
          <w:szCs w:val="24"/>
        </w:rPr>
        <w:t>万元，全年执行数</w:t>
      </w:r>
      <w:r>
        <w:rPr>
          <w:rFonts w:hint="eastAsia" w:ascii="仿宋_GB2312" w:hAnsi="仿宋_GB2312" w:eastAsia="仿宋_GB2312"/>
          <w:kern w:val="0"/>
          <w:sz w:val="32"/>
          <w:szCs w:val="24"/>
        </w:rPr>
        <w:t>118.42</w:t>
      </w:r>
      <w:r>
        <w:rPr>
          <w:rFonts w:hint="eastAsia" w:ascii="仿宋_GB2312" w:hAnsi="仿宋_GB2312" w:eastAsia="仿宋_GB2312"/>
          <w:sz w:val="32"/>
          <w:szCs w:val="24"/>
        </w:rPr>
        <w:t>万元。</w:t>
      </w:r>
      <w:r>
        <w:rPr>
          <w:rFonts w:hint="eastAsia" w:ascii="仿宋_GB2312" w:hAnsi="仿宋_GB2312" w:eastAsia="仿宋_GB2312"/>
          <w:kern w:val="0"/>
          <w:sz w:val="32"/>
          <w:szCs w:val="24"/>
        </w:rPr>
        <w:t>预算绩效管理取得的成效：一是确保了我校教学工作的正常开展和学校的正常运转；二是非寄宿生补助的发放，使贫困生享受了国家的教育资源，同时也给贫困生家庭减轻了家庭经济负担；三是代课教师补助资金的拨付保障了我校代课教师工资的发放，稳定了我校教师队伍。发现的问题及原因：一是</w:t>
      </w:r>
      <w:r>
        <w:rPr>
          <w:rStyle w:val="7"/>
          <w:rFonts w:hint="eastAsia" w:ascii="仿宋" w:hAnsi="仿宋" w:eastAsia="仿宋"/>
          <w:b w:val="0"/>
          <w:spacing w:val="-4"/>
          <w:sz w:val="32"/>
          <w:szCs w:val="24"/>
        </w:rPr>
        <w:t>预算</w:t>
      </w:r>
      <w:r>
        <w:rPr>
          <w:rFonts w:hint="eastAsia" w:ascii="仿宋_GB2312" w:hAnsi="仿宋_GB2312" w:eastAsia="仿宋_GB2312"/>
          <w:kern w:val="0"/>
          <w:sz w:val="32"/>
          <w:szCs w:val="24"/>
        </w:rPr>
        <w:t>编制科学性的问题</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预算编制之合理性相对不足，主要表现在预算调整数较大，年度目标与长期规划衔接的紧密程度需要增强；二是部门职能不明确，个别工作分工不清晰，且人员培训和绩效考核制度不够完善，考核方案部分内容和人员名单更新滞后。下一步改进措施：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bookmarkStart w:id="0" w:name="_GoBack"/>
      <w:bookmarkEnd w:id="0"/>
      <w:r>
        <w:rPr>
          <w:rFonts w:hint="eastAsia" w:ascii="仿宋_GB2312" w:hAnsi="仿宋_GB2312" w:eastAsia="仿宋_GB2312"/>
          <w:kern w:val="0"/>
          <w:sz w:val="32"/>
          <w:szCs w:val="24"/>
        </w:rPr>
        <w:t>具体项目自评情况附项目支出绩效自评表。</w:t>
      </w:r>
    </w:p>
    <w:tbl>
      <w:tblPr>
        <w:tblStyle w:val="5"/>
        <w:tblW w:w="4942" w:type="pct"/>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5"/>
        <w:gridCol w:w="570"/>
        <w:gridCol w:w="690"/>
        <w:gridCol w:w="776"/>
        <w:gridCol w:w="1428"/>
        <w:gridCol w:w="60"/>
        <w:gridCol w:w="922"/>
        <w:gridCol w:w="914"/>
        <w:gridCol w:w="586"/>
        <w:gridCol w:w="446"/>
        <w:gridCol w:w="563"/>
        <w:gridCol w:w="61"/>
        <w:gridCol w:w="757"/>
        <w:gridCol w:w="5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443" w:type="pct"/>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公用经费---提前下达2022城乡义务教育直达资金（乌财科教【2021】96号）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213"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第97小学</w:t>
            </w:r>
          </w:p>
        </w:tc>
        <w:tc>
          <w:tcPr>
            <w:tcW w:w="111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117"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第97小学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3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5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11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35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3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139.91</w:t>
            </w:r>
          </w:p>
        </w:tc>
        <w:tc>
          <w:tcPr>
            <w:tcW w:w="111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67.93</w:t>
            </w:r>
          </w:p>
        </w:tc>
        <w:tc>
          <w:tcPr>
            <w:tcW w:w="35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48.55%</w:t>
            </w:r>
          </w:p>
        </w:tc>
        <w:tc>
          <w:tcPr>
            <w:tcW w:w="3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5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139.91</w:t>
            </w:r>
          </w:p>
        </w:tc>
        <w:tc>
          <w:tcPr>
            <w:tcW w:w="111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67.93</w:t>
            </w:r>
          </w:p>
        </w:tc>
        <w:tc>
          <w:tcPr>
            <w:tcW w:w="35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11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5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11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5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539"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229"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539"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年来，我单位认真落实义务教育保障机制的各项要求，坚持以义务教育为重点，通过义务教育标准化学校建设，大力推进义务教育均衡，努力推动义务教育从数量扩张向质量提高转变，取得了明显成效。我们坚持以服务教育教学为中心，以保障正常开展各项目常教育教学活动为重点，为学校日常运转提供有力保障，各类教育教学活动有序开展，办学水平不断提升。有城乡义务教育经费做保障，使我校的教育资源配置优化，学校面貌发生了巨大变化，办学条件得到大力改善，教师业务水平进一步提升。随着公用经费支出中对校本教研和教师培训经费保障的进一步强化， 为教师提供了更多的学习、培训机会，教师专业化水平和综合素质不断提升。</w:t>
            </w:r>
          </w:p>
        </w:tc>
        <w:tc>
          <w:tcPr>
            <w:tcW w:w="2229"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我单位认真落实义务教育保障机制的各项要求，坚持以义务教育为重点，通过义务教育标准化学校建设，大力推进义务教育均衡，努力推动义务教育从数量扩张向质量提高转变，取得了明显成效。各类教育教学活动有序开展，办学水平不断提升。有城乡义务教育经费做保障，使我校的教育资源配置优化，学校面貌发生了巨大变化，办学条件得到大力改善，教师业务水平进一步提升。本年度由于疫情原因，此项目只执行了上半年6个月，下半年6个月未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39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25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6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2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3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7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96"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25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6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96"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2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5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享受教学条件改善学生数</w:t>
            </w: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&gt;=2000人</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2325人</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6"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5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学校供暖面积</w:t>
            </w: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=7218.47平方米</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7218.47平方米</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6"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5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教科书质量合格率</w:t>
            </w: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6"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5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维修验收合格率</w:t>
            </w: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6"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25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6个月</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2022年由于疫情原因，财政未能及时拨付资金。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5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义务教育生均公用经费</w:t>
            </w: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=650元/生/年</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332元/生/年</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5.11</w:t>
            </w:r>
          </w:p>
        </w:tc>
        <w:tc>
          <w:tcPr>
            <w:tcW w:w="79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由于疫情原因，财政未能及时拨付资金，导致我单位未能执行预算。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58"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96"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5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提高社会服务发展能力，提升学生综合素质</w:t>
            </w: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基本达到预期效果</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11.85</w:t>
            </w:r>
          </w:p>
        </w:tc>
        <w:tc>
          <w:tcPr>
            <w:tcW w:w="79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由于疫情原因，财政未能及时拨付资金，导致我单位未能执行预算。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258"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96"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25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保障教育教学工作正常开展</w:t>
            </w: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长期保障</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基本达到预期效果</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11.85</w:t>
            </w:r>
          </w:p>
        </w:tc>
        <w:tc>
          <w:tcPr>
            <w:tcW w:w="79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由于疫情原因，财政未能及时拨付资金，导致我单位未能执行预算。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5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学生和家长满意度</w:t>
            </w: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6"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292"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78.67分</w:t>
            </w:r>
          </w:p>
        </w:tc>
        <w:tc>
          <w:tcPr>
            <w:tcW w:w="796"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18"/>
          <w:szCs w:val="18"/>
          <w:highlight w:val="white"/>
          <w:lang w:val="en-US"/>
        </w:rPr>
      </w:pPr>
    </w:p>
    <w:tbl>
      <w:tblPr>
        <w:tblStyle w:val="5"/>
        <w:tblW w:w="493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5"/>
        <w:gridCol w:w="637"/>
        <w:gridCol w:w="720"/>
        <w:gridCol w:w="1012"/>
        <w:gridCol w:w="338"/>
        <w:gridCol w:w="840"/>
        <w:gridCol w:w="780"/>
        <w:gridCol w:w="420"/>
        <w:gridCol w:w="465"/>
        <w:gridCol w:w="540"/>
        <w:gridCol w:w="645"/>
        <w:gridCol w:w="210"/>
        <w:gridCol w:w="870"/>
        <w:gridCol w:w="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409" w:type="pct"/>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培训费---提前下达2022城乡义务教育直达资金（乌财科教【2021】96号】）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350"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第97小学</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484"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第97小学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99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68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6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8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5.92</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0.31</w:t>
            </w: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5.24%</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6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68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5.92</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0.31</w:t>
            </w: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6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8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6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8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715"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59"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715"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为了健全完善人才培养体系，促进人才发展，实现人才优化配置，整合教育培训资源，构建教育培训体系，有计划的为教师提供各种培训。为广大教师提供更多更广泛的学习培训机会，完善后备人才培养。</w:t>
            </w:r>
          </w:p>
        </w:tc>
        <w:tc>
          <w:tcPr>
            <w:tcW w:w="2059"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由于财政资金紧张，项目资金未能及时拨付，所以未能给老师提供更多的学习培训机会。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1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77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8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4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0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797"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99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7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8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97"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9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参加培训人数</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&gt;=90人</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18人</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7"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99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由于财政资金紧张，未及时拨付资金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完成培训的计划班次</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&gt;=12次</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97"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0.17</w:t>
            </w:r>
          </w:p>
        </w:tc>
        <w:tc>
          <w:tcPr>
            <w:tcW w:w="99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由于财政资金紧张，未及时拨付资金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参加培训人员结业率</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97"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9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2022年由于疫情原因，学校老师未能外出参加培训</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97"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继续教育培训费标准</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=608元/人/次</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608元/人/次</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97"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97"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开展党的路线、方针、政策宣传，提高人们的社会意识</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有效完成</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基本达到预期效果</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97"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11.85</w:t>
            </w:r>
          </w:p>
        </w:tc>
        <w:tc>
          <w:tcPr>
            <w:tcW w:w="99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由于财政资金紧张，未及时拨付资金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97"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可持续发展理念的宣传和培训</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长期有效</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基本达到预期效果</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97"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11.85</w:t>
            </w:r>
          </w:p>
        </w:tc>
        <w:tc>
          <w:tcPr>
            <w:tcW w:w="99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由于财政资金紧张，未及时拨付资金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培训对象满意度</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7"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00"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7"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78.39分</w:t>
            </w:r>
          </w:p>
        </w:tc>
        <w:tc>
          <w:tcPr>
            <w:tcW w:w="9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18"/>
          <w:szCs w:val="18"/>
          <w:highlight w:val="white"/>
          <w:lang w:val="en-US"/>
        </w:rPr>
      </w:pPr>
    </w:p>
    <w:tbl>
      <w:tblPr>
        <w:tblStyle w:val="5"/>
        <w:tblW w:w="493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4"/>
        <w:gridCol w:w="578"/>
        <w:gridCol w:w="585"/>
        <w:gridCol w:w="1250"/>
        <w:gridCol w:w="782"/>
        <w:gridCol w:w="1159"/>
        <w:gridCol w:w="1091"/>
        <w:gridCol w:w="832"/>
        <w:gridCol w:w="818"/>
        <w:gridCol w:w="12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0"/>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0"/>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444"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乌财科教[2022]45号--关于拨付2022年中小学和幼儿园自聘教师补助资金的通知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159"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第97小学</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660"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第97小学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4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75.02</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47.83</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63.76%</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4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75.02</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47.83</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4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49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284"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49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2022年绩效目标:聘请代课教师同时提高代课教师的薪资水平，弥补了现有师资力量的不足，保障学校完成各项教学工作。</w:t>
            </w:r>
          </w:p>
        </w:tc>
        <w:tc>
          <w:tcPr>
            <w:tcW w:w="2284"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聘请代课教师弥补了现有师资力量不足，保障学校完成各项教学工作，但是由于财政资金紧张代课教师工资只发放了10个月，剩余2个月未能按时发放。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33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16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6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2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7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6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1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6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1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3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16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代课教师发放人数</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=26人</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26人</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16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同工同酬教师发放人数</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=5人</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5人</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16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资金发放准确性</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16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10个月</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8.33</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由于财政资金紧张，未及时拨付资金，无法正常支付代课教师工资</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16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自聘教师月平均工资</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&lt;=5000元/月</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5000元/月</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162"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16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调动代课教师的工作热情和积极性，提高教学质量</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基本达到预期效果</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11.85</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由于财政资金紧张，未及时拨付资金，无法正常支付代课教师工资</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162"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16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保证教学工作的正常开展</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长期保障</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基本达到预期效果</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11.85</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由于财政资金紧张，未及时拨付资金，无法正常支付代课教师工资</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16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代课教师满意度</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39"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88.41分</w:t>
            </w:r>
          </w:p>
        </w:tc>
        <w:tc>
          <w:tcPr>
            <w:tcW w:w="71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18"/>
          <w:szCs w:val="18"/>
          <w:highlight w:val="white"/>
          <w:lang w:val="en-US"/>
        </w:rPr>
      </w:pP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0"/>
        <w:gridCol w:w="676"/>
        <w:gridCol w:w="672"/>
        <w:gridCol w:w="987"/>
        <w:gridCol w:w="857"/>
        <w:gridCol w:w="107"/>
        <w:gridCol w:w="711"/>
        <w:gridCol w:w="927"/>
        <w:gridCol w:w="715"/>
        <w:gridCol w:w="785"/>
        <w:gridCol w:w="225"/>
        <w:gridCol w:w="826"/>
        <w:gridCol w:w="6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240" w:type="pct"/>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学生补助---提前下达2022城乡义务教育直达资金（乌财科教【2021】96号】）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188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第97小学</w:t>
            </w:r>
          </w:p>
        </w:tc>
        <w:tc>
          <w:tcPr>
            <w:tcW w:w="92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430"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第97小学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93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92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2.47</w:t>
            </w:r>
          </w:p>
        </w:tc>
        <w:tc>
          <w:tcPr>
            <w:tcW w:w="92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2.35</w:t>
            </w:r>
          </w:p>
        </w:tc>
        <w:tc>
          <w:tcPr>
            <w:tcW w:w="5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95.14%</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2.47</w:t>
            </w:r>
          </w:p>
        </w:tc>
        <w:tc>
          <w:tcPr>
            <w:tcW w:w="92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2.35</w:t>
            </w:r>
          </w:p>
        </w:tc>
        <w:tc>
          <w:tcPr>
            <w:tcW w:w="5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92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92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2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357"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2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保障非寄宿贫困生享受教育资助，品等享受教育资源。</w:t>
            </w:r>
          </w:p>
        </w:tc>
        <w:tc>
          <w:tcPr>
            <w:tcW w:w="2357"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由于财政资金紧张，非寄宿贫困生资助本年度只发放一个学期，第二学期财政没有拨款，所以没有发放到位。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37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4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6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2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0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4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987"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4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6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87"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8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4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发放贫困补助学生人数</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&gt;=60人</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78人</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987"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4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非寄宿贫困学生覆盖率</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87"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4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资助标准达标率</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87"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4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享受补助时长</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=2个学期</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1个学期</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987"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由于财政资金紧张，只发放了第一学期贫困生补助，第二学期未发放到位</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4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享受补助标准</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=625元/生/年</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312.5元/生/年</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87"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由于财政资金紧张，只发放了第一学期贫困生补助，第二学期未发放到位</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041"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87"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4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解决非寄宿贫困学生困难</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有效解决</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基本达到预期效果</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11.85</w:t>
            </w:r>
          </w:p>
        </w:tc>
        <w:tc>
          <w:tcPr>
            <w:tcW w:w="987"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由于财政资金紧张，只发放了第一学期贫困生补助，第二学期未发放到位</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041"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87"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4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促进贫困生平等享受教育资源</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长期促进</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基本达到预期效果</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11.85</w:t>
            </w:r>
          </w:p>
        </w:tc>
        <w:tc>
          <w:tcPr>
            <w:tcW w:w="987"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由于财政资金紧张，只发放了第一学期贫困生补助，第二学期未发放到位</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4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学生及家庭满意度</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87"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65"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85.71分</w:t>
            </w:r>
          </w:p>
        </w:tc>
        <w:tc>
          <w:tcPr>
            <w:tcW w:w="987"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beforeLines="0" w:after="240" w:afterLines="0"/>
        <w:jc w:val="center"/>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kern w:val="0"/>
          <w:sz w:val="32"/>
          <w:szCs w:val="24"/>
        </w:rPr>
      </w:pPr>
    </w:p>
    <w:p>
      <w:pPr>
        <w:shd w:val="clear" w:color="auto" w:fill="FFFFFF"/>
        <w:spacing w:before="100" w:beforeLines="0" w:after="240" w:afterLines="0"/>
        <w:jc w:val="center"/>
        <w:rPr>
          <w:rFonts w:hint="default" w:eastAsia="Times New Roman"/>
          <w:kern w:val="0"/>
          <w:sz w:val="32"/>
          <w:szCs w:val="24"/>
        </w:rPr>
      </w:pPr>
      <w:r>
        <w:rPr>
          <w:rFonts w:hint="default" w:ascii="黑体" w:hAnsi="黑体" w:eastAsia="黑体"/>
          <w:kern w:val="0"/>
          <w:sz w:val="32"/>
          <w:szCs w:val="24"/>
        </w:rPr>
        <w:br w:type="page"/>
      </w: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BFC463B"/>
    <w:rsid w:val="10402386"/>
    <w:rsid w:val="46CF6D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99" w:semiHidden="0" w:name="index heading"/>
    <w:lsdException w:uiPriority="99"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iPriority="22"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6">
    <w:name w:val="Default Paragraph Font"/>
    <w:unhideWhenUsed/>
    <w:uiPriority w:val="99"/>
    <w:rPr>
      <w:rFonts w:hint="default"/>
      <w:sz w:val="24"/>
      <w:szCs w:val="24"/>
    </w:rPr>
  </w:style>
  <w:style w:type="table" w:default="1" w:styleId="5">
    <w:name w:val="Normal Table"/>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8"/>
    <w:unhideWhenUsed/>
    <w:qFormat/>
    <w:uiPriority w:val="99"/>
    <w:pPr>
      <w:tabs>
        <w:tab w:val="center" w:pos="4153"/>
        <w:tab w:val="right" w:pos="8306"/>
      </w:tabs>
      <w:snapToGrid w:val="0"/>
      <w:spacing w:beforeLines="0" w:afterLines="0"/>
      <w:jc w:val="center"/>
    </w:pPr>
    <w:rPr>
      <w:rFonts w:hint="eastAsia"/>
      <w:sz w:val="18"/>
      <w:szCs w:val="18"/>
    </w:rPr>
  </w:style>
  <w:style w:type="paragraph" w:styleId="4">
    <w:name w:val="Normal (Web)"/>
    <w:basedOn w:val="1"/>
    <w:unhideWhenUsed/>
    <w:uiPriority w:val="99"/>
    <w:pPr>
      <w:spacing w:before="100" w:beforeLines="0" w:beforeAutospacing="1" w:after="100" w:afterLines="0" w:afterAutospacing="1"/>
      <w:jc w:val="left"/>
    </w:pPr>
    <w:rPr>
      <w:rFonts w:hint="eastAsia" w:ascii="Calibri" w:hAnsi="Calibri"/>
      <w:color w:val="000000"/>
      <w:sz w:val="24"/>
      <w:szCs w:val="24"/>
    </w:rPr>
  </w:style>
  <w:style w:type="character" w:styleId="7">
    <w:name w:val="Strong"/>
    <w:basedOn w:val="6"/>
    <w:unhideWhenUsed/>
    <w:qFormat/>
    <w:uiPriority w:val="22"/>
    <w:rPr>
      <w:rFonts w:hint="default" w:cs="Times New Roman"/>
      <w:b/>
      <w:sz w:val="24"/>
      <w:szCs w:val="24"/>
    </w:rPr>
  </w:style>
  <w:style w:type="character" w:customStyle="1" w:styleId="8">
    <w:name w:val="页眉 字符"/>
    <w:basedOn w:val="6"/>
    <w:link w:val="3"/>
    <w:unhideWhenUsed/>
    <w:uiPriority w:val="99"/>
    <w:rPr>
      <w:rFonts w:hint="default" w:cs="Times New Roman"/>
      <w:sz w:val="18"/>
      <w:szCs w:val="18"/>
    </w:rPr>
  </w:style>
  <w:style w:type="character" w:customStyle="1" w:styleId="9">
    <w:name w:val="页脚 字符"/>
    <w:basedOn w:val="6"/>
    <w:link w:val="2"/>
    <w:unhideWhenUsed/>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8094</Words>
  <Characters>9125</Characters>
  <TotalTime>27</TotalTime>
  <ScaleCrop>false</ScaleCrop>
  <LinksUpToDate>false</LinksUpToDate>
  <CharactersWithSpaces>9141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2023-08-24T03:17:00Z</dcterms:created>
  <dc:creator>asus</dc:creator>
  <cp:lastModifiedBy>逐梦令</cp:lastModifiedBy>
  <dcterms:modified xsi:type="dcterms:W3CDTF">2023-08-31T09:40:41Z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50D39BEA84804D1E812A990A87DC810E_13</vt:lpwstr>
  </property>
</Properties>
</file>