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乌鲁木齐市米东区第98小学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pacing w:beforeLines="0" w:afterLines="0" w:line="560" w:lineRule="exact"/>
        <w:ind w:firstLine="640" w:firstLineChars="200"/>
        <w:jc w:val="left"/>
        <w:rPr>
          <w:rFonts w:hint="default" w:ascii="仿宋_GB2312" w:hAnsi="仿宋_GB2312" w:eastAsia="仿宋_GB2312"/>
          <w:kern w:val="0"/>
          <w:sz w:val="32"/>
          <w:szCs w:val="24"/>
        </w:rPr>
      </w:pPr>
      <w:r>
        <w:rPr>
          <w:rFonts w:hint="eastAsia" w:ascii="仿宋_GB2312" w:hAnsi="仿宋_GB2312" w:eastAsia="仿宋_GB2312"/>
          <w:kern w:val="0"/>
          <w:sz w:val="32"/>
          <w:szCs w:val="24"/>
        </w:rPr>
        <w:t>乌鲁木齐市第98小学的主要职能是抓基础教育、培养学生习惯、组织教育教学、科学研究活动，保证教育教学质量。维护教职工利益，保障教职工合法权益，以教职工和学生的人生幸福和生命质量作为重点。</w:t>
      </w:r>
    </w:p>
    <w:p>
      <w:pPr>
        <w:spacing w:beforeLines="0" w:afterLines="0" w:line="560" w:lineRule="exact"/>
        <w:ind w:firstLine="640" w:firstLineChars="200"/>
        <w:jc w:val="left"/>
        <w:rPr>
          <w:rFonts w:hint="default" w:ascii="仿宋_GB2312" w:hAnsi="仿宋_GB2312" w:eastAsia="仿宋_GB2312"/>
          <w:kern w:val="0"/>
          <w:sz w:val="32"/>
          <w:szCs w:val="24"/>
        </w:rPr>
      </w:pPr>
      <w:r>
        <w:rPr>
          <w:rFonts w:hint="eastAsia" w:ascii="仿宋_GB2312" w:hAnsi="仿宋_GB2312" w:eastAsia="仿宋_GB2312"/>
          <w:kern w:val="0"/>
          <w:sz w:val="32"/>
          <w:szCs w:val="24"/>
        </w:rPr>
        <w:t>（一）宣传贯彻执行党和国家的教育方针、政策、法律法规等，坚持依法治教、依法治学，贯彻执行上级教育部门的行政规章制度。</w:t>
      </w:r>
    </w:p>
    <w:p>
      <w:pPr>
        <w:spacing w:beforeLines="0" w:afterLines="0" w:line="560" w:lineRule="exact"/>
        <w:ind w:firstLine="640" w:firstLineChars="200"/>
        <w:jc w:val="left"/>
        <w:rPr>
          <w:rFonts w:hint="default" w:ascii="仿宋_GB2312" w:hAnsi="仿宋_GB2312" w:eastAsia="仿宋_GB2312"/>
          <w:kern w:val="0"/>
          <w:sz w:val="32"/>
          <w:szCs w:val="24"/>
        </w:rPr>
      </w:pPr>
      <w:r>
        <w:rPr>
          <w:rFonts w:hint="eastAsia" w:ascii="仿宋_GB2312" w:hAnsi="仿宋_GB2312" w:eastAsia="仿宋_GB2312"/>
          <w:kern w:val="0"/>
          <w:sz w:val="32"/>
          <w:szCs w:val="24"/>
        </w:rPr>
        <w:t>（二）配合上级教育部门制定符合党的教育方针和国家教育法律法规以及本校实际的教育发展规划和学校布局调整规划，并抓好组织实施和落实工作。</w:t>
      </w:r>
    </w:p>
    <w:p>
      <w:pPr>
        <w:spacing w:beforeLines="0" w:afterLines="0" w:line="560" w:lineRule="exact"/>
        <w:ind w:firstLine="640" w:firstLineChars="200"/>
        <w:jc w:val="left"/>
        <w:rPr>
          <w:rFonts w:hint="default" w:ascii="仿宋_GB2312" w:hAnsi="仿宋_GB2312" w:eastAsia="仿宋_GB2312"/>
          <w:kern w:val="0"/>
          <w:sz w:val="32"/>
          <w:szCs w:val="24"/>
        </w:rPr>
      </w:pPr>
      <w:r>
        <w:rPr>
          <w:rFonts w:hint="eastAsia" w:ascii="仿宋_GB2312" w:hAnsi="仿宋_GB2312" w:eastAsia="仿宋_GB2312"/>
          <w:kern w:val="0"/>
          <w:sz w:val="32"/>
          <w:szCs w:val="24"/>
        </w:rPr>
        <w:t>（三）配合各级人民政府依法动员、组织适龄少年入学，严格控制辍学，推进普及义务教育。</w:t>
      </w:r>
    </w:p>
    <w:p>
      <w:pPr>
        <w:spacing w:beforeLines="0" w:afterLines="0" w:line="560" w:lineRule="exact"/>
        <w:ind w:firstLine="640" w:firstLineChars="200"/>
        <w:jc w:val="left"/>
        <w:rPr>
          <w:rFonts w:hint="default" w:ascii="仿宋_GB2312" w:hAnsi="仿宋_GB2312" w:eastAsia="仿宋_GB2312"/>
          <w:kern w:val="0"/>
          <w:sz w:val="32"/>
          <w:szCs w:val="24"/>
        </w:rPr>
      </w:pPr>
      <w:r>
        <w:rPr>
          <w:rFonts w:hint="eastAsia" w:ascii="仿宋_GB2312" w:hAnsi="仿宋_GB2312" w:eastAsia="仿宋_GB2312"/>
          <w:kern w:val="0"/>
          <w:sz w:val="32"/>
          <w:szCs w:val="24"/>
        </w:rPr>
        <w:t>（四）组织开展本校的教育教学科研和教育教学改革，科研兴教，科研兴校。负责对本校教育教学业务的具体管理，负责教育教学管理及教研教改工作。</w:t>
      </w:r>
    </w:p>
    <w:p>
      <w:pPr>
        <w:spacing w:beforeLines="0" w:afterLines="0" w:line="560" w:lineRule="exact"/>
        <w:ind w:firstLine="640" w:firstLineChars="200"/>
        <w:jc w:val="left"/>
        <w:rPr>
          <w:rFonts w:hint="default" w:ascii="仿宋_GB2312" w:hAnsi="仿宋_GB2312" w:eastAsia="仿宋_GB2312"/>
          <w:kern w:val="0"/>
          <w:sz w:val="32"/>
          <w:szCs w:val="24"/>
        </w:rPr>
      </w:pPr>
      <w:r>
        <w:rPr>
          <w:rFonts w:hint="eastAsia" w:ascii="仿宋_GB2312" w:hAnsi="仿宋_GB2312" w:eastAsia="仿宋_GB2312"/>
          <w:kern w:val="0"/>
          <w:sz w:val="32"/>
          <w:szCs w:val="24"/>
        </w:rPr>
        <w:t>（五）按照干部和教师的职数、编制和管理权限，制定切实可行的学校工作规章制度，以提高教育教学质量为目的，负责本校教师人事管理、继续教育、考核考评等工作。</w:t>
      </w:r>
    </w:p>
    <w:p>
      <w:pPr>
        <w:spacing w:beforeLines="0" w:afterLines="0" w:line="560" w:lineRule="exact"/>
        <w:ind w:firstLine="640" w:firstLineChars="200"/>
        <w:jc w:val="left"/>
        <w:rPr>
          <w:rFonts w:hint="default" w:ascii="仿宋_GB2312" w:hAnsi="仿宋_GB2312" w:eastAsia="仿宋_GB2312"/>
          <w:kern w:val="0"/>
          <w:sz w:val="32"/>
          <w:szCs w:val="24"/>
        </w:rPr>
      </w:pPr>
      <w:r>
        <w:rPr>
          <w:rFonts w:hint="eastAsia" w:ascii="仿宋_GB2312" w:hAnsi="仿宋_GB2312" w:eastAsia="仿宋_GB2312"/>
          <w:kern w:val="0"/>
          <w:sz w:val="32"/>
          <w:szCs w:val="24"/>
        </w:rPr>
        <w:t>（六）负责本校财务和基建管理，筹措资金，改善办学条件等工作，为师生提供优美和谐的学习和工作环境。核算和发放教职工工资</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维护教职工利益，保障教职工合法权益。</w:t>
      </w:r>
    </w:p>
    <w:p>
      <w:pPr>
        <w:spacing w:beforeLines="0" w:afterLines="0" w:line="560" w:lineRule="exact"/>
        <w:ind w:firstLine="640" w:firstLineChars="200"/>
        <w:jc w:val="left"/>
        <w:rPr>
          <w:rFonts w:hint="default" w:ascii="仿宋_GB2312" w:hAnsi="仿宋_GB2312" w:eastAsia="仿宋_GB2312"/>
          <w:kern w:val="0"/>
          <w:sz w:val="32"/>
          <w:szCs w:val="24"/>
        </w:rPr>
      </w:pPr>
      <w:r>
        <w:rPr>
          <w:rFonts w:hint="eastAsia" w:ascii="仿宋_GB2312" w:hAnsi="仿宋_GB2312" w:eastAsia="仿宋_GB2312"/>
          <w:kern w:val="0"/>
          <w:sz w:val="32"/>
          <w:szCs w:val="24"/>
        </w:rPr>
        <w:t>（七）指导、管理、检查、评价本校的教育教学工作，提高办学质量和办学效益。按照义务教育课程计划，开齐课程，开足课时，认真教育教学管理，全面提高教育教学质量。</w:t>
      </w:r>
    </w:p>
    <w:p>
      <w:pPr>
        <w:spacing w:beforeLines="0" w:afterLines="0" w:line="560" w:lineRule="exact"/>
        <w:ind w:firstLine="640" w:firstLineChars="200"/>
        <w:jc w:val="left"/>
        <w:rPr>
          <w:rFonts w:hint="default" w:ascii="仿宋_GB2312" w:hAnsi="仿宋_GB2312" w:eastAsia="仿宋_GB2312"/>
          <w:kern w:val="0"/>
          <w:sz w:val="32"/>
          <w:szCs w:val="24"/>
        </w:rPr>
      </w:pPr>
      <w:r>
        <w:rPr>
          <w:rFonts w:hint="eastAsia" w:ascii="仿宋_GB2312" w:hAnsi="仿宋_GB2312" w:eastAsia="仿宋_GB2312"/>
          <w:kern w:val="0"/>
          <w:sz w:val="32"/>
          <w:szCs w:val="24"/>
        </w:rPr>
        <w:t>（八）建立健全学生学籍管理制度，按国家教育部颁布的规定管理学生学籍。</w:t>
      </w:r>
    </w:p>
    <w:p>
      <w:pPr>
        <w:spacing w:beforeLines="0" w:afterLines="0" w:line="560" w:lineRule="exact"/>
        <w:ind w:firstLine="640" w:firstLineChars="200"/>
        <w:jc w:val="left"/>
        <w:rPr>
          <w:rFonts w:hint="default" w:ascii="仿宋_GB2312" w:hAnsi="仿宋_GB2312" w:eastAsia="仿宋_GB2312"/>
          <w:kern w:val="0"/>
          <w:sz w:val="32"/>
          <w:szCs w:val="24"/>
        </w:rPr>
      </w:pPr>
      <w:r>
        <w:rPr>
          <w:rFonts w:hint="eastAsia" w:ascii="仿宋_GB2312" w:hAnsi="仿宋_GB2312" w:eastAsia="仿宋_GB2312"/>
          <w:kern w:val="0"/>
          <w:sz w:val="32"/>
          <w:szCs w:val="24"/>
        </w:rPr>
        <w:t>（九）在上级党委、政府和教育行政部门的领导下，积极开展学校的安全管理，不断提高安全管理水平，努力营造安全和谐的校园环境。</w:t>
      </w:r>
    </w:p>
    <w:p>
      <w:pPr>
        <w:spacing w:beforeLines="0" w:afterLines="0" w:line="560" w:lineRule="exact"/>
        <w:ind w:firstLine="640" w:firstLineChars="200"/>
        <w:jc w:val="left"/>
        <w:rPr>
          <w:rFonts w:hint="default" w:ascii="仿宋_GB2312" w:hAnsi="仿宋_GB2312" w:eastAsia="仿宋_GB2312"/>
          <w:kern w:val="0"/>
          <w:sz w:val="32"/>
          <w:szCs w:val="24"/>
        </w:rPr>
      </w:pPr>
      <w:r>
        <w:rPr>
          <w:rFonts w:hint="eastAsia" w:ascii="仿宋_GB2312" w:hAnsi="仿宋_GB2312" w:eastAsia="仿宋_GB2312"/>
          <w:kern w:val="0"/>
          <w:sz w:val="32"/>
          <w:szCs w:val="24"/>
        </w:rPr>
        <w:t>（十）在上级教育部门的领导下，谋划布局，全面推进义务教育均衡发展。</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乌鲁木齐市米东区第98小学2022年度，实有人数41人，其中：在职人员36人，离休人员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人，退休人员5人。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从部门决算单位构成看，乌鲁木齐市米东区第98小学部门决算包括：乌鲁木齐市米东区第98小学</w:t>
      </w:r>
      <w:r>
        <w:rPr>
          <w:rFonts w:hint="eastAsia" w:ascii="仿宋_GB2312" w:hAnsi="仿宋_GB2312" w:eastAsia="仿宋_GB2312"/>
          <w:kern w:val="0"/>
          <w:sz w:val="32"/>
          <w:szCs w:val="24"/>
          <w:lang w:val="zh-CN"/>
        </w:rPr>
        <w:t>决算。单位无下属预算单位，下设9个科室，分别是：</w:t>
      </w:r>
      <w:r>
        <w:rPr>
          <w:rFonts w:hint="eastAsia" w:ascii="仿宋_GB2312" w:hAnsi="仿宋_GB2312" w:eastAsia="仿宋_GB2312"/>
          <w:kern w:val="0"/>
          <w:sz w:val="32"/>
          <w:szCs w:val="24"/>
        </w:rPr>
        <w:t>书记室、校长室、副校长室、总务室、教务处、德育处、安全办、党政办、财务室</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915.07万元，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911.54</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3.53</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与上年相比，增加277.02万元，增长43.42%，主要原因是：教职工调整工资标准，工资待遇增加，社保基数调整，人员经费相应增加等，以及收取学生课后托管费。</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915.07万元，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896.40</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18.67</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与上年相比，增加277.02万元，增长43.42%，主要原因是：教职工调整工资标准，工资待遇增加，人员类社保款支出增加，以及课后托管服务费有结余资金，未发放。</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2022年度本年收入911.54万元，其中：财政拨款收入829.65万元，占91.02%；上级补助收入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万元，占0.00%；其他收入81.89万元，占8.98%。</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2022年度本年支出896.40万元，其中：基本支出736.51万元，占82.16%；项目支出159.89万元，占17.84%；上缴上级支出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833.18万元，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3.53</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829.65</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与上年相比，增加195.13万元，增长30.58%，主要原因是：教职工调整工资标准，工资待遇增加</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社保基数调整。</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833.18万元，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16.00</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817.18</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与上年相比，增加195.13万元，增长30.58%，主要原因是：财政发放2021年绩效工资、调标工资、考核奖金支出增加，代课人员增加，劳务费开支加大。</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年初预算数743.89万元，决算数833.18万元，预决算差异率12.00%，主要原因是：教职工调整工资标准，工资待遇增加，社保基数调整</w:t>
      </w:r>
      <w:r>
        <w:rPr>
          <w:rFonts w:hint="eastAsia" w:ascii="仿宋_GB2312" w:hAnsi="仿宋_GB2312" w:eastAsia="仿宋_GB2312"/>
          <w:kern w:val="0"/>
          <w:sz w:val="32"/>
          <w:szCs w:val="24"/>
          <w:lang w:val="en-US" w:eastAsia="zh-CN"/>
        </w:rPr>
        <w:t>,追加人员经费，导致预决算出现差异</w:t>
      </w: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年初预算数743.89万元，决算数833.18万元，预决算差异率12.00%，主要原因是：教职工调整工资标准，工资待遇增加，社保基数调整，代课人员增加，劳务费开支加大</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lang w:val="en-US" w:eastAsia="zh-CN"/>
        </w:rPr>
        <w:t>导致预决算出现差异</w:t>
      </w:r>
      <w:r>
        <w:rPr>
          <w:rFonts w:hint="eastAsia" w:ascii="仿宋_GB2312" w:hAnsi="仿宋_GB2312" w:eastAsia="仿宋_GB2312"/>
          <w:kern w:val="0"/>
          <w:sz w:val="32"/>
          <w:szCs w:val="24"/>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817.18</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增加182.65万元，增长28.79%，主要原因是：教职工调整工资标准，工资待遇增加，人员类社保款支出增加。</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仿宋_GB2312"/>
          <w:kern w:val="0"/>
          <w:sz w:val="32"/>
          <w:szCs w:val="24"/>
        </w:rPr>
      </w:pPr>
      <w:r>
        <w:rPr>
          <w:rFonts w:hint="eastAsia" w:ascii="仿宋_GB2312" w:hAnsi="仿宋_GB2312" w:eastAsia="仿宋_GB2312"/>
          <w:sz w:val="32"/>
          <w:szCs w:val="24"/>
        </w:rPr>
        <w:t>1.教育支出（类）817.18万元，占100.00%。</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val="en-US" w:eastAsia="zh-CN"/>
        </w:rPr>
      </w:pPr>
      <w:r>
        <w:rPr>
          <w:rFonts w:hint="eastAsia" w:ascii="仿宋_GB2312" w:hAnsi="仿宋_GB2312" w:eastAsia="仿宋_GB2312"/>
          <w:kern w:val="0"/>
          <w:sz w:val="32"/>
          <w:szCs w:val="24"/>
        </w:rPr>
        <w:t>1.教育支出（类）普通教育（款）小学教育（项）:支出决算数为817.18万元，比上年决算增加222.24万元，增长37.36%，主要原因是：支付2021年秋季、2022年春季课后托管服务费以及代课人员增加，劳务费开支加大</w:t>
      </w:r>
      <w:r>
        <w:rPr>
          <w:rFonts w:hint="eastAsia" w:ascii="仿宋_GB2312" w:hAnsi="仿宋_GB2312" w:eastAsia="仿宋_GB2312"/>
          <w:kern w:val="0"/>
          <w:sz w:val="32"/>
          <w:szCs w:val="24"/>
          <w:lang w:val="en-US" w:eastAsia="zh-CN"/>
        </w:rPr>
        <w:t>;</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kern w:val="0"/>
          <w:sz w:val="32"/>
          <w:szCs w:val="24"/>
        </w:rPr>
        <w:t>2.社会保障和就业支出（类）行政事业单位养老支出（款）机关事业单位基本养老保险缴费支出（项）:支出决算数为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万元，比上年决算减少39.59万元，下降100.00%，主要原因是：2022年部分机关养老款项由2050208款调整为2050202款。</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2022年度一般公共预算财政拨款基本支出736.51万元，其中：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人员经费582.09万元，包括：基本工资、津贴补贴、奖金、绩效工资、机关事业单位基本养老保险缴费、职工基本医疗保险缴费、公务员医疗补助缴费、其他社会保障缴费、住房公积金、生活补助、奖励金。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公用经费154.42万元，包括：水费、电费、取暖费、劳务费。</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万元。公务用车运行维护费开支内容包括本年单位无此项支出。公务用车购置数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2022年度乌鲁木齐市米东区第98小学单位公用经费154.42万元，比上年增加84.27万元，增长120.13%，主要原因是：本年电费、取暖费、劳务费等经费支出增加。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万元，其中：政府采购货物支出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万元，占政府采购支出总额的0.00%，其中：授予小微企业合同金额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2,461.30</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房屋9,470.48平方米，价值1,791.01万元。车辆1辆，价值3.73万元，其中：副部（省）级及以上领导用车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辆、其他用车1辆，其他用车主要是：巡逻车；单价100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根据预算绩效管理要求，我单位2022年度开展预算绩效评价项目5个，</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rPr>
        <w:t>166.05</w:t>
      </w:r>
      <w:r>
        <w:rPr>
          <w:rFonts w:hint="eastAsia" w:ascii="仿宋_GB2312" w:hAnsi="仿宋_GB2312" w:eastAsia="仿宋_GB2312"/>
          <w:sz w:val="32"/>
          <w:szCs w:val="24"/>
        </w:rPr>
        <w:t>万元，全年执行数</w:t>
      </w:r>
      <w:r>
        <w:rPr>
          <w:rFonts w:hint="eastAsia" w:ascii="仿宋_GB2312" w:hAnsi="仿宋_GB2312" w:eastAsia="仿宋_GB2312"/>
          <w:kern w:val="0"/>
          <w:sz w:val="32"/>
          <w:szCs w:val="24"/>
        </w:rPr>
        <w:t>67.49</w:t>
      </w:r>
      <w:r>
        <w:rPr>
          <w:rFonts w:hint="eastAsia" w:ascii="仿宋_GB2312" w:hAnsi="仿宋_GB2312" w:eastAsia="仿宋_GB2312"/>
          <w:sz w:val="32"/>
          <w:szCs w:val="24"/>
        </w:rPr>
        <w:t>万元。</w:t>
      </w:r>
      <w:r>
        <w:rPr>
          <w:rFonts w:hint="eastAsia" w:ascii="仿宋_GB2312" w:hAnsi="仿宋_GB2312" w:eastAsia="仿宋_GB2312"/>
          <w:kern w:val="0"/>
          <w:sz w:val="32"/>
          <w:szCs w:val="24"/>
        </w:rPr>
        <w:t>预算绩效管理取得的成效：一是项目资金得到有效监管；二是单位领导对项目资金更加重视，使用更加规范。发现的问题及原因：一是对项目资金的重视情况下还未形成书面管理制度；二是</w:t>
      </w:r>
      <w:r>
        <w:rPr>
          <w:rFonts w:hint="eastAsia" w:ascii="仿宋_GB2312" w:eastAsia="仿宋_GB2312" w:cs="仿宋_GB2312"/>
          <w:kern w:val="0"/>
          <w:sz w:val="32"/>
          <w:szCs w:val="32"/>
        </w:rPr>
        <w:t>进度与计划有误差，具有临时性、突发性，是实际计划不能按预算计划进行</w:t>
      </w:r>
      <w:r>
        <w:rPr>
          <w:rFonts w:hint="eastAsia" w:ascii="仿宋_GB2312" w:hAnsi="仿宋_GB2312" w:eastAsia="仿宋_GB2312"/>
          <w:kern w:val="0"/>
          <w:sz w:val="32"/>
          <w:szCs w:val="24"/>
        </w:rPr>
        <w:t>。下一步改进措施：一是是协助相关人员尽快形成书面管理制度；二是</w:t>
      </w:r>
      <w:r>
        <w:rPr>
          <w:rFonts w:hint="eastAsia" w:ascii="仿宋_GB2312" w:eastAsia="仿宋_GB2312" w:cs="仿宋_GB2312"/>
          <w:kern w:val="0"/>
          <w:sz w:val="32"/>
          <w:szCs w:val="32"/>
        </w:rPr>
        <w:t>由于项目具有突发性，执行项目时需要掌控全局，需要进一步建立健全工作机制，完善相关的内控制度</w:t>
      </w:r>
      <w:r>
        <w:rPr>
          <w:rFonts w:hint="eastAsia" w:ascii="仿宋_GB2312" w:hAnsi="仿宋_GB2312" w:eastAsia="仿宋_GB2312"/>
          <w:kern w:val="0"/>
          <w:sz w:val="32"/>
          <w:szCs w:val="24"/>
        </w:rPr>
        <w:t>。具体项目自评情况附项目支出绩效自评表。</w:t>
      </w:r>
    </w:p>
    <w:tbl>
      <w:tblPr>
        <w:tblStyle w:val="4"/>
        <w:tblW w:w="4861" w:type="pct"/>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0"/>
        <w:gridCol w:w="675"/>
        <w:gridCol w:w="989"/>
        <w:gridCol w:w="658"/>
        <w:gridCol w:w="1128"/>
        <w:gridCol w:w="1132"/>
        <w:gridCol w:w="982"/>
        <w:gridCol w:w="668"/>
        <w:gridCol w:w="696"/>
        <w:gridCol w:w="12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381"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公用经费--关于提前下达2022年教育直达资金的通知[乌财科教2021[120]号]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26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第98小学</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54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第98小学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5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5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5.06</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34.98%</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5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5.06</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5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5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66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112"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7"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66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正常开展各项日常教育教学活动为重点，为学校日常运转提供有力保障，各类教育教学活动有序开展，办学水平不断提升。有城乡义务教育经费做保障，使我校的教育资源配置优化，学校面貌发生了巨大变化，办学条件得到大力改善，教师业务水平进一步提升。随着公用经费支出中对校本教研和教师培训经费保障的进一步强化， 为教师提供了更多的学习、培训机会，教师专业化水平和综合素质不断提升。</w:t>
            </w:r>
          </w:p>
        </w:tc>
        <w:tc>
          <w:tcPr>
            <w:tcW w:w="2112"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我单位有城乡义务教育经费做保障，使我校的教育资源配置优化，学校面貌发生了巨大变化，办学条件得到大力改善，教师业务水平进一步提升。本年度由于疫情原因，此项目只执行了上半年6个月，下半年6个月未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22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57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3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5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7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8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0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5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3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5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享受教学条件改善学生数</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&gt;=1274人</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1274人</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购买和更换办公耗材次数</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&gt;=3次</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3次</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学校公共设施日常维修改造次数</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&gt;=2次</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2次</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购买和更换办公耗材合格率</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&gt;=99%</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学校公共设施日常维修改造质量达标率</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6个月</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由于疫情原因，财政未能及时拨付资金，导致我单位未能执行预算。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学校公共设施维修成本</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&lt;=0.43万元</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0.43万元</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义务教育生均公用经费</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=650元/生/年</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325元/生/年</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由于疫情原因，财政未能及时拨付资金，导致我单位未能执行预算。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购买和更换办公耗材费用</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&lt;=1.40万元</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1.4万元</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提高社会服务发展能力，提升学生综合素质</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由于疫情原因，财政未能及时拨付资金，导致我单位未能执行预算。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保障教育教学工作正常开展</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长期保障</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由于疫情原因，财政未能及时拨付资金，导致我单位未能执行预算。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5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3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学生和家长满意度</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57"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82.20分</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492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9"/>
        <w:gridCol w:w="671"/>
        <w:gridCol w:w="677"/>
        <w:gridCol w:w="956"/>
        <w:gridCol w:w="934"/>
        <w:gridCol w:w="1200"/>
        <w:gridCol w:w="1155"/>
        <w:gridCol w:w="240"/>
        <w:gridCol w:w="330"/>
        <w:gridCol w:w="840"/>
        <w:gridCol w:w="765"/>
        <w:gridCol w:w="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2"/>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2"/>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323"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公用经费---提前下达2022城乡义务教育直达资金（乌财科教【2021】96号】）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15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第98小学</w:t>
            </w:r>
          </w:p>
        </w:tc>
        <w:tc>
          <w:tcPr>
            <w:tcW w:w="79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366"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第98小学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3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79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6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67.34</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67.34</w:t>
            </w:r>
          </w:p>
        </w:tc>
        <w:tc>
          <w:tcPr>
            <w:tcW w:w="79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44.81</w:t>
            </w:r>
          </w:p>
        </w:tc>
        <w:tc>
          <w:tcPr>
            <w:tcW w:w="6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66.54%</w:t>
            </w:r>
          </w:p>
        </w:tc>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67.34</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67.34</w:t>
            </w:r>
          </w:p>
        </w:tc>
        <w:tc>
          <w:tcPr>
            <w:tcW w:w="79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44.81</w:t>
            </w:r>
          </w:p>
        </w:tc>
        <w:tc>
          <w:tcPr>
            <w:tcW w:w="6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9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9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54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165"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54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正常开展各项日常教育教学活动为重点，为学校日常运转提供有力保障，各类教育教学活动有序开展，办学水平不断提升。有城乡义务教育经费做保障，使我校的教育资源配置优化，学校面貌发生了巨大变化，办学条件得到大力改善，教师业务水平进一步提升。随着公用经费支出中对校本教研和教师培训经费保障的进一步强化， 为教师提供了更多的学习、培训机会，教师专业化水平和综合素质不断提升。</w:t>
            </w:r>
          </w:p>
        </w:tc>
        <w:tc>
          <w:tcPr>
            <w:tcW w:w="2165"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该项目用于维修学校设施，改善我校办学硬件设施，有效改善校园环境，明显提高办学条件，推动义务教育均衡化发展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8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8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8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6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2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8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9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8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9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8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享受教学条件改善学生数</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&gt;=1274人</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1274人</w:t>
            </w: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办公用品购买次数</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&gt;=8次</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5次</w:t>
            </w: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由于财政资金紧张，未拨付资金。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学校公共设施日常维修改造次数</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&gt;=8次</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8次</w:t>
            </w: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办公用品质量达标率</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&gt;=99%</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学校公共设施日常维修改造质量达标率</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每次公共设施维修成本</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&lt;=5.41万元</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4.5万元</w:t>
            </w: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由于财政资金紧张，未拨付资金。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义务教育生均公用经费</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=650元/生/年</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650元/生/年</w:t>
            </w: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办公用品购买费用</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&lt;=3万元</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2.5万元</w:t>
            </w: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4.15</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由于财政资金紧张，未拨付资金。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提高社会服务发展能力，提升学生综合素质</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保障教育教学工作正常开展</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长期保障</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8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学生和家长满意度</w:t>
            </w:r>
          </w:p>
        </w:tc>
        <w:tc>
          <w:tcPr>
            <w:tcW w:w="6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96"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3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93.95分</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493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5"/>
        <w:gridCol w:w="637"/>
        <w:gridCol w:w="730"/>
        <w:gridCol w:w="1052"/>
        <w:gridCol w:w="748"/>
        <w:gridCol w:w="470"/>
        <w:gridCol w:w="594"/>
        <w:gridCol w:w="968"/>
        <w:gridCol w:w="877"/>
        <w:gridCol w:w="64"/>
        <w:gridCol w:w="542"/>
        <w:gridCol w:w="535"/>
        <w:gridCol w:w="11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409" w:type="pct"/>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培训费---提前下达2022城乡义务教育直达资金（乌财科教【2021】96号】）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609"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第98小学</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29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第98小学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1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8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3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3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2.89</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w:t>
            </w:r>
          </w:p>
        </w:tc>
        <w:tc>
          <w:tcPr>
            <w:tcW w:w="3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50.17%</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8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2.89</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w:t>
            </w:r>
          </w:p>
        </w:tc>
        <w:tc>
          <w:tcPr>
            <w:tcW w:w="3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973"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18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973"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保障我校教师正常参加各类培训，提高教师业务能力。</w:t>
            </w:r>
          </w:p>
        </w:tc>
        <w:tc>
          <w:tcPr>
            <w:tcW w:w="18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该项目的实施，提高学校的教学质量,改善我校教师教师自身的教学水平和能力，充分调动教师学习的积极性，在教学改革中实现真正的成长。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2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0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5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3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1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4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2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0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5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1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2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参加继续教育培训人数</w:t>
            </w:r>
          </w:p>
        </w:tc>
        <w:tc>
          <w:tcPr>
            <w:tcW w:w="6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&gt;=47人</w:t>
            </w: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24人</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10.21</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由于疫情原因，下半年未参加培训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2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参加继续教育培训通过率</w:t>
            </w:r>
          </w:p>
        </w:tc>
        <w:tc>
          <w:tcPr>
            <w:tcW w:w="6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&gt;=99%</w:t>
            </w: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2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6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6个月</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由于疫情原因，下半年未参加培训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2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参加继续教育培训成本</w:t>
            </w:r>
          </w:p>
        </w:tc>
        <w:tc>
          <w:tcPr>
            <w:tcW w:w="6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&lt;=608元/人</w:t>
            </w: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608元/人</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29"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2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开展党的路线、方针、政策宣传，提高人们的社会意识</w:t>
            </w:r>
          </w:p>
        </w:tc>
        <w:tc>
          <w:tcPr>
            <w:tcW w:w="6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有效完成</w:t>
            </w: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029"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2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可持续发展理念的宣传和培训</w:t>
            </w:r>
          </w:p>
        </w:tc>
        <w:tc>
          <w:tcPr>
            <w:tcW w:w="6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长期有效</w:t>
            </w: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2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培训对象满意度</w:t>
            </w:r>
          </w:p>
        </w:tc>
        <w:tc>
          <w:tcPr>
            <w:tcW w:w="6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99"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80.23分</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493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4"/>
        <w:gridCol w:w="621"/>
        <w:gridCol w:w="761"/>
        <w:gridCol w:w="995"/>
        <w:gridCol w:w="511"/>
        <w:gridCol w:w="705"/>
        <w:gridCol w:w="210"/>
        <w:gridCol w:w="960"/>
        <w:gridCol w:w="1080"/>
        <w:gridCol w:w="960"/>
        <w:gridCol w:w="840"/>
        <w:gridCol w:w="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2"/>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2"/>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419"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乌财科教[2022]45号--关于拨付2022年中小学和幼儿园自聘教师补助资金的通知（小学）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369"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第98小学</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43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第98小学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9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0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9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84.70</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15.80</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18.65%</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0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69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84.7</w:t>
            </w:r>
            <w:r>
              <w:rPr>
                <w:rFonts w:hint="eastAsia" w:ascii="宋体" w:hAnsi="宋体" w:cs="宋体"/>
                <w:i w:val="0"/>
                <w:iCs w:val="0"/>
                <w:color w:val="000000"/>
                <w:kern w:val="0"/>
                <w:sz w:val="18"/>
                <w:szCs w:val="18"/>
                <w:u w:val="none"/>
                <w:lang w:val="en-US" w:eastAsia="zh-CN" w:bidi="ar"/>
              </w:rPr>
              <w:t>0</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15.8</w:t>
            </w:r>
            <w:r>
              <w:rPr>
                <w:rFonts w:hint="eastAsia" w:ascii="宋体" w:hAnsi="宋体" w:cs="宋体"/>
                <w:i w:val="0"/>
                <w:iCs w:val="0"/>
                <w:color w:val="000000"/>
                <w:kern w:val="0"/>
                <w:sz w:val="18"/>
                <w:szCs w:val="18"/>
                <w:u w:val="none"/>
                <w:lang w:val="en-US" w:eastAsia="zh-CN" w:bidi="ar"/>
              </w:rPr>
              <w:t>0</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0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69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0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9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724"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50"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724"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聘用代课教师，弥补现有师资力量的不足，保障学校各项正常教学工作的完成；提高教师的工作效率，提高受益对象的满意度。</w:t>
            </w:r>
          </w:p>
        </w:tc>
        <w:tc>
          <w:tcPr>
            <w:tcW w:w="2050"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请代课教师，弥补了现有师资力量的不足，提高学校的教学质量,改善我校教师教师自身的教学水平和能力，充分调动教师学习的积极性，在教学改革中实现真正的成长。保障学校完成各项教学工作，但是由于财政资金紧张代课教师工资本年度只发放了10个月，剩余2个月未能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3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86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4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6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4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88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6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8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5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86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代课教师发放人数</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&gt;=8人</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29人</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86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同工同酬教师发放人数</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=6人</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6人</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86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资金发放准确性</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86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资金发放及时性</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86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10个月</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4.15</w:t>
            </w: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由于财政资金紧张，未及时拨付资金，无法正常支付代课教师工资</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86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代课教师月工资</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&lt;=4950元/月</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4950元/月</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86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同工同酬教师（本科）月工资</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&lt;=5317.50元/月</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5317.5元/月</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86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同工同酬教师（大专）月工资</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&lt;=5287.50元/月</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5287.5元/月</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861"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86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调动代课教师的工作热情和积极性，提高教学质量</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由于财政资金紧张，未及时拨付资金，无法正常支付代课教师工资</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861"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86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保证教学工作的正常开展</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长期保证</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由于财政资金紧张，未及时拨付资金，无法正常支付代课教师工资</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6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代课教师满意度</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49"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6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84.72分</w:t>
            </w:r>
          </w:p>
        </w:tc>
        <w:tc>
          <w:tcPr>
            <w:tcW w:w="8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492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6"/>
        <w:gridCol w:w="654"/>
        <w:gridCol w:w="646"/>
        <w:gridCol w:w="988"/>
        <w:gridCol w:w="964"/>
        <w:gridCol w:w="878"/>
        <w:gridCol w:w="831"/>
        <w:gridCol w:w="750"/>
        <w:gridCol w:w="54"/>
        <w:gridCol w:w="591"/>
        <w:gridCol w:w="242"/>
        <w:gridCol w:w="778"/>
        <w:gridCol w:w="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255" w:type="pct"/>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学生补助2---提前下达2022城乡义务教育直达资金（乌财科教【2021】96号】）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991"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第98小学</w:t>
            </w:r>
          </w:p>
        </w:tc>
        <w:tc>
          <w:tcPr>
            <w:tcW w:w="93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326"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第98小学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4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3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93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3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8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4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6.06</w:t>
            </w:r>
          </w:p>
        </w:tc>
        <w:tc>
          <w:tcPr>
            <w:tcW w:w="93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3.66</w:t>
            </w:r>
          </w:p>
        </w:tc>
        <w:tc>
          <w:tcPr>
            <w:tcW w:w="3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8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60.40%</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4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6.06</w:t>
            </w:r>
          </w:p>
        </w:tc>
        <w:tc>
          <w:tcPr>
            <w:tcW w:w="93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3.66</w:t>
            </w:r>
          </w:p>
        </w:tc>
        <w:tc>
          <w:tcPr>
            <w:tcW w:w="3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4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3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4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3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366"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263"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366"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解决贫困生生活困难，减轻贫困家庭经济负担，促进贫困生平等享受教育资源</w:t>
            </w:r>
          </w:p>
        </w:tc>
        <w:tc>
          <w:tcPr>
            <w:tcW w:w="2263"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该项目全额发放2022年上半学期贫困生补助，该项目的实施可改善学生生活水平，提高学生生活质量，小学标准为325.5元/学期，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7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11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0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7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2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08"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84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8"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4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7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1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发放贫困补助学生人数</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&gt;=193人</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117人</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资助平台提供人数减少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1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非寄宿贫困学生覆盖率</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1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资助标准达标率</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11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享受补助时长</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=2个学期</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1个学期</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由于财政资金紧张，只发放了第一个学期贫困生补助，第二学期未发放</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1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享受补助标准</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=312.50元/生/学期</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312.5元/生/学期</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118"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8"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11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解决非寄宿贫困学生困难</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有效解决</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0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由于财政资金紧张，只发放了第一个学期贫困生补助，第二学期未发放</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118"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8"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11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促进贫困生平等享受教育资源</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长期促进</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基本达到预期效果</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0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11.85</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由于财政资金紧张，只发放了第一个学期贫困生补助，第二学期未发放</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18"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学生及家庭满意度</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12"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0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80.84分</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beforeLines="0" w:after="240" w:afterLines="0"/>
        <w:jc w:val="center"/>
        <w:rPr>
          <w:rFonts w:hint="default" w:eastAsia="Times New Roman"/>
          <w:b/>
          <w:kern w:val="0"/>
          <w:sz w:val="28"/>
          <w:szCs w:val="24"/>
        </w:rPr>
      </w:pPr>
      <w:bookmarkStart w:id="0" w:name="_GoBack"/>
      <w:bookmarkEnd w:id="0"/>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default" w:ascii="黑体" w:hAnsi="黑体" w:eastAsia="黑体"/>
          <w:kern w:val="0"/>
          <w:sz w:val="32"/>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93F150B"/>
    <w:rsid w:val="4E3718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uiPriority="99" w:semiHidden="0" w:name="header"/>
    <w:lsdException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99" w:name="Strong"/>
    <w:lsdException w:qFormat="1" w:uiPriority="99" w:name="Emphasis"/>
    <w:lsdException w:qFormat="1" w:uiPriority="99" w:name="Document Map"/>
    <w:lsdException w:qFormat="1" w:uiPriority="99" w:name="Plain Text"/>
    <w:lsdException w:qFormat="1" w:uiPriority="99" w:name="E-mail Signature"/>
    <w:lsdException w:qFormat="1" w:uiPriority="99"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nhideWhenUsed="0" w:uiPriority="99" w:semiHidden="0"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5">
    <w:name w:val="Default Paragraph Font"/>
    <w:unhideWhenUsed/>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uiPriority w:val="99"/>
    <w:rPr>
      <w:rFonts w:hint="default" w:cs="Times New Roman"/>
      <w:sz w:val="18"/>
      <w:szCs w:val="18"/>
    </w:rPr>
  </w:style>
  <w:style w:type="character" w:customStyle="1" w:styleId="7">
    <w:name w:val="页脚 字符"/>
    <w:basedOn w:val="5"/>
    <w:link w:val="2"/>
    <w:unhideWhenUsed/>
    <w:qFormat/>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21</Pages>
  <Words>8760</Words>
  <Characters>9911</Characters>
  <TotalTime>4</TotalTime>
  <ScaleCrop>false</ScaleCrop>
  <LinksUpToDate>false</LinksUpToDate>
  <CharactersWithSpaces>9939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2023-08-24T03:20:00Z</dcterms:created>
  <dc:creator>asus</dc:creator>
  <cp:lastModifiedBy>逐梦令</cp:lastModifiedBy>
  <dcterms:modified xsi:type="dcterms:W3CDTF">2023-08-31T10:10:15Z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1863CC38966B4D20A75A45F3A3341C61_13</vt:lpwstr>
  </property>
</Properties>
</file>