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乌鲁木齐市米东区第99中学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540" w:lineRule="exact"/>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540" w:lineRule="exact"/>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540" w:lineRule="exact"/>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540" w:lineRule="exact"/>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540" w:lineRule="exact"/>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540" w:lineRule="exact"/>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540" w:lineRule="exact"/>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numPr>
          <w:ilvl w:val="0"/>
          <w:numId w:val="1"/>
        </w:numPr>
        <w:spacing w:beforeLines="0" w:afterLines="0" w:line="360" w:lineRule="auto"/>
        <w:rPr>
          <w:rFonts w:hint="default" w:ascii="黑体" w:hAnsi="黑体" w:eastAsia="黑体"/>
          <w:sz w:val="32"/>
          <w:szCs w:val="24"/>
          <w:lang w:val="zh-CN"/>
        </w:rPr>
      </w:pPr>
      <w:r>
        <w:rPr>
          <w:rFonts w:hint="eastAsia" w:ascii="黑体" w:hAnsi="黑体" w:eastAsia="黑体"/>
          <w:sz w:val="32"/>
          <w:szCs w:val="24"/>
          <w:lang w:val="zh-CN"/>
        </w:rPr>
        <w:t>主要职能</w:t>
      </w:r>
    </w:p>
    <w:p>
      <w:pPr>
        <w:pStyle w:val="4"/>
        <w:spacing w:beforeLines="0" w:afterLines="0"/>
        <w:ind w:firstLine="640" w:firstLineChars="20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依据《中华人民共和国教育法》《中华人民共和国义务教育法》《中华人民共和国教师法》，学校应履行以下职责</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1、全面贯彻党和国家的路线、方针、政策、法规，全面实施素质教育，认真执行上级党委和教育行政部门的指示，依法治校，努力提高学校的办学水平和办学效益；</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2、全面规划，统一安排学校的各项工作，组织制定和实施学校发展规划、工作计划；</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3、负责健全学校行政指挥系统，健全各项规章制度，保证学校正常的工作秩序；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4按照学校经费使用计划，负责教育教学及办公用品、维修设备的采购、发放和管理工作；</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5、根据预算安排，拟定收支计划，并组织实施、管理和监督；</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6、规范会计行为；组织执行国家统一的会计制度和自治区相关补充规定；组织管理会计人员的业务培训；</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7、负责维护学校、师生的合法权益，有权拒绝任何组织和个人对教育教学活动进行非法干涉；</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8、依法接受各级教育行政部门的检查指导和人民群众的监督</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9、提供社会服务。现代学校着眼于社会的需要，为社会的发展与进步提供各种可能的服务。</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乌鲁木齐市米东区第99中学2022年度，实有人数56人，其中：在职人员45人，离休人员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人，退休人员11人。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从部门决算单位构成看，乌鲁木齐市米东区第99中学部门决算包括：乌鲁木齐市米东区第99中学</w:t>
      </w:r>
      <w:r>
        <w:rPr>
          <w:rFonts w:hint="eastAsia" w:ascii="仿宋_GB2312" w:hAnsi="仿宋_GB2312" w:eastAsia="仿宋_GB2312"/>
          <w:kern w:val="0"/>
          <w:sz w:val="32"/>
          <w:szCs w:val="24"/>
          <w:lang w:val="zh-CN"/>
        </w:rPr>
        <w:t>决算。单位无下属预算单位，下设13个科室，分别是：</w:t>
      </w:r>
      <w:r>
        <w:rPr>
          <w:rFonts w:hint="eastAsia" w:ascii="仿宋_GB2312" w:hAnsi="仿宋_GB2312" w:eastAsia="仿宋_GB2312"/>
          <w:kern w:val="0"/>
          <w:sz w:val="32"/>
          <w:szCs w:val="24"/>
        </w:rPr>
        <w:t>办公室、总务室、</w:t>
      </w:r>
      <w:r>
        <w:rPr>
          <w:rFonts w:hint="eastAsia" w:ascii="仿宋_GB2312" w:eastAsia="仿宋_GB2312"/>
          <w:kern w:val="0"/>
          <w:sz w:val="32"/>
          <w:szCs w:val="24"/>
        </w:rPr>
        <w:t>教研室、美术室、音乐室、舞蹈室、体育器材室、计算机室、图书室、阅览室、广播室、多媒体教室、财务室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893.04万元，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882.74</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10.30</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与上年相比，增加117.21万元，增长15.11%，主要原因是：财政增拨2021年绩效工资、考核奖金、调标工资，增收学生课后托管费。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893.04万元，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881.00</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12.04</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与上年相比，增加117.21万元，增长15.11%，主要原因是：发放2021年绩效工资、考核奖金、调标工资，教师增加课后托管服务费支出。</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2022年度本年收入882.74万元，其中：财政拨款收入863.78万元，占97.85%；上级补助收入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万元，占0.00%；其他收入18.96万元，占2.15%。</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2022年度本年支出881.00万元，其中：基本支出829.82万元，占94.19%；项目支出51.18万元，占5.81%；上缴上级支出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874.08万元，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10.30</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863.78</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与上年相比，增加98.25万元，增长12.66%，主要原因是：增拨2021年绩效工资、考核奖金、调标工资。</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874.08万元，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11.81</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862.27</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与上年相比，增加98.25万元，增长12.66%，主要原因是：发放2021年绩效工资、考核奖金、调标工资。</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年初预算数812.22万元，决算数874.08万元，预决算差异率7.62%，主要原因是：追加2021年绩效工资、考核奖金、调标工资等财政拨款收入</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年初预算数812.22万元，决算数874.08万元，预决算差异率7.62%，主要原因是：追加2021年绩效工资、考核奖金、调标工资等追加2021年绩效工资、考核奖金、调标工资等财政拨款支出</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w:t>
      </w:r>
      <w:bookmarkStart w:id="0" w:name="_GoBack"/>
      <w:bookmarkEnd w:id="0"/>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862.27</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增加96.74万元，增长12.64%，主要原因是：增加2021年绩效工资、考核奖金、调标工资。</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ascii="仿宋_GB2312" w:hAnsi="仿宋_GB2312" w:eastAsia="仿宋_GB2312"/>
          <w:sz w:val="32"/>
          <w:szCs w:val="24"/>
        </w:rPr>
      </w:pPr>
      <w:r>
        <w:rPr>
          <w:rFonts w:hint="eastAsia" w:ascii="仿宋_GB2312" w:hAnsi="仿宋_GB2312" w:eastAsia="仿宋_GB2312"/>
          <w:sz w:val="32"/>
          <w:szCs w:val="24"/>
        </w:rPr>
        <w:t>1.教育支出（类）859.51万元，占99.68%；</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2.社会保障和就业支出（类）2.76万元，占0.32%。</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1.教育支出（类）普通教育（款）初中教育（项）:支出决算数为859.51万元，比上年决算增加156.77万元，增长22.31%，主要原因是：增加2021年绩效工资、考核奖金、调标工资</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万元，比上年决算减少0.72万元，下降100.00%，主要原因是：社会保障和就业支出208款项调整至2050203中学款项，此项无支出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2.76万元，比上年决算减少59.31万元，下降95.55%，主要原因是：社会保障和就业支出208款项调整至2050203中学款项，此项当年无支出，2.76万元是上年结余资金。</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2022年度一般公共预算财政拨款基本支出829.82万元，其中：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人员经费792.01万元，包括：基本工资、津贴补贴、奖金、绩效工资、机关事业单位基本养老保险缴费、职工基本医疗保险缴费、公务员医疗补助缴费、其他社会保障缴费、住房公积金、生活补助、奖励金。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公用经费37.81万元，包括：电费、邮电费、取暖费、劳务费。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2022年度乌鲁木齐市米东区第99中学单位公用经费37.80万元，比上年减少1.49万元，下降3.79%，主要原因是：取暖费、工会经费、教师接送费等经费未足额支付，导致本年较上年减少。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1,736.16</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房屋6,598.45平方米，价值964.30万元。车辆1辆，价值3.73万元，其中：副部（省）级及以上领导用车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pacing w:beforeLines="0" w:afterLines="0" w:line="360" w:lineRule="auto"/>
        <w:ind w:firstLine="579" w:firstLineChars="181"/>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根据预算绩效管理要求，我单位2022年度开展预算绩效评价项目3个，全年预算数39.34万元，全年执行数32.44万元。预算绩效管理取得的成效：一</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使我校的各项教育教学工作能有序开展，保障教师的各项教学需要，提升了学校的社会影响力；二</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办学条件进一步改善，优化教育资源配置；三</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教师业务水平进一步提升；四</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群众满意度进一步提高。发现的问题及原因：一</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义务教育薄弱学校改造地方资金配套存在困难；二</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学校无任何收费同时公用经费用途明确不能用于人员经费支出，教师值班加班相关支出没有明确支出渠道，既要满足实际需要同时又要避开政策红线，导致学校工作开展十分困难。下一步改进措施：一</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加强预算管理，严格执行《预算法》。应严格《预算法》执行部门预算，按照财政批复的部门预算和绩效目标的项目和用途使用资金，不得擅自调剂使用；二</w:t>
      </w:r>
      <w:r>
        <w:rPr>
          <w:rFonts w:hint="eastAsia" w:ascii="仿宋_GB2312" w:hAnsi="仿宋_GB2312" w:eastAsia="仿宋_GB2312"/>
          <w:kern w:val="0"/>
          <w:sz w:val="32"/>
          <w:szCs w:val="24"/>
          <w:lang w:val="en-US" w:eastAsia="zh-CN"/>
        </w:rPr>
        <w:t>是</w:t>
      </w:r>
      <w:r>
        <w:rPr>
          <w:rFonts w:hint="eastAsia" w:ascii="仿宋_GB2312" w:hAnsi="仿宋_GB2312" w:eastAsia="仿宋_GB2312"/>
          <w:kern w:val="0"/>
          <w:sz w:val="32"/>
          <w:szCs w:val="24"/>
        </w:rPr>
        <w:t>加强项目资金管理，严格规范项目资金使用。严格规范专项资金的审批程序，切实做好专项资金专款专用，严禁专项资金挪作他用。设置专项资金科目进行核算，真实反馈专项资金使用情况，严禁专项资金在项目间自行调剂</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规范账务处理，提高财务信息质量。具体项目自评情况附项目支出绩效自评表。</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5"/>
        <w:gridCol w:w="601"/>
        <w:gridCol w:w="768"/>
        <w:gridCol w:w="880"/>
        <w:gridCol w:w="1043"/>
        <w:gridCol w:w="129"/>
        <w:gridCol w:w="798"/>
        <w:gridCol w:w="327"/>
        <w:gridCol w:w="627"/>
        <w:gridCol w:w="696"/>
        <w:gridCol w:w="345"/>
        <w:gridCol w:w="487"/>
        <w:gridCol w:w="1012"/>
        <w:gridCol w:w="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92"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公用经费---提前下达2022城乡义务教育直达资金（乌财科教【2021】96号】【120】）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22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22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44.37</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27.11</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27.11</w:t>
            </w:r>
          </w:p>
        </w:tc>
        <w:tc>
          <w:tcPr>
            <w:tcW w:w="2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44.09</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26.83</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26.83</w:t>
            </w:r>
          </w:p>
        </w:tc>
        <w:tc>
          <w:tcPr>
            <w:tcW w:w="2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0.28</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0.28</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0.28</w:t>
            </w:r>
          </w:p>
        </w:tc>
        <w:tc>
          <w:tcPr>
            <w:tcW w:w="2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4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6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6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1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乌财科教【2022】23号，【2021】96号、120号文件批准，项目系2022年中央直达资金，共安排预算44.37万元，于2022年年中追加预算批复项目，资金到位26.83万元，上年结余0.28万元，实际支付完成27.11万元，预算完成率为60.47%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3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9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94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&gt;=499人</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490人</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有9名学生办理转学手续，去其他地区就学</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电话费、电费等日常缴纳次数</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&gt;=10次</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学校公共设施日常维修改造次数</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&gt;=15次</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9次</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教科书质量合格率</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用水用电质量保障率</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每次公共设施维修成本</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&lt;=4500元</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4500元</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义务教育生均公用经费</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&lt;=650元/生/年</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650元/生/年</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每次电费、电话费缴纳费用</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&lt;=6000元</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5500元</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因财政资金紧张，未能及时拨付资金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提高社会服务发展能力，提升学生综合素质</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保障教育教学工作正常开展</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因财政资金紧张，未能及时拨付资金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88"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96.80分</w:t>
            </w:r>
          </w:p>
        </w:tc>
        <w:tc>
          <w:tcPr>
            <w:tcW w:w="9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5"/>
        <w:tblW w:w="500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0"/>
        <w:gridCol w:w="371"/>
        <w:gridCol w:w="660"/>
        <w:gridCol w:w="1082"/>
        <w:gridCol w:w="598"/>
        <w:gridCol w:w="585"/>
        <w:gridCol w:w="540"/>
        <w:gridCol w:w="630"/>
        <w:gridCol w:w="552"/>
        <w:gridCol w:w="846"/>
        <w:gridCol w:w="927"/>
        <w:gridCol w:w="95"/>
        <w:gridCol w:w="755"/>
        <w:gridCol w:w="585"/>
        <w:gridCol w:w="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405" w:hRule="atLeast"/>
        </w:trPr>
        <w:tc>
          <w:tcPr>
            <w:tcW w:w="499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270" w:hRule="atLeast"/>
        </w:trPr>
        <w:tc>
          <w:tcPr>
            <w:tcW w:w="499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26"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0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807"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5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9.68</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105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38.02%</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9.68</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105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5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195" w:hRule="atLeast"/>
        </w:trPr>
        <w:tc>
          <w:tcPr>
            <w:tcW w:w="5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2"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1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1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 w:type="pct"/>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1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此项目具体内容为向我校4名代课教师发放工资。此项目的实施可保障我校代课教师正常开展工作，促进我校教师队伍稳定性</w:t>
            </w:r>
          </w:p>
        </w:tc>
        <w:tc>
          <w:tcPr>
            <w:tcW w:w="211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此项目实际执行率为38%，完成支付资金3.68万元，保障4名代课教师2个月的工资发放。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7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4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3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6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7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18"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3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18"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代课教师发放人数</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&gt;=4人</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4人</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资金发放及时性</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因财政资金紧张，未能按时拨付资金。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&lt;=5月</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2月</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因财政资金紧张，未能按时拨付资金，仅发放2月工资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代课教师月工资</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=4950元/月</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4600元/月</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因财政资金紧张，未能发放教师绩效工资</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调动代课教师的工作热情和积极性，提高教学质量</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4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代课教师满意度</w:t>
            </w:r>
          </w:p>
        </w:tc>
        <w:tc>
          <w:tcPr>
            <w:tcW w:w="63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因财政资金紧张，未能按时拨付资金，导致部分教师满意度偏低</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82"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64.50分</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689"/>
        <w:gridCol w:w="685"/>
        <w:gridCol w:w="988"/>
        <w:gridCol w:w="964"/>
        <w:gridCol w:w="604"/>
        <w:gridCol w:w="670"/>
        <w:gridCol w:w="581"/>
        <w:gridCol w:w="416"/>
        <w:gridCol w:w="482"/>
        <w:gridCol w:w="549"/>
        <w:gridCol w:w="391"/>
        <w:gridCol w:w="446"/>
        <w:gridCol w:w="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24"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208"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5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64.71%</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9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1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9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该项目通过向68名学生发放学生补助，涉及11个教学班。该项目的实施保障家庭困难学生接受义务教育的权力，防止因贫困辍学。</w:t>
            </w:r>
          </w:p>
        </w:tc>
        <w:tc>
          <w:tcPr>
            <w:tcW w:w="201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全年资金支付1.65万元，该项目的实施为44名学生提供了困难补助，保障家庭困难学生接受义务教育的权力，防止因贫困辍学。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4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3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5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44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发放贫困补助学生人数</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&gt;=68人</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44人</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6.47</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因财政资金紧张，没能及时拨付资金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涉及班级数</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&gt;=11班</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11班</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非寄宿贫困学生覆盖率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资助标准达标率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补助发放及时率</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因财政资金紧张，没能及时拨付资金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享受补助标准</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促进贫困生平等享受教育资源</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长期促进</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学生及家庭满意度</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因财政资金紧张，没能及时拨付资金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10"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84.64分</w:t>
            </w:r>
          </w:p>
        </w:tc>
        <w:tc>
          <w:tcPr>
            <w:tcW w:w="65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F6672"/>
    <w:multiLevelType w:val="multilevel"/>
    <w:tmpl w:val="1DFF6672"/>
    <w:lvl w:ilvl="0" w:tentative="0">
      <w:start w:val="1"/>
      <w:numFmt w:val="japaneseCounting"/>
      <w:lvlText w:val="%1、"/>
      <w:lvlJc w:val="left"/>
      <w:pPr>
        <w:ind w:left="1270" w:hanging="630"/>
      </w:pPr>
      <w:rPr>
        <w:rFonts w:hint="default" w:cs="Times New Roman"/>
        <w:u w:val="none" w:color="auto"/>
      </w:rPr>
    </w:lvl>
    <w:lvl w:ilvl="1" w:tentative="0">
      <w:start w:val="1"/>
      <w:numFmt w:val="lowerLetter"/>
      <w:lvlText w:val="%2)"/>
      <w:lvlJc w:val="left"/>
      <w:pPr>
        <w:ind w:left="1520" w:hanging="440"/>
      </w:pPr>
      <w:rPr>
        <w:rFonts w:hint="default" w:cs="Times New Roman"/>
        <w:u w:val="none" w:color="auto"/>
      </w:rPr>
    </w:lvl>
    <w:lvl w:ilvl="2" w:tentative="0">
      <w:start w:val="1"/>
      <w:numFmt w:val="lowerRoman"/>
      <w:lvlText w:val="%3."/>
      <w:lvlJc w:val="right"/>
      <w:pPr>
        <w:ind w:left="1960" w:hanging="440"/>
      </w:pPr>
      <w:rPr>
        <w:rFonts w:hint="default" w:cs="Times New Roman"/>
        <w:u w:val="none" w:color="auto"/>
      </w:rPr>
    </w:lvl>
    <w:lvl w:ilvl="3" w:tentative="0">
      <w:start w:val="1"/>
      <w:numFmt w:val="decimal"/>
      <w:lvlText w:val="%4."/>
      <w:lvlJc w:val="left"/>
      <w:pPr>
        <w:ind w:left="2400" w:hanging="440"/>
      </w:pPr>
      <w:rPr>
        <w:rFonts w:hint="default" w:cs="Times New Roman"/>
        <w:u w:val="none" w:color="auto"/>
      </w:rPr>
    </w:lvl>
    <w:lvl w:ilvl="4" w:tentative="0">
      <w:start w:val="1"/>
      <w:numFmt w:val="lowerLetter"/>
      <w:lvlText w:val="%5)"/>
      <w:lvlJc w:val="left"/>
      <w:pPr>
        <w:ind w:left="2840" w:hanging="440"/>
      </w:pPr>
      <w:rPr>
        <w:rFonts w:hint="default" w:cs="Times New Roman"/>
        <w:u w:val="none" w:color="auto"/>
      </w:rPr>
    </w:lvl>
    <w:lvl w:ilvl="5" w:tentative="0">
      <w:start w:val="1"/>
      <w:numFmt w:val="lowerRoman"/>
      <w:lvlText w:val="%6."/>
      <w:lvlJc w:val="right"/>
      <w:pPr>
        <w:ind w:left="3280" w:hanging="440"/>
      </w:pPr>
      <w:rPr>
        <w:rFonts w:hint="default" w:cs="Times New Roman"/>
        <w:u w:val="none" w:color="auto"/>
      </w:rPr>
    </w:lvl>
    <w:lvl w:ilvl="6" w:tentative="0">
      <w:start w:val="1"/>
      <w:numFmt w:val="decimal"/>
      <w:lvlText w:val="%7."/>
      <w:lvlJc w:val="left"/>
      <w:pPr>
        <w:ind w:left="3720" w:hanging="440"/>
      </w:pPr>
      <w:rPr>
        <w:rFonts w:hint="default" w:cs="Times New Roman"/>
        <w:u w:val="none" w:color="auto"/>
      </w:rPr>
    </w:lvl>
    <w:lvl w:ilvl="7" w:tentative="0">
      <w:start w:val="1"/>
      <w:numFmt w:val="lowerLetter"/>
      <w:lvlText w:val="%8)"/>
      <w:lvlJc w:val="left"/>
      <w:pPr>
        <w:ind w:left="4160" w:hanging="440"/>
      </w:pPr>
      <w:rPr>
        <w:rFonts w:hint="default" w:cs="Times New Roman"/>
        <w:u w:val="none" w:color="auto"/>
      </w:rPr>
    </w:lvl>
    <w:lvl w:ilvl="8" w:tentative="0">
      <w:start w:val="1"/>
      <w:numFmt w:val="lowerRoman"/>
      <w:lvlText w:val="%9."/>
      <w:lvlJc w:val="right"/>
      <w:pPr>
        <w:ind w:left="4600" w:hanging="440"/>
      </w:pPr>
      <w:rPr>
        <w:rFonts w:hint="default" w:cs="Times New Roman"/>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8780DF8"/>
    <w:rsid w:val="0A62205B"/>
    <w:rsid w:val="424B513B"/>
    <w:rsid w:val="51977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22" w:semiHidden="0" w:name="Strong"/>
    <w:lsdException w:qFormat="1" w:uiPriority="99" w:name="Emphasis"/>
    <w:lsdException w:qFormat="1" w:uiPriority="99" w:name="Document Map"/>
    <w:lsdException w:qFormat="1" w:uiPriority="99" w:name="Plain Text"/>
    <w:lsdException w:qFormat="1" w:uiPriority="99" w:name="E-mail Signature"/>
    <w:lsdException w:qFormat="1" w:uiPriority="99" w:semiHidden="0"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6">
    <w:name w:val="Default Paragraph Font"/>
    <w:unhideWhenUsed/>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8"/>
    <w:unhideWhenUsed/>
    <w:qFormat/>
    <w:uiPriority w:val="99"/>
    <w:pPr>
      <w:tabs>
        <w:tab w:val="center" w:pos="4153"/>
        <w:tab w:val="right" w:pos="8306"/>
      </w:tabs>
      <w:snapToGrid w:val="0"/>
      <w:spacing w:beforeLines="0" w:afterLines="0"/>
      <w:jc w:val="center"/>
    </w:pPr>
    <w:rPr>
      <w:rFonts w:hint="eastAsia"/>
      <w:sz w:val="18"/>
      <w:szCs w:val="18"/>
    </w:rPr>
  </w:style>
  <w:style w:type="paragraph" w:styleId="4">
    <w:name w:val="Normal (Web)"/>
    <w:basedOn w:val="1"/>
    <w:unhideWhenUsed/>
    <w:qFormat/>
    <w:uiPriority w:val="99"/>
    <w:pPr>
      <w:spacing w:before="100" w:beforeLines="0" w:beforeAutospacing="1" w:after="240" w:afterLines="0"/>
      <w:jc w:val="left"/>
    </w:pPr>
    <w:rPr>
      <w:rFonts w:hint="eastAsia" w:ascii="宋体" w:hAnsi="宋体"/>
      <w:sz w:val="24"/>
      <w:szCs w:val="24"/>
    </w:rPr>
  </w:style>
  <w:style w:type="character" w:styleId="7">
    <w:name w:val="Strong"/>
    <w:basedOn w:val="6"/>
    <w:unhideWhenUsed/>
    <w:qFormat/>
    <w:uiPriority w:val="22"/>
    <w:rPr>
      <w:rFonts w:hint="default" w:cs="Times New Roman"/>
      <w:b/>
      <w:sz w:val="24"/>
      <w:szCs w:val="24"/>
    </w:rPr>
  </w:style>
  <w:style w:type="character" w:customStyle="1" w:styleId="8">
    <w:name w:val="页眉 字符"/>
    <w:basedOn w:val="6"/>
    <w:link w:val="3"/>
    <w:unhideWhenUsed/>
    <w:uiPriority w:val="99"/>
    <w:rPr>
      <w:rFonts w:hint="default" w:cs="Times New Roman"/>
      <w:sz w:val="18"/>
      <w:szCs w:val="18"/>
    </w:rPr>
  </w:style>
  <w:style w:type="character" w:customStyle="1" w:styleId="9">
    <w:name w:val="页脚 字符"/>
    <w:basedOn w:val="6"/>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7232</Words>
  <Characters>8212</Characters>
  <TotalTime>0</TotalTime>
  <ScaleCrop>false</ScaleCrop>
  <LinksUpToDate>false</LinksUpToDate>
  <CharactersWithSpaces>8224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2023-08-24T03:27:00Z</dcterms:created>
  <dc:creator>asus</dc:creator>
  <cp:lastModifiedBy>逐梦令</cp:lastModifiedBy>
  <dcterms:modified xsi:type="dcterms:W3CDTF">2023-08-31T10:25:12Z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CE05AB7A530C48029201F61AB10CD6E4_13</vt:lpwstr>
  </property>
</Properties>
</file>