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beforeLines="0" w:after="240" w:afterLines="0"/>
        <w:jc w:val="center"/>
        <w:rPr>
          <w:rFonts w:hint="default" w:eastAsia="Times New Roman"/>
          <w:kern w:val="36"/>
          <w:sz w:val="40"/>
          <w:szCs w:val="24"/>
          <w:lang w:val="zh-CN"/>
        </w:rPr>
      </w:pP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jc w:val="center"/>
        <w:rPr>
          <w:rFonts w:hint="default" w:ascii="方正小标宋_GBK" w:hAnsi="方正小标宋_GBK" w:eastAsia="方正小标宋_GBK"/>
          <w:sz w:val="44"/>
          <w:szCs w:val="24"/>
        </w:rPr>
      </w:pPr>
      <w:r>
        <w:rPr>
          <w:rFonts w:hint="eastAsia" w:ascii="方正小标宋_GBK" w:hAnsi="方正小标宋_GBK" w:eastAsia="方正小标宋_GBK"/>
          <w:sz w:val="44"/>
          <w:szCs w:val="24"/>
        </w:rPr>
        <w:t>乌鲁木齐市米东区第99小学</w:t>
      </w:r>
    </w:p>
    <w:p>
      <w:pPr>
        <w:spacing w:beforeLines="0" w:afterLines="0"/>
        <w:jc w:val="center"/>
        <w:rPr>
          <w:rFonts w:hint="default" w:eastAsia="Times New Roman"/>
          <w:kern w:val="36"/>
          <w:sz w:val="40"/>
          <w:szCs w:val="24"/>
          <w:lang w:val="zh-CN"/>
        </w:rPr>
      </w:pPr>
      <w:r>
        <w:rPr>
          <w:rFonts w:hint="eastAsia" w:ascii="方正小标宋_GBK" w:hAnsi="方正小标宋_GBK" w:eastAsia="方正小标宋_GBK"/>
          <w:sz w:val="44"/>
          <w:szCs w:val="24"/>
        </w:rPr>
        <w:t>2022年度部门决算公开说明</w:t>
      </w: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line="540" w:lineRule="exact"/>
        <w:jc w:val="center"/>
        <w:rPr>
          <w:rFonts w:hint="default" w:eastAsia="Times New Roman"/>
          <w:b/>
          <w:kern w:val="0"/>
          <w:sz w:val="24"/>
          <w:szCs w:val="24"/>
        </w:rPr>
      </w:pPr>
      <w:r>
        <w:rPr>
          <w:rFonts w:hint="default" w:eastAsia="Times New Roman"/>
          <w:b/>
          <w:kern w:val="36"/>
          <w:sz w:val="36"/>
          <w:szCs w:val="24"/>
        </w:rPr>
        <w:br w:type="page"/>
      </w:r>
      <w:r>
        <w:rPr>
          <w:rFonts w:hint="eastAsia" w:ascii="仿宋_GB2312" w:hAnsi="仿宋_GB2312" w:eastAsia="仿宋_GB2312"/>
          <w:b/>
          <w:kern w:val="0"/>
          <w:sz w:val="36"/>
          <w:szCs w:val="24"/>
        </w:rPr>
        <w:t>目  录</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第一部分 单位概况</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一、主要职能</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二、</w:t>
      </w:r>
      <w:r>
        <w:rPr>
          <w:rFonts w:hint="eastAsia" w:ascii="仿宋_GB2312" w:hAnsi="仿宋_GB2312" w:eastAsia="仿宋_GB2312"/>
          <w:sz w:val="32"/>
          <w:szCs w:val="24"/>
        </w:rPr>
        <w:t>机构设置及人员情况</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第二部分 部门决算情况说明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一、收入支出决算总体情况说明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四、财政拨款收入支出决算总体情况说明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rPr>
        <w:t>收入支出决算情况说明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十、其他重要事项的情况说明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（一）机关运行经费支出情况</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（二）政府采购情况</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（三）国有资产占用情况说明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rPr>
        <w:t>、预算绩效的情况说明</w:t>
      </w:r>
    </w:p>
    <w:p>
      <w:pPr>
        <w:topLinePunct/>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第三部分 专业名词解释</w:t>
      </w:r>
    </w:p>
    <w:p>
      <w:pPr>
        <w:topLinePunct/>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第四部分 部</w:t>
      </w:r>
      <w:r>
        <w:rPr>
          <w:rFonts w:hint="eastAsia" w:ascii="仿宋_GB2312" w:hAnsi="仿宋_GB2312" w:eastAsia="仿宋_GB2312"/>
          <w:b/>
          <w:sz w:val="32"/>
          <w:szCs w:val="24"/>
        </w:rPr>
        <w:t>门决算报表（见附表）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八、《政府性基金预算财政拨款收入支出决算表》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九、《国有资本经营预算财政拨款收入支出决算表》</w:t>
      </w:r>
    </w:p>
    <w:p>
      <w:pPr>
        <w:spacing w:beforeLines="0" w:afterLines="0" w:line="540" w:lineRule="exact"/>
        <w:ind w:firstLine="640"/>
        <w:rPr>
          <w:rFonts w:hint="default" w:eastAsia="Times New Roman"/>
          <w:b/>
          <w:kern w:val="0"/>
          <w:sz w:val="28"/>
          <w:szCs w:val="24"/>
        </w:rPr>
      </w:pPr>
    </w:p>
    <w:p>
      <w:pPr>
        <w:shd w:val="clear" w:color="auto" w:fill="FFFFFF"/>
        <w:spacing w:beforeLines="0" w:afterLines="0" w:line="360" w:lineRule="auto"/>
        <w:jc w:val="center"/>
        <w:rPr>
          <w:rFonts w:hint="default" w:eastAsia="Times New Roman"/>
          <w:kern w:val="0"/>
          <w:sz w:val="32"/>
          <w:szCs w:val="24"/>
        </w:rPr>
      </w:pPr>
    </w:p>
    <w:p>
      <w:pPr>
        <w:shd w:val="clear" w:color="auto" w:fill="FFFFFF"/>
        <w:spacing w:beforeLines="0" w:afterLines="0" w:line="360" w:lineRule="auto"/>
        <w:jc w:val="center"/>
        <w:rPr>
          <w:rFonts w:hint="default" w:ascii="黑体" w:hAnsi="黑体" w:eastAsia="黑体"/>
          <w:kern w:val="0"/>
          <w:sz w:val="32"/>
          <w:szCs w:val="24"/>
          <w:lang w:val="ar-SA"/>
        </w:rPr>
      </w:pPr>
      <w:r>
        <w:rPr>
          <w:rFonts w:hint="default" w:eastAsia="Times New Roman"/>
          <w:kern w:val="0"/>
          <w:sz w:val="32"/>
          <w:szCs w:val="24"/>
        </w:rPr>
        <w:br w:type="page"/>
      </w:r>
      <w:r>
        <w:rPr>
          <w:rFonts w:hint="eastAsia" w:ascii="黑体" w:hAnsi="黑体" w:eastAsia="黑体"/>
          <w:kern w:val="0"/>
          <w:sz w:val="32"/>
          <w:szCs w:val="24"/>
        </w:rPr>
        <w:t>第一部分 单位概况</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一、主要职能</w:t>
      </w:r>
    </w:p>
    <w:p>
      <w:pPr>
        <w:shd w:val="clear" w:color="auto" w:fill="FFFFFF"/>
        <w:autoSpaceDE w:val="0"/>
        <w:autoSpaceDN w:val="0"/>
        <w:adjustRightInd w:val="0"/>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1．宣传贯彻执行党和国家的教育方针、政策、法律法规等，坚持依法治教、依法治学，贯彻执行上级教育部门的行政规章制度。</w:t>
      </w:r>
    </w:p>
    <w:p>
      <w:pPr>
        <w:shd w:val="clear" w:color="auto" w:fill="FFFFFF"/>
        <w:autoSpaceDE w:val="0"/>
        <w:autoSpaceDN w:val="0"/>
        <w:adjustRightInd w:val="0"/>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2．配合上级教育部门制定符合党的教育方针和国家教育法律法规以及本校实际的教育发展规划和学校布局调整规划，并抓好组织实施和落实工作。</w:t>
      </w:r>
    </w:p>
    <w:p>
      <w:pPr>
        <w:shd w:val="clear" w:color="auto" w:fill="FFFFFF"/>
        <w:autoSpaceDE w:val="0"/>
        <w:autoSpaceDN w:val="0"/>
        <w:adjustRightInd w:val="0"/>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3．配合各级人民政府依法动员、组织适龄少年入学，严格控制辍学，推进普及义务教育。</w:t>
      </w:r>
    </w:p>
    <w:p>
      <w:pPr>
        <w:shd w:val="clear" w:color="auto" w:fill="FFFFFF"/>
        <w:autoSpaceDE w:val="0"/>
        <w:autoSpaceDN w:val="0"/>
        <w:adjustRightInd w:val="0"/>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4．组织开展本校的教育教学科研和教育教学改革，科研兴教，科研兴校。负责对本校教育教学业务的具体管理，负责教育教学管理及教研教改工作。</w:t>
      </w:r>
    </w:p>
    <w:p>
      <w:pPr>
        <w:shd w:val="clear" w:color="auto" w:fill="FFFFFF"/>
        <w:autoSpaceDE w:val="0"/>
        <w:autoSpaceDN w:val="0"/>
        <w:adjustRightInd w:val="0"/>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5．按照干部和教师的职数、编制和管理权限，制定切实可行的学校工作规章制度，以提高教育教学质量为目的，负责本校教师人事管理、继续教育、考核考评等工作。</w:t>
      </w:r>
    </w:p>
    <w:p>
      <w:pPr>
        <w:shd w:val="clear" w:color="auto" w:fill="FFFFFF"/>
        <w:autoSpaceDE w:val="0"/>
        <w:autoSpaceDN w:val="0"/>
        <w:adjustRightInd w:val="0"/>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6．负责本校财务和基建管理，筹措资金，改善办学条件等工作，为师生提供优美和谐的学习和工作环境。核算和发放教职工工资</w:t>
      </w:r>
      <w:r>
        <w:rPr>
          <w:rFonts w:hint="default" w:ascii="仿宋_GB2312" w:hAnsi="仿宋_GB2312" w:eastAsia="仿宋_GB2312"/>
          <w:kern w:val="0"/>
          <w:sz w:val="32"/>
          <w:szCs w:val="24"/>
        </w:rPr>
        <w:t>,</w:t>
      </w:r>
      <w:r>
        <w:rPr>
          <w:rFonts w:hint="eastAsia" w:ascii="仿宋_GB2312" w:hAnsi="仿宋_GB2312" w:eastAsia="仿宋_GB2312"/>
          <w:kern w:val="0"/>
          <w:sz w:val="32"/>
          <w:szCs w:val="24"/>
        </w:rPr>
        <w:t>维护教职工利益，保障教职工合法权益。</w:t>
      </w:r>
    </w:p>
    <w:p>
      <w:pPr>
        <w:shd w:val="clear" w:color="auto" w:fill="FFFFFF"/>
        <w:autoSpaceDE w:val="0"/>
        <w:autoSpaceDN w:val="0"/>
        <w:adjustRightInd w:val="0"/>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7．指导、管理、检查、评价本校的教育教学工作，提高办学质量和办学效益。按照义务教育课程计划，开齐课程，开足课时，认真教育教学管理，全面提高教育教学质量。</w:t>
      </w:r>
    </w:p>
    <w:p>
      <w:pPr>
        <w:shd w:val="clear" w:color="auto" w:fill="FFFFFF"/>
        <w:autoSpaceDE w:val="0"/>
        <w:autoSpaceDN w:val="0"/>
        <w:adjustRightInd w:val="0"/>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8.建立健全学生学籍管理制度，按国家教育部颁布的规定管理学生学籍。</w:t>
      </w:r>
    </w:p>
    <w:p>
      <w:pPr>
        <w:shd w:val="clear" w:color="auto" w:fill="FFFFFF"/>
        <w:autoSpaceDE w:val="0"/>
        <w:autoSpaceDN w:val="0"/>
        <w:adjustRightInd w:val="0"/>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9.在上级党委、政府和教育行政部门的领导下，积极开展学校的安全管理，不断提高安全管理水平</w:t>
      </w:r>
      <w:r>
        <w:rPr>
          <w:rFonts w:hint="default" w:ascii="仿宋_GB2312" w:hAnsi="仿宋_GB2312" w:eastAsia="仿宋_GB2312"/>
          <w:kern w:val="0"/>
          <w:sz w:val="32"/>
          <w:szCs w:val="24"/>
        </w:rPr>
        <w:t>,</w:t>
      </w:r>
      <w:r>
        <w:rPr>
          <w:rFonts w:hint="eastAsia" w:ascii="仿宋_GB2312" w:hAnsi="仿宋_GB2312" w:eastAsia="仿宋_GB2312"/>
          <w:kern w:val="0"/>
          <w:sz w:val="32"/>
          <w:szCs w:val="24"/>
        </w:rPr>
        <w:t>努力营造安全和谐的校园环境。</w:t>
      </w:r>
    </w:p>
    <w:p>
      <w:pPr>
        <w:shd w:val="clear" w:color="auto" w:fill="FFFFFF"/>
        <w:autoSpaceDE w:val="0"/>
        <w:autoSpaceDN w:val="0"/>
        <w:adjustRightInd w:val="0"/>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10．在上级教育部门的领导下，谋划布局，全面推进义务教育均衡发展。</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二、机构设置及人员情况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乌鲁木齐市米东区第99小学2022年度，实有人数103人，其中：在职人员45人，离休人员</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人，退休人员58人。</w:t>
      </w:r>
    </w:p>
    <w:p>
      <w:pPr>
        <w:shd w:val="clear" w:color="auto" w:fill="FFFFFF"/>
        <w:spacing w:beforeLines="0" w:afterLines="0" w:line="360" w:lineRule="auto"/>
        <w:ind w:firstLine="640"/>
        <w:rPr>
          <w:rFonts w:hint="default" w:eastAsia="Times New Roman"/>
          <w:kern w:val="0"/>
          <w:sz w:val="24"/>
          <w:szCs w:val="24"/>
          <w:lang w:val="ar-SA"/>
        </w:rPr>
      </w:pPr>
      <w:r>
        <w:rPr>
          <w:rFonts w:hint="eastAsia" w:ascii="仿宋_GB2312" w:hAnsi="仿宋_GB2312" w:eastAsia="仿宋_GB2312"/>
          <w:kern w:val="0"/>
          <w:sz w:val="32"/>
          <w:szCs w:val="24"/>
        </w:rPr>
        <w:t>从部门决算单位构成看，乌鲁木齐市米东区第99小学部门决算包括：乌鲁木齐市米东区第99小学</w:t>
      </w:r>
      <w:r>
        <w:rPr>
          <w:rFonts w:hint="eastAsia" w:ascii="仿宋_GB2312" w:hAnsi="仿宋_GB2312" w:eastAsia="仿宋_GB2312"/>
          <w:kern w:val="0"/>
          <w:sz w:val="32"/>
          <w:szCs w:val="24"/>
          <w:lang w:val="zh-CN"/>
        </w:rPr>
        <w:t>决算。单位无下属预算单位，下设12个科室，分别是：</w:t>
      </w:r>
      <w:r>
        <w:rPr>
          <w:rFonts w:hint="eastAsia" w:ascii="仿宋_GB2312" w:eastAsia="仿宋_GB2312"/>
          <w:kern w:val="0"/>
          <w:sz w:val="32"/>
          <w:szCs w:val="24"/>
        </w:rPr>
        <w:t>校长室，书记室，财务室，党政办，后勤室，教务室，教研室，人事办公室，德育室，体育室，各功能室，各科教师室</w:t>
      </w:r>
      <w:r>
        <w:rPr>
          <w:rFonts w:hint="eastAsia" w:ascii="仿宋_GB2312" w:hAnsi="仿宋_GB2312" w:eastAsia="仿宋_GB2312"/>
          <w:kern w:val="0"/>
          <w:sz w:val="32"/>
          <w:szCs w:val="24"/>
          <w:lang w:val="zh-CN"/>
        </w:rPr>
        <w:t>。</w:t>
      </w:r>
    </w:p>
    <w:p>
      <w:pPr>
        <w:shd w:val="clear" w:color="auto" w:fill="FFFFFF"/>
        <w:spacing w:before="100" w:beforeLines="0" w:after="240" w:afterLines="0"/>
        <w:jc w:val="center"/>
        <w:rPr>
          <w:rFonts w:hint="default" w:eastAsia="Times New Roman"/>
          <w:kern w:val="0"/>
          <w:sz w:val="28"/>
          <w:szCs w:val="24"/>
          <w:lang w:val="ar-SA"/>
        </w:rPr>
      </w:pPr>
      <w:r>
        <w:rPr>
          <w:rFonts w:hint="eastAsia" w:ascii="黑体" w:hAnsi="黑体" w:eastAsia="黑体"/>
          <w:kern w:val="0"/>
          <w:sz w:val="32"/>
          <w:szCs w:val="24"/>
        </w:rPr>
        <w:t>第二部分 部门决算情况说明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1,010.87万元，</w:t>
      </w:r>
      <w:r>
        <w:rPr>
          <w:rFonts w:hint="eastAsia" w:ascii="仿宋_GB2312" w:hAnsi="仿宋_GB2312" w:eastAsia="仿宋_GB2312"/>
          <w:sz w:val="32"/>
          <w:szCs w:val="24"/>
        </w:rPr>
        <w:t>其中：本年收入合计</w:t>
      </w:r>
      <w:r>
        <w:rPr>
          <w:rFonts w:hint="eastAsia" w:ascii="仿宋_GB2312" w:hAnsi="仿宋_GB2312" w:eastAsia="仿宋_GB2312"/>
          <w:kern w:val="0"/>
          <w:sz w:val="32"/>
          <w:szCs w:val="24"/>
        </w:rPr>
        <w:t>997.03</w:t>
      </w:r>
      <w:r>
        <w:rPr>
          <w:rFonts w:hint="eastAsia" w:ascii="仿宋_GB2312" w:hAnsi="仿宋_GB2312" w:eastAsia="仿宋_GB2312"/>
          <w:sz w:val="32"/>
          <w:szCs w:val="24"/>
        </w:rPr>
        <w:t>万元，使用非财政拨款结余</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万元，年初结转和结余</w:t>
      </w:r>
      <w:r>
        <w:rPr>
          <w:rFonts w:hint="eastAsia" w:ascii="仿宋_GB2312" w:hAnsi="仿宋_GB2312" w:eastAsia="仿宋_GB2312"/>
          <w:kern w:val="0"/>
          <w:sz w:val="32"/>
          <w:szCs w:val="24"/>
        </w:rPr>
        <w:t>13.84</w:t>
      </w:r>
      <w:r>
        <w:rPr>
          <w:rFonts w:hint="eastAsia" w:ascii="仿宋_GB2312" w:hAnsi="仿宋_GB2312" w:eastAsia="仿宋_GB2312"/>
          <w:sz w:val="32"/>
          <w:szCs w:val="24"/>
        </w:rPr>
        <w:t>万元。收入总计</w:t>
      </w:r>
      <w:r>
        <w:rPr>
          <w:rFonts w:hint="eastAsia" w:ascii="仿宋_GB2312" w:hAnsi="仿宋_GB2312" w:eastAsia="仿宋_GB2312"/>
          <w:kern w:val="0"/>
          <w:sz w:val="32"/>
          <w:szCs w:val="24"/>
        </w:rPr>
        <w:t>与上年相比，增加46.19万元，增长4.79%，主要原因是：调整调标工资、基础性绩效奖、新增课后托管费</w:t>
      </w:r>
      <w:r>
        <w:rPr>
          <w:rFonts w:hint="default" w:ascii="仿宋_GB2312" w:hAnsi="仿宋_GB2312" w:eastAsia="仿宋_GB2312"/>
          <w:kern w:val="0"/>
          <w:sz w:val="32"/>
          <w:szCs w:val="24"/>
        </w:rPr>
        <w:t>,</w:t>
      </w:r>
      <w:r>
        <w:rPr>
          <w:rFonts w:hint="eastAsia" w:ascii="仿宋_GB2312" w:hAnsi="仿宋_GB2312" w:eastAsia="仿宋_GB2312"/>
          <w:kern w:val="0"/>
          <w:sz w:val="32"/>
          <w:szCs w:val="24"/>
        </w:rPr>
        <w:t>导致本年收入增加。</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sz w:val="32"/>
          <w:szCs w:val="24"/>
        </w:rPr>
        <w:t>本年支出总计</w:t>
      </w:r>
      <w:r>
        <w:rPr>
          <w:rFonts w:hint="eastAsia" w:ascii="仿宋_GB2312" w:hAnsi="仿宋_GB2312" w:eastAsia="仿宋_GB2312"/>
          <w:kern w:val="0"/>
          <w:sz w:val="32"/>
          <w:szCs w:val="24"/>
        </w:rPr>
        <w:t>1,010.87万元，</w:t>
      </w:r>
      <w:r>
        <w:rPr>
          <w:rFonts w:hint="eastAsia" w:ascii="仿宋_GB2312" w:hAnsi="仿宋_GB2312" w:eastAsia="仿宋_GB2312"/>
          <w:sz w:val="32"/>
          <w:szCs w:val="24"/>
        </w:rPr>
        <w:t>其中：本年支出合计</w:t>
      </w:r>
      <w:r>
        <w:rPr>
          <w:rFonts w:hint="eastAsia" w:ascii="仿宋_GB2312" w:hAnsi="仿宋_GB2312" w:eastAsia="仿宋_GB2312"/>
          <w:kern w:val="0"/>
          <w:sz w:val="32"/>
          <w:szCs w:val="24"/>
        </w:rPr>
        <w:t>970.13</w:t>
      </w:r>
      <w:r>
        <w:rPr>
          <w:rFonts w:hint="eastAsia" w:ascii="仿宋_GB2312" w:hAnsi="仿宋_GB2312" w:eastAsia="仿宋_GB2312"/>
          <w:sz w:val="32"/>
          <w:szCs w:val="24"/>
        </w:rPr>
        <w:t>万元，结余分配</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万元，年末结转和结余</w:t>
      </w:r>
      <w:r>
        <w:rPr>
          <w:rFonts w:hint="eastAsia" w:ascii="仿宋_GB2312" w:hAnsi="仿宋_GB2312" w:eastAsia="仿宋_GB2312"/>
          <w:kern w:val="0"/>
          <w:sz w:val="32"/>
          <w:szCs w:val="24"/>
        </w:rPr>
        <w:t>40.74</w:t>
      </w:r>
      <w:r>
        <w:rPr>
          <w:rFonts w:hint="eastAsia" w:ascii="仿宋_GB2312" w:hAnsi="仿宋_GB2312" w:eastAsia="仿宋_GB2312"/>
          <w:sz w:val="32"/>
          <w:szCs w:val="24"/>
        </w:rPr>
        <w:t>万元。支出总计</w:t>
      </w:r>
      <w:r>
        <w:rPr>
          <w:rFonts w:hint="eastAsia" w:ascii="仿宋_GB2312" w:hAnsi="仿宋_GB2312" w:eastAsia="仿宋_GB2312"/>
          <w:kern w:val="0"/>
          <w:sz w:val="32"/>
          <w:szCs w:val="24"/>
        </w:rPr>
        <w:t>与上年相比，增加46.19万元，增长4.79%，主要原因是：调整调标工资、基础性绩效奖、新增课后托管费，导致本年支出增加。</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二、收入决算情况说明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2022年度本年收入997.03万元，其中：财政拨款收入943.13万元，占94.59%；上级补助收入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万元，占0.00%；事业收入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万元，占0.00%；附属单位上缴收入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万元，占0.00%；其他收入53.90万元，占5.41%。</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三、支出决算情况说明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2022年度本年支出970.13万元，其中：基本支出855.56万元，占88.19%；项目支出114.57万元，占11.81%；上缴上级支出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万元，占0.00%；对附属单位补助支出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四、财政拨款收入支出决算总体情况说明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956.97万元，</w:t>
      </w:r>
      <w:r>
        <w:rPr>
          <w:rFonts w:hint="eastAsia" w:ascii="仿宋_GB2312" w:hAnsi="仿宋_GB2312" w:eastAsia="仿宋_GB2312"/>
          <w:sz w:val="32"/>
          <w:szCs w:val="24"/>
        </w:rPr>
        <w:t>其中：年初财政拨款结转和结余</w:t>
      </w:r>
      <w:r>
        <w:rPr>
          <w:rFonts w:hint="eastAsia" w:ascii="仿宋_GB2312" w:hAnsi="仿宋_GB2312" w:eastAsia="仿宋_GB2312"/>
          <w:kern w:val="0"/>
          <w:sz w:val="32"/>
          <w:szCs w:val="24"/>
        </w:rPr>
        <w:t>13.84</w:t>
      </w:r>
      <w:r>
        <w:rPr>
          <w:rFonts w:hint="eastAsia" w:ascii="仿宋_GB2312" w:hAnsi="仿宋_GB2312" w:eastAsia="仿宋_GB2312"/>
          <w:sz w:val="32"/>
          <w:szCs w:val="24"/>
        </w:rPr>
        <w:t>万元，财政拨款本年收入</w:t>
      </w:r>
      <w:r>
        <w:rPr>
          <w:rFonts w:hint="eastAsia" w:ascii="仿宋_GB2312" w:hAnsi="仿宋_GB2312" w:eastAsia="仿宋_GB2312"/>
          <w:kern w:val="0"/>
          <w:sz w:val="32"/>
          <w:szCs w:val="24"/>
        </w:rPr>
        <w:t>943.13</w:t>
      </w:r>
      <w:r>
        <w:rPr>
          <w:rFonts w:hint="eastAsia" w:ascii="仿宋_GB2312" w:hAnsi="仿宋_GB2312" w:eastAsia="仿宋_GB2312"/>
          <w:sz w:val="32"/>
          <w:szCs w:val="24"/>
        </w:rPr>
        <w:t>万元。财政拨款收入总计</w:t>
      </w:r>
      <w:r>
        <w:rPr>
          <w:rFonts w:hint="eastAsia" w:ascii="仿宋_GB2312" w:hAnsi="仿宋_GB2312" w:eastAsia="仿宋_GB2312"/>
          <w:kern w:val="0"/>
          <w:sz w:val="32"/>
          <w:szCs w:val="24"/>
        </w:rPr>
        <w:t>与上年相比，减少7.71万元，下降0.80%，主要原因是：本年单位退休两人，相关人员经费收入较上年减少。</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956.97万元，</w:t>
      </w:r>
      <w:r>
        <w:rPr>
          <w:rFonts w:hint="eastAsia" w:ascii="仿宋_GB2312" w:hAnsi="仿宋_GB2312" w:eastAsia="仿宋_GB2312"/>
          <w:sz w:val="32"/>
          <w:szCs w:val="24"/>
        </w:rPr>
        <w:t>其中：年末财政拨款结转和结余</w:t>
      </w:r>
      <w:r>
        <w:rPr>
          <w:rFonts w:hint="eastAsia" w:ascii="仿宋_GB2312" w:hAnsi="仿宋_GB2312" w:eastAsia="仿宋_GB2312"/>
          <w:kern w:val="0"/>
          <w:sz w:val="32"/>
          <w:szCs w:val="24"/>
        </w:rPr>
        <w:t>39.84</w:t>
      </w:r>
      <w:r>
        <w:rPr>
          <w:rFonts w:hint="eastAsia" w:ascii="仿宋_GB2312" w:hAnsi="仿宋_GB2312" w:eastAsia="仿宋_GB2312"/>
          <w:sz w:val="32"/>
          <w:szCs w:val="24"/>
        </w:rPr>
        <w:t>万元，财政拨款本年支出</w:t>
      </w:r>
      <w:r>
        <w:rPr>
          <w:rFonts w:hint="eastAsia" w:ascii="仿宋_GB2312" w:hAnsi="仿宋_GB2312" w:eastAsia="仿宋_GB2312"/>
          <w:kern w:val="0"/>
          <w:sz w:val="32"/>
          <w:szCs w:val="24"/>
        </w:rPr>
        <w:t>917.13</w:t>
      </w:r>
      <w:r>
        <w:rPr>
          <w:rFonts w:hint="eastAsia" w:ascii="仿宋_GB2312" w:hAnsi="仿宋_GB2312" w:eastAsia="仿宋_GB2312"/>
          <w:sz w:val="32"/>
          <w:szCs w:val="24"/>
        </w:rPr>
        <w:t>万元。财政拨款支出总计</w:t>
      </w:r>
      <w:r>
        <w:rPr>
          <w:rFonts w:hint="eastAsia" w:ascii="仿宋_GB2312" w:hAnsi="仿宋_GB2312" w:eastAsia="仿宋_GB2312"/>
          <w:kern w:val="0"/>
          <w:sz w:val="32"/>
          <w:szCs w:val="24"/>
        </w:rPr>
        <w:t>与上年相比，减少7.71万元，下降0.80%，主要原因是：本年单位退休两人，相关人员经费支出较上年减少。</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与年初预算数相比情况：财政拨款收入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年初预算数976.20万元，决算数956.97万元，预决算差异率-1.97%，主要原因是：本年单位</w:t>
      </w:r>
      <w:r>
        <w:rPr>
          <w:rFonts w:hint="eastAsia" w:ascii="仿宋_GB2312" w:hAnsi="仿宋_GB2312" w:eastAsia="仿宋_GB2312"/>
          <w:kern w:val="0"/>
          <w:sz w:val="32"/>
          <w:szCs w:val="24"/>
          <w:lang w:val="en-US" w:eastAsia="zh-CN"/>
        </w:rPr>
        <w:t>临聘人员减少</w:t>
      </w:r>
      <w:r>
        <w:rPr>
          <w:rFonts w:hint="eastAsia" w:ascii="仿宋_GB2312" w:hAnsi="仿宋_GB2312" w:eastAsia="仿宋_GB2312"/>
          <w:kern w:val="0"/>
          <w:sz w:val="32"/>
          <w:szCs w:val="24"/>
        </w:rPr>
        <w:t>，</w:t>
      </w:r>
      <w:r>
        <w:rPr>
          <w:rFonts w:hint="eastAsia" w:ascii="仿宋_GB2312" w:hAnsi="仿宋_GB2312" w:eastAsia="仿宋_GB2312"/>
          <w:kern w:val="0"/>
          <w:sz w:val="32"/>
          <w:szCs w:val="24"/>
          <w:lang w:val="en-US" w:eastAsia="zh-CN"/>
        </w:rPr>
        <w:t>劳务费减少，</w:t>
      </w:r>
      <w:r>
        <w:rPr>
          <w:rFonts w:hint="eastAsia" w:ascii="仿宋_GB2312" w:hAnsi="仿宋_GB2312" w:eastAsia="仿宋_GB2312"/>
          <w:kern w:val="0"/>
          <w:sz w:val="32"/>
          <w:szCs w:val="24"/>
        </w:rPr>
        <w:t>追减相关人员经费收入，导致预决算存在差异。财政拨款支出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年初预算数976.20万元，决算数956.97万元，预决算差异率-1.97%，主要原因是：本年单位</w:t>
      </w:r>
      <w:r>
        <w:rPr>
          <w:rFonts w:hint="eastAsia" w:ascii="仿宋_GB2312" w:hAnsi="仿宋_GB2312" w:eastAsia="仿宋_GB2312"/>
          <w:kern w:val="0"/>
          <w:sz w:val="32"/>
          <w:szCs w:val="24"/>
          <w:lang w:val="en-US" w:eastAsia="zh-CN"/>
        </w:rPr>
        <w:t>临聘人员减少</w:t>
      </w:r>
      <w:r>
        <w:rPr>
          <w:rFonts w:hint="eastAsia" w:ascii="仿宋_GB2312" w:hAnsi="仿宋_GB2312" w:eastAsia="仿宋_GB2312"/>
          <w:kern w:val="0"/>
          <w:sz w:val="32"/>
          <w:szCs w:val="24"/>
        </w:rPr>
        <w:t>，</w:t>
      </w:r>
      <w:r>
        <w:rPr>
          <w:rFonts w:hint="eastAsia" w:ascii="仿宋_GB2312" w:hAnsi="仿宋_GB2312" w:eastAsia="仿宋_GB2312"/>
          <w:kern w:val="0"/>
          <w:sz w:val="32"/>
          <w:szCs w:val="24"/>
          <w:lang w:val="en-US" w:eastAsia="zh-CN"/>
        </w:rPr>
        <w:t>劳务费减少，</w:t>
      </w:r>
      <w:r>
        <w:rPr>
          <w:rFonts w:hint="eastAsia" w:ascii="仿宋_GB2312" w:hAnsi="仿宋_GB2312" w:eastAsia="仿宋_GB2312"/>
          <w:kern w:val="0"/>
          <w:sz w:val="32"/>
          <w:szCs w:val="24"/>
        </w:rPr>
        <w:t>追减相关人员经费支出，导致预决算存在差异。</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五、一般公共预算财政拨款支出决算情况说明</w:t>
      </w:r>
    </w:p>
    <w:p>
      <w:pPr>
        <w:spacing w:beforeLines="0" w:afterLines="0"/>
        <w:ind w:firstLine="640"/>
        <w:rPr>
          <w:rFonts w:hint="default" w:eastAsia="Times New Roman"/>
          <w:sz w:val="32"/>
          <w:szCs w:val="24"/>
        </w:rPr>
      </w:pPr>
      <w:r>
        <w:rPr>
          <w:rFonts w:hint="eastAsia" w:ascii="黑体" w:hAnsi="黑体" w:eastAsia="黑体"/>
          <w:sz w:val="32"/>
          <w:szCs w:val="24"/>
        </w:rPr>
        <w:t>（一）一般公共预算财政拨款支出决算总体情况</w:t>
      </w:r>
    </w:p>
    <w:p>
      <w:pPr>
        <w:spacing w:beforeLines="0" w:afterLines="0" w:line="600" w:lineRule="exact"/>
        <w:ind w:firstLine="640"/>
        <w:rPr>
          <w:rFonts w:hint="default" w:ascii="仿宋_GB2312" w:hAnsi="仿宋_GB2312" w:eastAsia="仿宋_GB2312"/>
          <w:kern w:val="0"/>
          <w:sz w:val="32"/>
          <w:szCs w:val="24"/>
        </w:rPr>
      </w:pPr>
      <w:r>
        <w:rPr>
          <w:rFonts w:hint="eastAsia" w:ascii="仿宋_GB2312" w:hAnsi="仿宋_GB2312" w:eastAsia="仿宋_GB2312"/>
          <w:sz w:val="32"/>
          <w:szCs w:val="24"/>
        </w:rPr>
        <w:t>2022年度一般公共预算财政拨款支出</w:t>
      </w:r>
      <w:r>
        <w:rPr>
          <w:rFonts w:hint="eastAsia" w:ascii="仿宋_GB2312" w:hAnsi="仿宋_GB2312" w:eastAsia="仿宋_GB2312"/>
          <w:kern w:val="0"/>
          <w:sz w:val="32"/>
          <w:szCs w:val="24"/>
        </w:rPr>
        <w:t>917.13</w:t>
      </w:r>
      <w:r>
        <w:rPr>
          <w:rFonts w:hint="eastAsia" w:ascii="仿宋_GB2312" w:hAnsi="仿宋_GB2312" w:eastAsia="仿宋_GB2312"/>
          <w:sz w:val="32"/>
          <w:szCs w:val="24"/>
        </w:rPr>
        <w:t>万元，占本年支出合计的</w:t>
      </w:r>
      <w:r>
        <w:rPr>
          <w:rFonts w:hint="eastAsia" w:ascii="仿宋_GB2312" w:hAnsi="仿宋_GB2312" w:eastAsia="仿宋_GB2312"/>
          <w:kern w:val="0"/>
          <w:sz w:val="32"/>
          <w:szCs w:val="24"/>
        </w:rPr>
        <w:t>100.00%</w:t>
      </w:r>
      <w:r>
        <w:rPr>
          <w:rFonts w:hint="eastAsia" w:ascii="仿宋_GB2312" w:hAnsi="仿宋_GB2312" w:eastAsia="仿宋_GB2312"/>
          <w:sz w:val="32"/>
          <w:szCs w:val="24"/>
        </w:rPr>
        <w:t>，与上年相比，</w:t>
      </w:r>
      <w:r>
        <w:rPr>
          <w:rFonts w:hint="eastAsia" w:ascii="仿宋_GB2312" w:hAnsi="仿宋_GB2312" w:eastAsia="仿宋_GB2312"/>
          <w:kern w:val="0"/>
          <w:sz w:val="32"/>
          <w:szCs w:val="24"/>
        </w:rPr>
        <w:t>减少33.72万元，下降3.55%，主要原因是：本年单位退休两人，相关人员经费收入较上年减少，</w:t>
      </w:r>
      <w:r>
        <w:rPr>
          <w:rFonts w:hint="eastAsia" w:ascii="仿宋_GB2312" w:hAnsi="Verdana" w:eastAsia="仿宋_GB2312" w:cs="仿宋_GB2312"/>
          <w:sz w:val="32"/>
          <w:szCs w:val="32"/>
        </w:rPr>
        <w:t>福利费、工会经费、伤残补助等资金，本年未拨付</w:t>
      </w:r>
      <w:r>
        <w:rPr>
          <w:rFonts w:hint="eastAsia" w:ascii="仿宋_GB2312" w:hAnsi="仿宋_GB2312" w:eastAsia="仿宋_GB2312"/>
          <w:kern w:val="0"/>
          <w:sz w:val="32"/>
          <w:szCs w:val="24"/>
        </w:rPr>
        <w:t>。</w:t>
      </w:r>
    </w:p>
    <w:p>
      <w:pPr>
        <w:spacing w:beforeLines="0" w:afterLines="0"/>
        <w:ind w:firstLine="640"/>
        <w:rPr>
          <w:rFonts w:hint="default" w:eastAsia="Times New Roman"/>
          <w:sz w:val="32"/>
          <w:szCs w:val="24"/>
        </w:rPr>
      </w:pPr>
      <w:r>
        <w:rPr>
          <w:rFonts w:hint="eastAsia" w:ascii="黑体" w:hAnsi="黑体" w:eastAsia="黑体"/>
          <w:sz w:val="32"/>
          <w:szCs w:val="24"/>
        </w:rPr>
        <w:t>（二）一般公共预算财政拨款支出决算结构情况</w:t>
      </w:r>
    </w:p>
    <w:p>
      <w:pPr>
        <w:spacing w:beforeLines="0" w:afterLines="0" w:line="600" w:lineRule="exact"/>
        <w:ind w:firstLine="640"/>
        <w:rPr>
          <w:rFonts w:hint="default" w:ascii="仿宋_GB2312" w:hAnsi="仿宋_GB2312" w:eastAsia="仿宋_GB2312"/>
          <w:sz w:val="32"/>
          <w:szCs w:val="24"/>
        </w:rPr>
      </w:pPr>
      <w:r>
        <w:rPr>
          <w:rFonts w:hint="eastAsia" w:ascii="仿宋_GB2312" w:hAnsi="仿宋_GB2312" w:eastAsia="仿宋_GB2312"/>
          <w:sz w:val="32"/>
          <w:szCs w:val="24"/>
        </w:rPr>
        <w:t>1.教育支出（类）909.51万元，占99.17%；</w:t>
      </w:r>
    </w:p>
    <w:p>
      <w:pPr>
        <w:spacing w:beforeLines="0" w:afterLines="0" w:line="600" w:lineRule="exact"/>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2.社会保障和就业支出（类）7.62万元，占0.83%。</w:t>
      </w:r>
    </w:p>
    <w:p>
      <w:pPr>
        <w:spacing w:beforeLines="0" w:afterLines="0"/>
        <w:ind w:firstLine="640"/>
        <w:rPr>
          <w:rFonts w:hint="default" w:eastAsia="Times New Roman"/>
          <w:sz w:val="32"/>
          <w:szCs w:val="24"/>
        </w:rPr>
      </w:pPr>
      <w:r>
        <w:rPr>
          <w:rFonts w:hint="eastAsia" w:ascii="黑体" w:hAnsi="黑体" w:eastAsia="黑体"/>
          <w:sz w:val="32"/>
          <w:szCs w:val="24"/>
        </w:rPr>
        <w:t>（三）一般公共预算财政拨款支出决算具体情况</w:t>
      </w:r>
    </w:p>
    <w:p>
      <w:pPr>
        <w:spacing w:beforeLines="0" w:afterLines="0" w:line="600" w:lineRule="exact"/>
        <w:ind w:firstLine="640"/>
        <w:rPr>
          <w:rFonts w:hint="eastAsia" w:eastAsia="仿宋_GB2312"/>
          <w:kern w:val="0"/>
          <w:sz w:val="32"/>
          <w:szCs w:val="24"/>
          <w:lang w:eastAsia="zh-CN"/>
        </w:rPr>
      </w:pPr>
      <w:r>
        <w:rPr>
          <w:rFonts w:hint="eastAsia" w:ascii="仿宋_GB2312" w:hAnsi="仿宋_GB2312" w:eastAsia="仿宋_GB2312"/>
          <w:kern w:val="0"/>
          <w:sz w:val="32"/>
          <w:szCs w:val="24"/>
        </w:rPr>
        <w:t>1.教育支出（类）普通教育（款）小学教育（项）:支出决算数为909.51万元，比上年决算增加24.84万元，增长2.81%，主要原因是：本年</w:t>
      </w:r>
      <w:r>
        <w:rPr>
          <w:rFonts w:hint="eastAsia" w:ascii="仿宋_GB2312" w:hAnsi="Verdana" w:eastAsia="仿宋_GB2312" w:cs="仿宋_GB2312"/>
          <w:sz w:val="32"/>
          <w:szCs w:val="32"/>
        </w:rPr>
        <w:t>部分机关养老保险调整到教育支出</w:t>
      </w:r>
      <w:r>
        <w:rPr>
          <w:rFonts w:hint="eastAsia" w:ascii="仿宋_GB2312" w:hAnsi="Verdana" w:eastAsia="仿宋_GB2312" w:cs="仿宋_GB2312"/>
          <w:sz w:val="32"/>
          <w:szCs w:val="32"/>
          <w:lang w:eastAsia="zh-CN"/>
        </w:rPr>
        <w:t>；</w:t>
      </w:r>
    </w:p>
    <w:p>
      <w:pPr>
        <w:spacing w:beforeLines="0" w:afterLines="0" w:line="600" w:lineRule="exact"/>
        <w:ind w:firstLine="640"/>
        <w:rPr>
          <w:rFonts w:hint="eastAsia" w:ascii="仿宋_GB2312" w:hAnsi="仿宋_GB2312" w:eastAsia="仿宋_GB2312"/>
          <w:kern w:val="0"/>
          <w:sz w:val="32"/>
          <w:szCs w:val="24"/>
          <w:lang w:eastAsia="zh-CN"/>
        </w:rPr>
      </w:pPr>
      <w:r>
        <w:rPr>
          <w:rFonts w:hint="eastAsia" w:ascii="仿宋_GB2312" w:hAnsi="仿宋_GB2312" w:eastAsia="仿宋_GB2312"/>
          <w:kern w:val="0"/>
          <w:sz w:val="32"/>
          <w:szCs w:val="24"/>
        </w:rPr>
        <w:t>2.社会保障和就业支出（类）民政管理事务（款）基层政权建设和社区治理（项）:支出决算数为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万元，比上年决算减少0.70万元，下降100.00%，主要原因是：本年社会保障和就业支出（类）民政管理事务（款）基层政权建设和社区治理（项）未支出</w:t>
      </w:r>
      <w:r>
        <w:rPr>
          <w:rFonts w:hint="eastAsia" w:ascii="仿宋_GB2312" w:hAnsi="仿宋_GB2312" w:eastAsia="仿宋_GB2312"/>
          <w:kern w:val="0"/>
          <w:sz w:val="32"/>
          <w:szCs w:val="24"/>
          <w:lang w:eastAsia="zh-CN"/>
        </w:rPr>
        <w:t>；</w:t>
      </w:r>
    </w:p>
    <w:p>
      <w:pPr>
        <w:spacing w:beforeLines="0" w:afterLines="0" w:line="600" w:lineRule="exact"/>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3.社会保障和就业支出（类）行政事业单位养老支出（款）机关事业单位基本养老保险缴费支出（项）:支出决算数为7.62万元，比上年决算减少57.86万元，下降88.36%，主要原因是：</w:t>
      </w:r>
      <w:r>
        <w:rPr>
          <w:rFonts w:hint="eastAsia" w:ascii="仿宋_GB2312" w:hAnsi="Verdana" w:eastAsia="仿宋_GB2312" w:cs="仿宋_GB2312"/>
          <w:sz w:val="32"/>
          <w:szCs w:val="32"/>
        </w:rPr>
        <w:t>部分机关养老款项由2080505款调整为2050202款</w:t>
      </w:r>
      <w:r>
        <w:rPr>
          <w:rFonts w:hint="eastAsia" w:ascii="仿宋_GB2312" w:hAnsi="仿宋_GB2312" w:eastAsia="仿宋_GB2312"/>
          <w:kern w:val="0"/>
          <w:sz w:val="32"/>
          <w:szCs w:val="24"/>
        </w:rPr>
        <w:t>。</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2022年度一般公共预算财政拨款基本支出855.56万元，其中：</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人员经费798.22万元，包括：基本工资、津贴补贴、奖金、绩效工资、机关事业单位基本养老保险缴费、职工基本医疗保险缴费、公务员医疗补助缴费、其他社会保障缴费、住房公积金、抚恤金、奖励金、其他对个人和家庭的补助。</w:t>
      </w:r>
    </w:p>
    <w:p>
      <w:pPr>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公用经费57.34万元，包括：水费、电费、劳务费、福利费。</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七、财政拨款</w:t>
      </w:r>
      <w:r>
        <w:rPr>
          <w:rFonts w:hint="eastAsia" w:ascii="黑体" w:hAnsi="黑体" w:eastAsia="黑体"/>
          <w:kern w:val="0"/>
          <w:sz w:val="32"/>
          <w:szCs w:val="24"/>
        </w:rPr>
        <w:t>“三公”</w:t>
      </w:r>
      <w:r>
        <w:rPr>
          <w:rFonts w:hint="eastAsia" w:ascii="黑体" w:hAnsi="黑体" w:eastAsia="黑体"/>
          <w:sz w:val="32"/>
          <w:szCs w:val="24"/>
          <w:lang w:val="zh-CN"/>
        </w:rPr>
        <w:t>经费支出决算情况说明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w:t>
      </w:r>
      <w:r>
        <w:rPr>
          <w:rFonts w:hint="eastAsia" w:ascii="仿宋_GB2312" w:hAnsi="仿宋_GB2312" w:eastAsia="仿宋_GB2312"/>
          <w:sz w:val="32"/>
          <w:szCs w:val="24"/>
        </w:rPr>
        <w:t>财政拨款</w:t>
      </w:r>
      <w:r>
        <w:rPr>
          <w:rFonts w:hint="eastAsia" w:ascii="仿宋_GB2312" w:hAnsi="仿宋_GB2312" w:eastAsia="仿宋_GB2312"/>
          <w:kern w:val="0"/>
          <w:sz w:val="32"/>
          <w:szCs w:val="24"/>
        </w:rPr>
        <w:t>“三公”经费支出决算</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万元，增长0.00%，主要原因是：本年单位无此项支出。其中：因公出国（境）费支出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万元，增长0.00%，主要原因是：本年单位无因公出国（境）费支出；公务用车购置及运行维护费支出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万元，增长0.00%，主要原因是：本年单位无此项支出；公务接待费支出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万元，增长0.00%，主要原因是：本年单位无此项支出。具体情况如下：</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万元，开支内容包括本年单位无因公出国（境）费支出。单位全年安排的因公出国（境）团组</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个，因公出国（境）</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公务用车购置及运行维护费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万元，其中：公务用车购置费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万元，公务用车运行维护费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万元。公务用车运行维护费开支内容包括</w:t>
      </w:r>
      <w:r>
        <w:rPr>
          <w:rFonts w:hint="eastAsia" w:ascii="仿宋_GB2312" w:hAnsi="仿宋_GB2312" w:eastAsia="仿宋_GB2312"/>
          <w:kern w:val="0"/>
          <w:sz w:val="32"/>
          <w:szCs w:val="24"/>
          <w:lang w:val="en-US" w:eastAsia="zh-CN"/>
        </w:rPr>
        <w:t>本年</w:t>
      </w:r>
      <w:r>
        <w:rPr>
          <w:rFonts w:hint="eastAsia" w:ascii="仿宋_GB2312" w:hAnsi="仿宋_GB2312" w:eastAsia="仿宋_GB2312"/>
          <w:kern w:val="0"/>
          <w:sz w:val="32"/>
          <w:szCs w:val="24"/>
        </w:rPr>
        <w:t>单位无此项支出。公务用车购置数</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辆，公务用车保有量</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公务接待费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万元，开支内容包括本年单位无此项支出。单位全年安排的国内公务接待</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批次，</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w:t>
      </w:r>
      <w:r>
        <w:rPr>
          <w:rFonts w:hint="eastAsia" w:ascii="仿宋_GB2312" w:hAnsi="仿宋_GB2312" w:eastAsia="仿宋_GB2312"/>
          <w:sz w:val="32"/>
          <w:szCs w:val="24"/>
        </w:rPr>
        <w:t>全年</w:t>
      </w:r>
      <w:r>
        <w:rPr>
          <w:rFonts w:hint="eastAsia" w:ascii="仿宋_GB2312" w:hAnsi="仿宋_GB2312" w:eastAsia="仿宋_GB2312"/>
          <w:kern w:val="0"/>
          <w:sz w:val="32"/>
          <w:szCs w:val="24"/>
        </w:rPr>
        <w:t>预算</w:t>
      </w:r>
      <w:r>
        <w:rPr>
          <w:rFonts w:hint="eastAsia" w:ascii="仿宋_GB2312" w:hAnsi="仿宋_GB2312" w:eastAsia="仿宋_GB2312"/>
          <w:kern w:val="0"/>
          <w:sz w:val="32"/>
          <w:szCs w:val="24"/>
          <w:lang w:val="zh-CN"/>
        </w:rPr>
        <w:t>数</w:t>
      </w:r>
      <w:r>
        <w:rPr>
          <w:rFonts w:hint="eastAsia" w:ascii="仿宋_GB2312" w:hAnsi="仿宋_GB2312" w:eastAsia="仿宋_GB2312"/>
          <w:kern w:val="0"/>
          <w:sz w:val="32"/>
          <w:szCs w:val="24"/>
        </w:rPr>
        <w:t>相比情况</w:t>
      </w:r>
      <w:r>
        <w:rPr>
          <w:rFonts w:hint="eastAsia" w:ascii="仿宋_GB2312" w:hAnsi="仿宋_GB2312" w:eastAsia="仿宋_GB2312"/>
          <w:sz w:val="32"/>
          <w:szCs w:val="24"/>
        </w:rPr>
        <w:t>：</w:t>
      </w:r>
      <w:r>
        <w:rPr>
          <w:rFonts w:hint="default" w:eastAsia="Times New Roman"/>
          <w:kern w:val="0"/>
          <w:sz w:val="32"/>
          <w:szCs w:val="24"/>
        </w:rPr>
        <w:t>“</w:t>
      </w:r>
      <w:r>
        <w:rPr>
          <w:rFonts w:hint="eastAsia" w:ascii="仿宋_GB2312" w:hAnsi="仿宋_GB2312" w:eastAsia="仿宋_GB2312"/>
          <w:kern w:val="0"/>
          <w:sz w:val="32"/>
          <w:szCs w:val="24"/>
        </w:rPr>
        <w:t>三公</w:t>
      </w:r>
      <w:r>
        <w:rPr>
          <w:rFonts w:hint="default" w:eastAsia="Times New Roman"/>
          <w:kern w:val="0"/>
          <w:sz w:val="32"/>
          <w:szCs w:val="24"/>
        </w:rPr>
        <w:t>”</w:t>
      </w:r>
      <w:r>
        <w:rPr>
          <w:rFonts w:hint="eastAsia" w:ascii="仿宋_GB2312" w:hAnsi="仿宋_GB2312" w:eastAsia="仿宋_GB2312"/>
          <w:kern w:val="0"/>
          <w:sz w:val="32"/>
          <w:szCs w:val="24"/>
        </w:rPr>
        <w:t>经费支出</w:t>
      </w:r>
      <w:r>
        <w:rPr>
          <w:rFonts w:hint="eastAsia" w:ascii="仿宋_GB2312" w:hAnsi="仿宋_GB2312" w:eastAsia="仿宋_GB2312"/>
          <w:sz w:val="32"/>
          <w:szCs w:val="24"/>
        </w:rPr>
        <w:t>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万元，预决算差异率0.00%，主要原因是：本年单位无此项支出。其中：因公出国（境）费全年预算数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万元，预决算差异率0.00%，主要原因是：本年单位无因公出国（境）费支出；公务用车购置费全年预算数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万元，预决算差异率0.00%，主要原因是：本年单位无此项支出；公务用车运行费全年预算数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万元，预决算差异率0.00%，主要原因是：本年单位无此项支出；公务接待费全年预算数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八、政府性基金预算财政拨款收入支出决算情况说明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我单位本年度无政府性基金预算财政拨款收入、支出及结转和结余，政府性基金预算财政拨款收入支出决算表为空表。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九、国有资本经营预算财政拨款收入支出决算情况说明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我单位本年度无国有资本经营预算财政拨款收入、支出及结转和结余，国有资本经营预算财政拨款收入支出决算表为空表。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十、其他重要事项的情况说明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 xml:space="preserve">（一）机关运行经费支出情况 </w:t>
      </w:r>
    </w:p>
    <w:p>
      <w:pPr>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2022年度乌鲁木齐市米东区第99小学单位公用经费57.34万元，比上年减少29.43万元，下降33.92%，主要原因是：本年会议费、培训费、劳务费、福利费等经费支出较上年减少。</w:t>
      </w:r>
    </w:p>
    <w:p>
      <w:pPr>
        <w:spacing w:beforeLines="0" w:afterLines="0" w:line="360" w:lineRule="auto"/>
        <w:ind w:firstLine="640"/>
        <w:rPr>
          <w:rFonts w:hint="default" w:eastAsia="Times New Roman"/>
          <w:sz w:val="32"/>
          <w:szCs w:val="24"/>
        </w:rPr>
      </w:pPr>
      <w:r>
        <w:rPr>
          <w:rFonts w:hint="eastAsia" w:ascii="黑体" w:hAnsi="黑体" w:eastAsia="黑体"/>
          <w:sz w:val="32"/>
          <w:szCs w:val="24"/>
        </w:rPr>
        <w:t>（</w:t>
      </w:r>
      <w:r>
        <w:rPr>
          <w:rFonts w:hint="eastAsia" w:ascii="黑体" w:hAnsi="黑体" w:eastAsia="黑体"/>
          <w:sz w:val="32"/>
          <w:szCs w:val="24"/>
          <w:lang w:val="zh-CN"/>
        </w:rPr>
        <w:t>二</w:t>
      </w:r>
      <w:r>
        <w:rPr>
          <w:rFonts w:hint="eastAsia" w:ascii="黑体" w:hAnsi="黑体" w:eastAsia="黑体"/>
          <w:sz w:val="32"/>
          <w:szCs w:val="24"/>
        </w:rPr>
        <w:t>）</w:t>
      </w:r>
      <w:r>
        <w:rPr>
          <w:rFonts w:hint="eastAsia" w:ascii="黑体" w:hAnsi="黑体" w:eastAsia="黑体"/>
          <w:sz w:val="32"/>
          <w:szCs w:val="24"/>
          <w:lang w:val="zh-CN"/>
        </w:rPr>
        <w:t>政府采购情况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2022年度政府采购支出总额2.91万元，其中：政府采购货物支出2.91万元、政府采购工程支出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万元、政府采购服务支出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授予中小企业合同金额2.91万元，占政府采购支出总额的100.00%，其中：授予小微企业合同金额2.91万元，占政府采购支出总额的100.00%。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（三）国有资产占用情况说明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截止2022年12月31日，</w:t>
      </w:r>
      <w:r>
        <w:rPr>
          <w:rFonts w:hint="eastAsia" w:ascii="仿宋_GB2312" w:hAnsi="仿宋_GB2312" w:eastAsia="仿宋_GB2312"/>
          <w:sz w:val="32"/>
          <w:szCs w:val="24"/>
        </w:rPr>
        <w:t>固定资产原值</w:t>
      </w:r>
      <w:r>
        <w:rPr>
          <w:rFonts w:hint="eastAsia" w:ascii="仿宋_GB2312" w:hAnsi="仿宋_GB2312" w:eastAsia="仿宋_GB2312"/>
          <w:kern w:val="0"/>
          <w:sz w:val="32"/>
          <w:szCs w:val="24"/>
        </w:rPr>
        <w:t>1,425.74</w:t>
      </w:r>
      <w:r>
        <w:rPr>
          <w:rFonts w:hint="eastAsia" w:ascii="仿宋_GB2312" w:hAnsi="仿宋_GB2312" w:eastAsia="仿宋_GB2312"/>
          <w:sz w:val="32"/>
          <w:szCs w:val="24"/>
        </w:rPr>
        <w:t>万元，</w:t>
      </w:r>
      <w:r>
        <w:rPr>
          <w:rFonts w:hint="eastAsia" w:ascii="仿宋_GB2312" w:hAnsi="仿宋_GB2312" w:eastAsia="仿宋_GB2312"/>
          <w:kern w:val="0"/>
          <w:sz w:val="32"/>
          <w:szCs w:val="24"/>
        </w:rPr>
        <w:t>房屋5,358.25平方米，价值895.91万元。车辆1辆，价值3.73万元，其中：副部（省）级及以上领导用车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辆、主要领导干部用车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辆、机要通信用车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辆、应急保障用车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辆、执法执勤用车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辆、特种专业技术用车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辆、离退休干部用车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辆、其他用车1辆，其他用车主要是：</w:t>
      </w:r>
      <w:r>
        <w:rPr>
          <w:rFonts w:hint="eastAsia" w:ascii="仿宋_GB2312" w:hAnsi="Verdana" w:eastAsia="仿宋_GB2312" w:cs="仿宋_GB2312"/>
          <w:sz w:val="32"/>
          <w:szCs w:val="32"/>
        </w:rPr>
        <w:t>巡逻车</w:t>
      </w:r>
      <w:r>
        <w:rPr>
          <w:rFonts w:hint="eastAsia" w:ascii="仿宋_GB2312" w:hAnsi="仿宋_GB2312" w:eastAsia="仿宋_GB2312"/>
          <w:kern w:val="0"/>
          <w:sz w:val="32"/>
          <w:szCs w:val="24"/>
        </w:rPr>
        <w:t>；单价100</w:t>
      </w:r>
      <w:r>
        <w:rPr>
          <w:rFonts w:hint="eastAsia" w:ascii="仿宋_GB2312" w:hAnsi="仿宋_GB2312" w:eastAsia="仿宋_GB2312"/>
          <w:sz w:val="32"/>
          <w:szCs w:val="24"/>
        </w:rPr>
        <w:t>万元（含）以上设备（不含车辆）</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台（套）。</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十一、预算绩效的情况说明</w:t>
      </w:r>
    </w:p>
    <w:p>
      <w:pPr>
        <w:pStyle w:val="4"/>
        <w:widowControl/>
        <w:shd w:val="clear" w:color="auto" w:fill="FFFFFF"/>
        <w:spacing w:beforeLines="0" w:afterLines="0" w:line="360" w:lineRule="auto"/>
        <w:ind w:firstLine="641"/>
        <w:rPr>
          <w:rFonts w:hint="default" w:ascii="仿宋_GB2312" w:hAnsi="仿宋_GB2312" w:eastAsia="仿宋_GB2312"/>
          <w:kern w:val="0"/>
          <w:sz w:val="32"/>
          <w:szCs w:val="24"/>
        </w:rPr>
      </w:pPr>
      <w:r>
        <w:rPr>
          <w:rFonts w:hint="eastAsia" w:ascii="仿宋_GB2312" w:hAnsi="仿宋_GB2312" w:eastAsia="仿宋_GB2312"/>
          <w:kern w:val="0"/>
          <w:sz w:val="32"/>
          <w:szCs w:val="24"/>
        </w:rPr>
        <w:t>根据预算绩效管理要求，我单位2022年度开展预算绩效评价项目3个，全年预算数89.01万元，全年执行数32.6万元。预算绩效管理取得的成效：一是项目资金得到有效监管；二是单位领导对项目资金的使用更加重视，使用更加规范化。发现的问题及原因：一是在对项目资金的重视情况下还未形成书面管理制度；二是</w:t>
      </w:r>
      <w:r>
        <w:rPr>
          <w:rFonts w:hint="eastAsia" w:ascii="仿宋_GB2312" w:hAnsi="Times New Roman" w:eastAsia="仿宋_GB2312" w:cs="仿宋_GB2312"/>
          <w:kern w:val="0"/>
          <w:sz w:val="32"/>
          <w:szCs w:val="32"/>
        </w:rPr>
        <w:t>进度与计划有误差，具有临时性、突发性，是实际计划不能按预算计划进行</w:t>
      </w:r>
      <w:r>
        <w:rPr>
          <w:rFonts w:hint="eastAsia" w:ascii="仿宋_GB2312" w:hAnsi="仿宋_GB2312" w:eastAsia="仿宋_GB2312"/>
          <w:kern w:val="0"/>
          <w:sz w:val="32"/>
          <w:szCs w:val="24"/>
        </w:rPr>
        <w:t>。下一步改进措施：一是协助相关人员尽快形成书面管理办法；二是</w:t>
      </w:r>
      <w:r>
        <w:rPr>
          <w:rFonts w:hint="eastAsia" w:ascii="仿宋_GB2312" w:hAnsi="Times New Roman" w:eastAsia="仿宋_GB2312" w:cs="仿宋_GB2312"/>
          <w:kern w:val="0"/>
          <w:sz w:val="32"/>
          <w:szCs w:val="32"/>
        </w:rPr>
        <w:t>由于项目具有突发性，执行项目时需要掌控全局，需要进一步建立健全工作机制，完善相关的内控制度</w:t>
      </w:r>
      <w:r>
        <w:rPr>
          <w:rFonts w:hint="eastAsia" w:ascii="仿宋_GB2312" w:hAnsi="仿宋_GB2312" w:eastAsia="仿宋_GB2312"/>
          <w:kern w:val="0"/>
          <w:sz w:val="32"/>
          <w:szCs w:val="24"/>
        </w:rPr>
        <w:t>。具体项目自</w:t>
      </w:r>
      <w:bookmarkStart w:id="0" w:name="_GoBack"/>
      <w:bookmarkEnd w:id="0"/>
      <w:r>
        <w:rPr>
          <w:rFonts w:hint="eastAsia" w:ascii="仿宋_GB2312" w:hAnsi="仿宋_GB2312" w:eastAsia="仿宋_GB2312"/>
          <w:kern w:val="0"/>
          <w:sz w:val="32"/>
          <w:szCs w:val="24"/>
        </w:rPr>
        <w:t>评情况附项目支出绩效自评表。</w:t>
      </w:r>
    </w:p>
    <w:tbl>
      <w:tblPr>
        <w:tblStyle w:val="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95"/>
        <w:gridCol w:w="700"/>
        <w:gridCol w:w="967"/>
        <w:gridCol w:w="537"/>
        <w:gridCol w:w="903"/>
        <w:gridCol w:w="487"/>
        <w:gridCol w:w="762"/>
        <w:gridCol w:w="763"/>
        <w:gridCol w:w="423"/>
        <w:gridCol w:w="491"/>
        <w:gridCol w:w="560"/>
        <w:gridCol w:w="397"/>
        <w:gridCol w:w="452"/>
        <w:gridCol w:w="7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8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212" w:type="pct"/>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【公用经费（乌财科教【2021】96号120号23号）提前下达2022城乡义务教育直达资金】项目通览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8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2064"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第99小学</w:t>
            </w:r>
          </w:p>
        </w:tc>
        <w:tc>
          <w:tcPr>
            <w:tcW w:w="66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478"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第99小学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87"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84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0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70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66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59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8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4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50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0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53.59</w:t>
            </w:r>
          </w:p>
        </w:tc>
        <w:tc>
          <w:tcPr>
            <w:tcW w:w="66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24.51</w:t>
            </w:r>
          </w:p>
        </w:tc>
        <w:tc>
          <w:tcPr>
            <w:tcW w:w="59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45.74%</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4.57分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8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4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50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c>
          <w:tcPr>
            <w:tcW w:w="70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53.59</w:t>
            </w:r>
          </w:p>
        </w:tc>
        <w:tc>
          <w:tcPr>
            <w:tcW w:w="66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24.51</w:t>
            </w:r>
          </w:p>
        </w:tc>
        <w:tc>
          <w:tcPr>
            <w:tcW w:w="59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8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4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50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0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9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8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4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50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0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9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459"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148"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459"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本项目通过缴纳公用暖气费，可改善我校办学硬件设施，有效改善校园环境，明显提高办学条件，推动义务教育均衡化发展。</w:t>
            </w:r>
          </w:p>
        </w:tc>
        <w:tc>
          <w:tcPr>
            <w:tcW w:w="2148"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该项目支付本单位学校安保服务费，部分支付维修学校设施，部分支付学校水电费用，未全额拨付，该项目改善我校办学硬件设施，有效改善校园环境，明显提高办学条件，推动义务教育均衡化发展。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2"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54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087"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430"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430"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516"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540"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661"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4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87"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1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4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61"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39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54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87"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学校供暖面积</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&gt;=4461平方米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4461平方米</w:t>
            </w:r>
          </w:p>
        </w:tc>
        <w:tc>
          <w:tcPr>
            <w:tcW w:w="51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4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4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87"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享受教学条件改善学生数</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&gt;=799人</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799人</w:t>
            </w:r>
          </w:p>
        </w:tc>
        <w:tc>
          <w:tcPr>
            <w:tcW w:w="51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4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4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87"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安保人员配置数量（人）</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&gt;=6人</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6人</w:t>
            </w:r>
          </w:p>
        </w:tc>
        <w:tc>
          <w:tcPr>
            <w:tcW w:w="51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4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4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087"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学校供暖覆盖率</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&gt;=100%</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4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4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087"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保安上岗率</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4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4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087"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项目完成时间</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=12个月</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12个月</w:t>
            </w:r>
          </w:p>
        </w:tc>
        <w:tc>
          <w:tcPr>
            <w:tcW w:w="51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4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4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87"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项目预算控制率</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45.74%</w:t>
            </w:r>
          </w:p>
        </w:tc>
        <w:tc>
          <w:tcPr>
            <w:tcW w:w="51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4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财政资金紧张，未拨付到位</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54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087"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1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4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6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4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087"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提升学生综合素质</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有效提升</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51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54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66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财政资金紧张，未拨付到位</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4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087"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1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4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6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4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087"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1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4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6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54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087"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学生满意度</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1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4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282"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51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4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88.57分</w:t>
            </w:r>
          </w:p>
        </w:tc>
        <w:tc>
          <w:tcPr>
            <w:tcW w:w="66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bl>
    <w:p>
      <w:pPr>
        <w:shd w:val="clear" w:color="auto" w:fill="FFFFFF"/>
        <w:spacing w:before="100" w:line="520" w:lineRule="exact"/>
        <w:ind w:left="118" w:firstLine="480"/>
        <w:rPr>
          <w:rFonts w:hint="default" w:eastAsia="Times New Roman"/>
          <w:color w:val="auto"/>
          <w:kern w:val="0"/>
          <w:sz w:val="24"/>
          <w:szCs w:val="24"/>
          <w:highlight w:val="white"/>
          <w:lang w:val="en-US"/>
        </w:rPr>
      </w:pPr>
    </w:p>
    <w:tbl>
      <w:tblPr>
        <w:tblStyle w:val="5"/>
        <w:tblW w:w="493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16"/>
        <w:gridCol w:w="711"/>
        <w:gridCol w:w="645"/>
        <w:gridCol w:w="892"/>
        <w:gridCol w:w="1152"/>
        <w:gridCol w:w="236"/>
        <w:gridCol w:w="795"/>
        <w:gridCol w:w="120"/>
        <w:gridCol w:w="645"/>
        <w:gridCol w:w="495"/>
        <w:gridCol w:w="195"/>
        <w:gridCol w:w="405"/>
        <w:gridCol w:w="690"/>
        <w:gridCol w:w="405"/>
        <w:gridCol w:w="8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5"/>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5"/>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0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298" w:type="pct"/>
            <w:gridSpan w:val="1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乌财科教[2022]45号--关于拨付2022年中小学和幼儿园自聘教师补助资金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0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1672"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第99小学</w:t>
            </w:r>
          </w:p>
        </w:tc>
        <w:tc>
          <w:tcPr>
            <w:tcW w:w="1286"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33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第99小学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01"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87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5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658"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65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34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62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4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01"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65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8"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31.46</w:t>
            </w:r>
          </w:p>
        </w:tc>
        <w:tc>
          <w:tcPr>
            <w:tcW w:w="65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6.50</w:t>
            </w:r>
          </w:p>
        </w:tc>
        <w:tc>
          <w:tcPr>
            <w:tcW w:w="34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2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20.66%</w:t>
            </w:r>
          </w:p>
        </w:tc>
        <w:tc>
          <w:tcPr>
            <w:tcW w:w="4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2.07分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01"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65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c>
          <w:tcPr>
            <w:tcW w:w="658"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31.46</w:t>
            </w:r>
          </w:p>
        </w:tc>
        <w:tc>
          <w:tcPr>
            <w:tcW w:w="65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6.5</w:t>
            </w:r>
            <w:r>
              <w:rPr>
                <w:rFonts w:hint="eastAsia" w:ascii="宋体" w:hAnsi="宋体" w:cs="宋体"/>
                <w:i w:val="0"/>
                <w:iCs w:val="0"/>
                <w:color w:val="000000"/>
                <w:kern w:val="0"/>
                <w:sz w:val="18"/>
                <w:szCs w:val="18"/>
                <w:u w:val="none"/>
                <w:lang w:val="en-US" w:eastAsia="zh-CN" w:bidi="ar"/>
              </w:rPr>
              <w:t>0</w:t>
            </w:r>
          </w:p>
        </w:tc>
        <w:tc>
          <w:tcPr>
            <w:tcW w:w="34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2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01"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65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58"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5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4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2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01"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65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58"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5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4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2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9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079"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625"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79"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聘用代课教师，弥补现有师资力量的不足，保障学校各项正常教学工作的完成；提高教师的工作效率，提高受益对象的满意度。</w:t>
            </w:r>
          </w:p>
        </w:tc>
        <w:tc>
          <w:tcPr>
            <w:tcW w:w="2625"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聘请代课教师，弥补了现有师资力量的不足，提高学校的教学质量,改善我校教师教师自身的教学水平和能力，充分调动教师学习的积极性，在教学改革中实现真正的成长。保障学校完成各项教学工作，但是由于财政资金紧张代课教师工资本年度只发放了10个月，剩余2个月未能按时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9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368"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304"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45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437"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394"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626"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712"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04"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5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2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1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9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40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4"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代课教师人数</w:t>
            </w:r>
          </w:p>
        </w:tc>
        <w:tc>
          <w:tcPr>
            <w:tcW w:w="45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=8人</w:t>
            </w:r>
          </w:p>
        </w:tc>
        <w:tc>
          <w:tcPr>
            <w:tcW w:w="43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8人</w:t>
            </w:r>
          </w:p>
        </w:tc>
        <w:tc>
          <w:tcPr>
            <w:tcW w:w="39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2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4"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同工同酬教师人数</w:t>
            </w:r>
          </w:p>
        </w:tc>
        <w:tc>
          <w:tcPr>
            <w:tcW w:w="45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=6人</w:t>
            </w:r>
          </w:p>
        </w:tc>
        <w:tc>
          <w:tcPr>
            <w:tcW w:w="43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6人</w:t>
            </w:r>
          </w:p>
        </w:tc>
        <w:tc>
          <w:tcPr>
            <w:tcW w:w="39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2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4"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资金发放准确性</w:t>
            </w:r>
          </w:p>
        </w:tc>
        <w:tc>
          <w:tcPr>
            <w:tcW w:w="45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3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39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2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71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由于财政资金紧张，未及时拨付资金，无法正常支付代课教师工资</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4"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项目完成时间</w:t>
            </w:r>
          </w:p>
        </w:tc>
        <w:tc>
          <w:tcPr>
            <w:tcW w:w="45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=12个月</w:t>
            </w:r>
          </w:p>
        </w:tc>
        <w:tc>
          <w:tcPr>
            <w:tcW w:w="43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10个月</w:t>
            </w:r>
          </w:p>
        </w:tc>
        <w:tc>
          <w:tcPr>
            <w:tcW w:w="39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2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1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由于财政资金紧张，未及时拨付资金，无法正常支付代课教师工资</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304"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项目预算控制率</w:t>
            </w:r>
          </w:p>
        </w:tc>
        <w:tc>
          <w:tcPr>
            <w:tcW w:w="45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&lt;=100%</w:t>
            </w:r>
          </w:p>
        </w:tc>
        <w:tc>
          <w:tcPr>
            <w:tcW w:w="43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20.66%</w:t>
            </w:r>
          </w:p>
        </w:tc>
        <w:tc>
          <w:tcPr>
            <w:tcW w:w="39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2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4"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2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1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4"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调动代课教师工作积极性，提高教学质量</w:t>
            </w:r>
          </w:p>
        </w:tc>
        <w:tc>
          <w:tcPr>
            <w:tcW w:w="45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有效提高</w:t>
            </w:r>
          </w:p>
        </w:tc>
        <w:tc>
          <w:tcPr>
            <w:tcW w:w="43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39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2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1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4"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2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1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304"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保证教学工作正常开展</w:t>
            </w:r>
          </w:p>
        </w:tc>
        <w:tc>
          <w:tcPr>
            <w:tcW w:w="45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长期保证</w:t>
            </w:r>
          </w:p>
        </w:tc>
        <w:tc>
          <w:tcPr>
            <w:tcW w:w="43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39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2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1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4"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学生满意度</w:t>
            </w:r>
          </w:p>
        </w:tc>
        <w:tc>
          <w:tcPr>
            <w:tcW w:w="45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43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39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2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266"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39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2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80.07分</w:t>
            </w:r>
          </w:p>
        </w:tc>
        <w:tc>
          <w:tcPr>
            <w:tcW w:w="7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bl>
    <w:p>
      <w:pPr>
        <w:shd w:val="clear" w:color="auto" w:fill="FFFFFF"/>
        <w:spacing w:before="100" w:line="520" w:lineRule="exact"/>
        <w:ind w:left="118" w:firstLine="480"/>
        <w:rPr>
          <w:rFonts w:hint="default" w:eastAsia="Times New Roman"/>
          <w:color w:val="auto"/>
          <w:kern w:val="0"/>
          <w:sz w:val="24"/>
          <w:szCs w:val="24"/>
          <w:highlight w:val="white"/>
          <w:lang w:val="en-US"/>
        </w:rPr>
      </w:pPr>
    </w:p>
    <w:tbl>
      <w:tblPr>
        <w:tblStyle w:val="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95"/>
        <w:gridCol w:w="702"/>
        <w:gridCol w:w="700"/>
        <w:gridCol w:w="853"/>
        <w:gridCol w:w="829"/>
        <w:gridCol w:w="514"/>
        <w:gridCol w:w="855"/>
        <w:gridCol w:w="677"/>
        <w:gridCol w:w="422"/>
        <w:gridCol w:w="184"/>
        <w:gridCol w:w="863"/>
        <w:gridCol w:w="156"/>
        <w:gridCol w:w="680"/>
        <w:gridCol w:w="7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9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209" w:type="pct"/>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学生补助---提前下达2022城乡义务教育直达资金（乌财科教【2021】96号和120号）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9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2117"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第99小学</w:t>
            </w:r>
          </w:p>
        </w:tc>
        <w:tc>
          <w:tcPr>
            <w:tcW w:w="61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47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第99小学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90"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87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77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61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59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7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40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9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7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4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7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3.96</w:t>
            </w:r>
          </w:p>
        </w:tc>
        <w:tc>
          <w:tcPr>
            <w:tcW w:w="61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1.59</w:t>
            </w:r>
          </w:p>
        </w:tc>
        <w:tc>
          <w:tcPr>
            <w:tcW w:w="59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7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40.15%</w:t>
            </w:r>
          </w:p>
        </w:tc>
        <w:tc>
          <w:tcPr>
            <w:tcW w:w="40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9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7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4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c>
          <w:tcPr>
            <w:tcW w:w="77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3.96</w:t>
            </w:r>
          </w:p>
        </w:tc>
        <w:tc>
          <w:tcPr>
            <w:tcW w:w="61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1.59</w:t>
            </w:r>
          </w:p>
        </w:tc>
        <w:tc>
          <w:tcPr>
            <w:tcW w:w="59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7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9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7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4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7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1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9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7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9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7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4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7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1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9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7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514"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092"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514"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我校贫困生资助管理专干根据贫困生资助管理平台，非寄宿生家庭困难生活补助标准，小学每生312.5元/学期，支付全年贫困生生活补助，可改善贫困生家庭经济条件，帮助贫困生顺利完成学业。</w:t>
            </w:r>
          </w:p>
        </w:tc>
        <w:tc>
          <w:tcPr>
            <w:tcW w:w="2092"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由于财政资金未拨付，该项目仅发放2022年上半学期贫困生补助，该项目的实施可改善学生生活水平，提高学生生活质量，小学标准为325.5元/学期</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39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239"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48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38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342"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575"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792"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239"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8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4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7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9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39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239"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发放贫困生补助</w:t>
            </w:r>
          </w:p>
        </w:tc>
        <w:tc>
          <w:tcPr>
            <w:tcW w:w="48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&gt;=47人</w:t>
            </w: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47人</w:t>
            </w:r>
          </w:p>
        </w:tc>
        <w:tc>
          <w:tcPr>
            <w:tcW w:w="34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239"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贫困生补助发放覆盖率</w:t>
            </w:r>
          </w:p>
        </w:tc>
        <w:tc>
          <w:tcPr>
            <w:tcW w:w="48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4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239"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享受补助时长</w:t>
            </w:r>
          </w:p>
        </w:tc>
        <w:tc>
          <w:tcPr>
            <w:tcW w:w="48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=2个学期</w:t>
            </w: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1个学期</w:t>
            </w:r>
          </w:p>
        </w:tc>
        <w:tc>
          <w:tcPr>
            <w:tcW w:w="34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7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9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由于财政资金未拨付，该项目仅发放2022年上半学期贫困生补助，第二学期未发放。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239"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享受补助标准</w:t>
            </w:r>
          </w:p>
        </w:tc>
        <w:tc>
          <w:tcPr>
            <w:tcW w:w="48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=312.50元/生/每学期</w:t>
            </w: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312.5元/生/每学期</w:t>
            </w:r>
          </w:p>
        </w:tc>
        <w:tc>
          <w:tcPr>
            <w:tcW w:w="34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239"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48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4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7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9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39"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保障学生正常教学生活</w:t>
            </w:r>
          </w:p>
        </w:tc>
        <w:tc>
          <w:tcPr>
            <w:tcW w:w="48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有效保障</w:t>
            </w: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34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7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9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239"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48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4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7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9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239"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解决非寄宿贫困学生困难</w:t>
            </w:r>
          </w:p>
        </w:tc>
        <w:tc>
          <w:tcPr>
            <w:tcW w:w="48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有效解决</w:t>
            </w: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34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7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9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39"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学生满意度</w:t>
            </w:r>
          </w:p>
        </w:tc>
        <w:tc>
          <w:tcPr>
            <w:tcW w:w="48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34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7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9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288"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34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7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79.02分</w:t>
            </w:r>
          </w:p>
        </w:tc>
        <w:tc>
          <w:tcPr>
            <w:tcW w:w="79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bl>
    <w:p>
      <w:pPr>
        <w:shd w:val="clear" w:color="auto" w:fill="FFFFFF"/>
        <w:spacing w:before="100" w:beforeLines="0" w:afterLines="0" w:line="520" w:lineRule="exact"/>
        <w:ind w:left="118" w:firstLine="480"/>
        <w:rPr>
          <w:rFonts w:hint="default" w:eastAsia="Times New Roman"/>
          <w:kern w:val="0"/>
          <w:sz w:val="24"/>
          <w:szCs w:val="24"/>
        </w:rPr>
      </w:pPr>
    </w:p>
    <w:p>
      <w:pPr>
        <w:shd w:val="clear" w:color="auto" w:fill="FFFFFF"/>
        <w:spacing w:before="100" w:beforeLines="0" w:after="240" w:afterLines="0"/>
        <w:jc w:val="center"/>
        <w:rPr>
          <w:rFonts w:hint="default" w:eastAsia="Times New Roman"/>
          <w:b/>
          <w:kern w:val="0"/>
          <w:sz w:val="28"/>
          <w:szCs w:val="24"/>
        </w:rPr>
      </w:pPr>
      <w:r>
        <w:rPr>
          <w:rFonts w:hint="eastAsia" w:ascii="黑体" w:hAnsi="黑体" w:eastAsia="黑体"/>
          <w:kern w:val="0"/>
          <w:sz w:val="32"/>
          <w:szCs w:val="24"/>
        </w:rPr>
        <w:t>第三部分 专业名词解释</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财政拨款收入：指同级财政当年拨付的资金。</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上级补助收入：指事业单位从主管部门和上级单位取得的非财政补助收入。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事业收入：指事业单位开展专业业务活动及其辅助活动所取得的收入。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经营收入：指事业单位在专业业务活动及其辅助活动之外开展非独立核算经营活动取得的收入。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附属单位上缴收入：指事业单位附属的独立核算单位按有关规定上缴的收入。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其他收入：指除上述“财政拨款收入”、“事业收入”、“经营收入”、“附属单位上缴收入”等之外取得的收入。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基本支出：指为保障机构正常运转、完成日常工作任务而发生的人员支出和公用支出。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项目支出：指在基本支出之外为完成特定行政任务和事业发展目标所发生的支出。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经营支出：指事业单位在专业业务活动及其辅助活动之外开展非独立核算经营活动发生的支出。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对附属单位补助支出：指事业单位发生的用非财政预算资金对附属单位的补助支出。</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机关运行经费：行政单位和参照公务员法管理的事业单位财政拨款基本支出中的公用经费支出。</w:t>
      </w:r>
    </w:p>
    <w:p>
      <w:pPr>
        <w:shd w:val="clear" w:color="auto" w:fill="FFFFFF"/>
        <w:spacing w:beforeLines="0" w:afterLines="0" w:line="360" w:lineRule="auto"/>
        <w:ind w:firstLine="640"/>
        <w:rPr>
          <w:rFonts w:hint="default" w:eastAsia="Times New Roman"/>
          <w:kern w:val="0"/>
          <w:sz w:val="32"/>
          <w:szCs w:val="24"/>
        </w:rPr>
      </w:pPr>
    </w:p>
    <w:p>
      <w:pPr>
        <w:shd w:val="clear" w:color="auto" w:fill="FFFFFF"/>
        <w:spacing w:before="100" w:beforeLines="0" w:after="240" w:afterLines="0"/>
        <w:jc w:val="center"/>
        <w:rPr>
          <w:rFonts w:hint="default" w:eastAsia="Times New Roman"/>
          <w:kern w:val="0"/>
          <w:sz w:val="32"/>
          <w:szCs w:val="24"/>
        </w:rPr>
      </w:pPr>
      <w:r>
        <w:rPr>
          <w:rFonts w:hint="default" w:ascii="黑体" w:hAnsi="黑体" w:eastAsia="黑体"/>
          <w:kern w:val="0"/>
          <w:sz w:val="32"/>
          <w:szCs w:val="24"/>
        </w:rPr>
        <w:br w:type="page"/>
      </w:r>
      <w:r>
        <w:rPr>
          <w:rFonts w:hint="eastAsia" w:ascii="黑体" w:hAnsi="黑体" w:eastAsia="黑体"/>
          <w:kern w:val="0"/>
          <w:sz w:val="32"/>
          <w:szCs w:val="24"/>
        </w:rPr>
        <w:t>第四部分 部门决算报表（见附表）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一、《收入支出决算总表》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二、《收入决算表》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三、《支出决算表》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四、《财政拨款收入支出决算总表》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五、《一般公共预算财政拨款支出决算表》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六、《一般公共预算财政拨款基本支出决算表》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七、《财政拨款“三公”经费支出决算表》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rPr>
        <w:t>八、《政府性基金预算财政拨款收入支出决算表》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lang w:val="zh-CN"/>
        </w:rPr>
        <w:t>九</w:t>
      </w:r>
      <w:r>
        <w:rPr>
          <w:rFonts w:hint="eastAsia" w:ascii="黑体" w:hAnsi="黑体" w:eastAsia="黑体"/>
          <w:sz w:val="32"/>
          <w:szCs w:val="24"/>
        </w:rPr>
        <w:t>、《国有资本经营预算财政拨款收入支出决算表》</w:t>
      </w: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0"/>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129D3742"/>
    <w:rsid w:val="1CF07765"/>
    <w:rsid w:val="6DDB63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iPriority="99" w:name="heading 1"/>
    <w:lsdException w:qFormat="1" w:uiPriority="99" w:name="heading 2"/>
    <w:lsdException w:qFormat="1" w:uiPriority="99" w:name="heading 3"/>
    <w:lsdException w:qFormat="1" w:uiPriority="99" w:name="heading 4"/>
    <w:lsdException w:qFormat="1" w:uiPriority="99" w:name="heading 5"/>
    <w:lsdException w:qFormat="1" w:uiPriority="99" w:name="heading 6"/>
    <w:lsdException w:qFormat="1" w:uiPriority="99" w:name="heading 7"/>
    <w:lsdException w:qFormat="1" w:uiPriority="99" w:name="heading 8"/>
    <w:lsdException w:qFormat="1" w:uiPriority="99"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iPriority="99" w:name="toc 1"/>
    <w:lsdException w:qFormat="1" w:uiPriority="99" w:name="toc 2"/>
    <w:lsdException w:qFormat="1" w:uiPriority="99" w:name="toc 3"/>
    <w:lsdException w:qFormat="1" w:uiPriority="99" w:name="toc 4"/>
    <w:lsdException w:qFormat="1" w:uiPriority="99" w:name="toc 5"/>
    <w:lsdException w:qFormat="1" w:uiPriority="99" w:name="toc 6"/>
    <w:lsdException w:qFormat="1" w:uiPriority="99" w:name="toc 7"/>
    <w:lsdException w:qFormat="1" w:uiPriority="99" w:name="toc 8"/>
    <w:lsdException w:qFormat="1" w:uiPriority="99" w:name="toc 9"/>
    <w:lsdException w:qFormat="1" w:uiPriority="99" w:name="Normal Indent"/>
    <w:lsdException w:qFormat="1" w:uiPriority="99" w:name="footnote text"/>
    <w:lsdException w:qFormat="1" w:uiPriority="99" w:name="annotation text"/>
    <w:lsdException w:uiPriority="99" w:semiHidden="0" w:name="header"/>
    <w:lsdException w:uiPriority="99" w:semiHidden="0" w:name="footer"/>
    <w:lsdException w:qFormat="1" w:uiPriority="99" w:name="index heading"/>
    <w:lsdException w:qFormat="1" w:uiPriority="99" w:name="caption"/>
    <w:lsdException w:qFormat="1" w:uiPriority="99" w:name="table of figures"/>
    <w:lsdException w:qFormat="1" w:uiPriority="99" w:name="envelope address"/>
    <w:lsdException w:qFormat="1" w:uiPriority="99" w:name="envelope return"/>
    <w:lsdException w:qFormat="1" w:uiPriority="99" w:name="footnote reference"/>
    <w:lsdException w:qFormat="1" w:uiPriority="99" w:name="annotation reference"/>
    <w:lsdException w:qFormat="1" w:uiPriority="99" w:name="line number"/>
    <w:lsdException w:qFormat="1" w:uiPriority="99"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iPriority="99" w:name="Title"/>
    <w:lsdException w:qFormat="1" w:uiPriority="99" w:name="Closing"/>
    <w:lsdException w:qFormat="1" w:uiPriority="99" w:name="Signature"/>
    <w:lsdException w:uiPriority="99" w:semiHidden="0"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iPriority="99"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name="Hyperlink"/>
    <w:lsdException w:qFormat="1" w:uiPriority="99" w:name="FollowedHyperlink"/>
    <w:lsdException w:qFormat="1" w:uiPriority="99" w:name="Strong"/>
    <w:lsdException w:qFormat="1" w:uiPriority="99" w:name="Emphasis"/>
    <w:lsdException w:qFormat="1" w:uiPriority="99" w:name="Document Map"/>
    <w:lsdException w:qFormat="1" w:uiPriority="99" w:name="Plain Text"/>
    <w:lsdException w:qFormat="1" w:uiPriority="99" w:name="E-mail Signature"/>
    <w:lsdException w:qFormat="1" w:uiPriority="0" w:semiHidden="0" w:name="Normal (Web)"/>
    <w:lsdException w:qFormat="1" w:uiPriority="99" w:name="HTML Acronym"/>
    <w:lsdException w:qFormat="1"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name="HTML Preformatted"/>
    <w:lsdException w:qFormat="1" w:uiPriority="99" w:name="HTML Sample"/>
    <w:lsdException w:qFormat="1" w:uiPriority="99" w:name="HTML Typewriter"/>
    <w:lsdException w:qFormat="1" w:uiPriority="99" w:name="HTML Variable"/>
    <w:lsdException w:qFormat="1" w:unhideWhenUsed="0" w:uiPriority="99" w:semiHidden="0" w:name="Normal Table"/>
    <w:lsdException w:qFormat="1" w:uiPriority="99" w:name="annotation subject"/>
    <w:lsdException w:unhideWhenUsed="0" w:uiPriority="99" w:semiHidden="0" w:name="Table Simple 1"/>
    <w:lsdException w:unhideWhenUsed="0" w:uiPriority="99" w:semiHidden="0" w:name="Table Simple 2"/>
    <w:lsdException w:unhideWhenUsed="0" w:uiPriority="99" w:semiHidden="0" w:name="Table Simple 3"/>
    <w:lsdException w:unhideWhenUsed="0" w:uiPriority="99" w:semiHidden="0" w:name="Table Classic 1"/>
    <w:lsdException w:unhideWhenUsed="0" w:uiPriority="99" w:semiHidden="0" w:name="Table Classic 2"/>
    <w:lsdException w:unhideWhenUsed="0" w:uiPriority="99" w:semiHidden="0" w:name="Table Classic 3"/>
    <w:lsdException w:unhideWhenUsed="0" w:uiPriority="99" w:semiHidden="0" w:name="Table Classic 4"/>
    <w:lsdException w:unhideWhenUsed="0" w:uiPriority="99" w:semiHidden="0" w:name="Table Colorful 1"/>
    <w:lsdException w:unhideWhenUsed="0" w:uiPriority="99" w:semiHidden="0" w:name="Table Colorful 2"/>
    <w:lsdException w:unhideWhenUsed="0" w:uiPriority="99" w:semiHidden="0" w:name="Table Colorful 3"/>
    <w:lsdException w:unhideWhenUsed="0" w:uiPriority="99" w:semiHidden="0" w:name="Table Columns 1"/>
    <w:lsdException w:unhideWhenUsed="0" w:uiPriority="99" w:semiHidden="0" w:name="Table Columns 2"/>
    <w:lsdException w:unhideWhenUsed="0" w:uiPriority="99" w:semiHidden="0" w:name="Table Columns 3"/>
    <w:lsdException w:unhideWhenUsed="0" w:uiPriority="99" w:semiHidden="0" w:name="Table Columns 4"/>
    <w:lsdException w:unhideWhenUsed="0" w:uiPriority="99" w:semiHidden="0" w:name="Table Columns 5"/>
    <w:lsdException w:unhideWhenUsed="0" w:uiPriority="99" w:semiHidden="0" w:name="Table Grid 1"/>
    <w:lsdException w:unhideWhenUsed="0" w:uiPriority="99" w:semiHidden="0" w:name="Table Grid 2"/>
    <w:lsdException w:unhideWhenUsed="0" w:uiPriority="99" w:semiHidden="0" w:name="Table Grid 3"/>
    <w:lsdException w:unhideWhenUsed="0" w:uiPriority="99" w:semiHidden="0" w:name="Table Grid 4"/>
    <w:lsdException w:unhideWhenUsed="0" w:uiPriority="99" w:semiHidden="0" w:name="Table Grid 5"/>
    <w:lsdException w:unhideWhenUsed="0" w:uiPriority="99" w:semiHidden="0" w:name="Table Grid 6"/>
    <w:lsdException w:unhideWhenUsed="0" w:uiPriority="99" w:semiHidden="0" w:name="Table Grid 7"/>
    <w:lsdException w:unhideWhenUsed="0" w:uiPriority="99" w:semiHidden="0" w:name="Table Grid 8"/>
    <w:lsdException w:unhideWhenUsed="0" w:uiPriority="99" w:semiHidden="0" w:name="Table List 1"/>
    <w:lsdException w:unhideWhenUsed="0" w:uiPriority="99" w:semiHidden="0" w:name="Table List 2"/>
    <w:lsdException w:unhideWhenUsed="0" w:uiPriority="99" w:semiHidden="0" w:name="Table List 3"/>
    <w:lsdException w:unhideWhenUsed="0" w:uiPriority="99" w:semiHidden="0" w:name="Table List 4"/>
    <w:lsdException w:unhideWhenUsed="0" w:uiPriority="99" w:semiHidden="0" w:name="Table List 5"/>
    <w:lsdException w:unhideWhenUsed="0" w:uiPriority="99" w:semiHidden="0" w:name="Table List 6"/>
    <w:lsdException w:unhideWhenUsed="0" w:uiPriority="99" w:semiHidden="0" w:name="Table List 7"/>
    <w:lsdException w:unhideWhenUsed="0" w:uiPriority="99" w:semiHidden="0" w:name="Table List 8"/>
    <w:lsdException w:unhideWhenUsed="0" w:uiPriority="99" w:semiHidden="0" w:name="Table 3D effects 1"/>
    <w:lsdException w:unhideWhenUsed="0" w:uiPriority="99" w:semiHidden="0" w:name="Table 3D effects 2"/>
    <w:lsdException w:unhideWhenUsed="0" w:uiPriority="99" w:semiHidden="0" w:name="Table 3D effects 3"/>
    <w:lsdException w:unhideWhenUsed="0" w:uiPriority="99" w:semiHidden="0" w:name="Table Contemporary"/>
    <w:lsdException w:unhideWhenUsed="0" w:uiPriority="99" w:semiHidden="0" w:name="Table Elegant"/>
    <w:lsdException w:unhideWhenUsed="0" w:uiPriority="99" w:semiHidden="0" w:name="Table Professional"/>
    <w:lsdException w:unhideWhenUsed="0" w:uiPriority="99" w:semiHidden="0" w:name="Table Subtle 1"/>
    <w:lsdException w:unhideWhenUsed="0" w:uiPriority="99" w:semiHidden="0" w:name="Table Subtle 2"/>
    <w:lsdException w:unhideWhenUsed="0" w:uiPriority="99" w:semiHidden="0" w:name="Table Web 1"/>
    <w:lsdException w:unhideWhenUsed="0" w:uiPriority="99" w:semiHidden="0" w:name="Table Web 2"/>
    <w:lsdException w:unhideWhenUsed="0" w:uiPriority="99" w:semiHidden="0" w:name="Table Web 3"/>
    <w:lsdException w:qFormat="1" w:uiPriority="99" w:name="Balloon Text"/>
    <w:lsdException w:unhideWhenUsed="0" w:uiPriority="9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spacing w:beforeLines="0" w:afterLines="0"/>
      <w:jc w:val="both"/>
    </w:pPr>
    <w:rPr>
      <w:rFonts w:hint="eastAsia" w:ascii="Times New Roman" w:hAnsi="Times New Roman" w:eastAsia="宋体" w:cs="Times New Roman"/>
      <w:kern w:val="2"/>
      <w:sz w:val="21"/>
      <w:szCs w:val="21"/>
      <w:lang w:val="en-US" w:eastAsia="zh-CN" w:bidi="ar-SA"/>
    </w:rPr>
  </w:style>
  <w:style w:type="character" w:default="1" w:styleId="6">
    <w:name w:val="Default Paragraph Font"/>
    <w:unhideWhenUsed/>
    <w:uiPriority w:val="99"/>
    <w:rPr>
      <w:rFonts w:hint="default"/>
      <w:sz w:val="24"/>
      <w:szCs w:val="24"/>
    </w:rPr>
  </w:style>
  <w:style w:type="table" w:default="1" w:styleId="5">
    <w:name w:val="Normal Table"/>
    <w:qFormat/>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spacing w:beforeLines="0" w:afterLines="0"/>
      <w:jc w:val="left"/>
    </w:pPr>
    <w:rPr>
      <w:rFonts w:hint="eastAsia"/>
      <w:sz w:val="18"/>
      <w:szCs w:val="18"/>
    </w:rPr>
  </w:style>
  <w:style w:type="paragraph" w:styleId="3">
    <w:name w:val="header"/>
    <w:basedOn w:val="1"/>
    <w:link w:val="7"/>
    <w:unhideWhenUsed/>
    <w:uiPriority w:val="99"/>
    <w:pPr>
      <w:tabs>
        <w:tab w:val="center" w:pos="4153"/>
        <w:tab w:val="right" w:pos="8306"/>
      </w:tabs>
      <w:snapToGrid w:val="0"/>
      <w:spacing w:beforeLines="0" w:afterLines="0"/>
      <w:jc w:val="center"/>
    </w:pPr>
    <w:rPr>
      <w:rFonts w:hint="eastAsia"/>
      <w:sz w:val="18"/>
      <w:szCs w:val="18"/>
    </w:rPr>
  </w:style>
  <w:style w:type="paragraph" w:styleId="4">
    <w:name w:val="Normal (Web)"/>
    <w:basedOn w:val="1"/>
    <w:unhideWhenUsed/>
    <w:qFormat/>
    <w:uiPriority w:val="0"/>
    <w:pPr>
      <w:widowControl w:val="0"/>
      <w:spacing w:beforeLines="0" w:afterLines="0"/>
    </w:pPr>
    <w:rPr>
      <w:rFonts w:hint="eastAsia" w:ascii="Calibri" w:hAnsi="Calibri"/>
      <w:sz w:val="24"/>
      <w:szCs w:val="24"/>
    </w:rPr>
  </w:style>
  <w:style w:type="character" w:customStyle="1" w:styleId="7">
    <w:name w:val="页眉 字符"/>
    <w:basedOn w:val="6"/>
    <w:link w:val="3"/>
    <w:unhideWhenUsed/>
    <w:qFormat/>
    <w:uiPriority w:val="99"/>
    <w:rPr>
      <w:rFonts w:hint="default" w:cs="Times New Roman"/>
      <w:sz w:val="18"/>
      <w:szCs w:val="18"/>
    </w:rPr>
  </w:style>
  <w:style w:type="character" w:customStyle="1" w:styleId="8">
    <w:name w:val="页脚 字符"/>
    <w:basedOn w:val="6"/>
    <w:link w:val="2"/>
    <w:unhideWhenUsed/>
    <w:qFormat/>
    <w:uiPriority w:val="99"/>
    <w:rPr>
      <w:rFonts w:hint="default"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18</Pages>
  <Words>6964</Words>
  <Characters>7847</Characters>
  <TotalTime>9</TotalTime>
  <ScaleCrop>false</ScaleCrop>
  <LinksUpToDate>false</LinksUpToDate>
  <CharactersWithSpaces>7859</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2023-08-24T03:23:00Z</dcterms:created>
  <dc:creator>asus</dc:creator>
  <cp:lastModifiedBy>逐梦令</cp:lastModifiedBy>
  <dcterms:modified xsi:type="dcterms:W3CDTF">2023-08-31T10:19:16Z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36508372F09D4764AB9AD6BEF971FA7F_13</vt:lpwstr>
  </property>
</Properties>
</file>