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beforeLines="0" w:after="240" w:afterLines="0"/>
        <w:jc w:val="center"/>
        <w:rPr>
          <w:rFonts w:hint="default" w:eastAsia="Times New Roman"/>
          <w:kern w:val="36"/>
          <w:sz w:val="40"/>
          <w:szCs w:val="24"/>
          <w:lang w:val="zh-CN"/>
        </w:rPr>
      </w:pP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jc w:val="center"/>
        <w:rPr>
          <w:rFonts w:hint="default" w:ascii="方正小标宋_GBK" w:hAnsi="方正小标宋_GBK" w:eastAsia="方正小标宋_GBK"/>
          <w:sz w:val="44"/>
          <w:szCs w:val="24"/>
        </w:rPr>
      </w:pPr>
      <w:r>
        <w:rPr>
          <w:rFonts w:hint="eastAsia" w:ascii="方正小标宋_GBK" w:hAnsi="方正小标宋_GBK" w:eastAsia="方正小标宋_GBK"/>
          <w:sz w:val="44"/>
          <w:szCs w:val="24"/>
        </w:rPr>
        <w:t>乌鲁木齐市米东区第六十三中学</w:t>
      </w:r>
    </w:p>
    <w:p>
      <w:pPr>
        <w:spacing w:beforeLines="0" w:afterLines="0"/>
        <w:jc w:val="center"/>
        <w:rPr>
          <w:rFonts w:hint="default" w:eastAsia="Times New Roman"/>
          <w:kern w:val="36"/>
          <w:sz w:val="40"/>
          <w:szCs w:val="24"/>
          <w:lang w:val="zh-CN"/>
        </w:rPr>
      </w:pPr>
      <w:r>
        <w:rPr>
          <w:rFonts w:hint="eastAsia" w:ascii="方正小标宋_GBK" w:hAnsi="方正小标宋_GBK" w:eastAsia="方正小标宋_GBK"/>
          <w:sz w:val="44"/>
          <w:szCs w:val="24"/>
        </w:rPr>
        <w:t>2022年度部门决算公开说明</w:t>
      </w: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line="540" w:lineRule="exact"/>
        <w:jc w:val="center"/>
        <w:rPr>
          <w:rFonts w:hint="default" w:eastAsia="Times New Roman"/>
          <w:b/>
          <w:kern w:val="0"/>
          <w:sz w:val="24"/>
          <w:szCs w:val="24"/>
        </w:rPr>
      </w:pPr>
      <w:r>
        <w:rPr>
          <w:rFonts w:hint="default" w:eastAsia="Times New Roman"/>
          <w:b/>
          <w:kern w:val="36"/>
          <w:sz w:val="36"/>
          <w:szCs w:val="24"/>
        </w:rPr>
        <w:br w:type="page"/>
      </w:r>
      <w:r>
        <w:rPr>
          <w:rFonts w:hint="eastAsia" w:ascii="仿宋_GB2312" w:hAnsi="仿宋_GB2312" w:eastAsia="仿宋_GB2312"/>
          <w:b/>
          <w:kern w:val="0"/>
          <w:sz w:val="36"/>
          <w:szCs w:val="24"/>
        </w:rPr>
        <w:t>目  录</w:t>
      </w:r>
    </w:p>
    <w:p>
      <w:pPr>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第一部分 单位概况</w:t>
      </w:r>
    </w:p>
    <w:p>
      <w:pPr>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一、主要职能</w:t>
      </w:r>
    </w:p>
    <w:p>
      <w:pPr>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二、</w:t>
      </w:r>
      <w:r>
        <w:rPr>
          <w:rFonts w:hint="eastAsia" w:ascii="仿宋_GB2312" w:hAnsi="仿宋_GB2312" w:eastAsia="仿宋_GB2312"/>
          <w:sz w:val="32"/>
          <w:szCs w:val="24"/>
        </w:rPr>
        <w:t>机构设置及人员情况</w:t>
      </w:r>
    </w:p>
    <w:p>
      <w:pPr>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第二部分 部门决算情况说明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一、收入支出决算总体情况说明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四、财政拨款收入支出决算总体情况说明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rPr>
        <w:t>收入支出决算情况说明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十、其他重要事项的情况说明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（一）机关运行经费支出情况</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（二）政府采购情况</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（三）国有资产占用情况说明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rPr>
        <w:t>、预算绩效的情况说明</w:t>
      </w:r>
    </w:p>
    <w:p>
      <w:pPr>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第三部分 专业名词解释</w:t>
      </w:r>
    </w:p>
    <w:p>
      <w:pPr>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第四部分 部</w:t>
      </w:r>
      <w:r>
        <w:rPr>
          <w:rFonts w:hint="eastAsia" w:ascii="仿宋_GB2312" w:hAnsi="仿宋_GB2312" w:eastAsia="仿宋_GB2312"/>
          <w:b/>
          <w:sz w:val="32"/>
          <w:szCs w:val="24"/>
        </w:rPr>
        <w:t>门决算报表（见附表）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八、《政府性基金预算财政拨款收入支出决算表》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九、《国有资本经营预算财政拨款收入支出决算表》</w:t>
      </w:r>
    </w:p>
    <w:p>
      <w:pPr>
        <w:spacing w:beforeLines="0" w:afterLines="0" w:line="540" w:lineRule="exact"/>
        <w:ind w:firstLine="640"/>
        <w:rPr>
          <w:rFonts w:hint="default" w:eastAsia="Times New Roman"/>
          <w:b/>
          <w:kern w:val="0"/>
          <w:sz w:val="28"/>
          <w:szCs w:val="24"/>
        </w:rPr>
      </w:pPr>
    </w:p>
    <w:p>
      <w:pPr>
        <w:shd w:val="clear" w:color="auto" w:fill="FFFFFF"/>
        <w:spacing w:beforeLines="0" w:afterLines="0" w:line="360" w:lineRule="auto"/>
        <w:jc w:val="center"/>
        <w:rPr>
          <w:rFonts w:hint="default" w:eastAsia="Times New Roman"/>
          <w:kern w:val="0"/>
          <w:sz w:val="32"/>
          <w:szCs w:val="24"/>
        </w:rPr>
      </w:pPr>
    </w:p>
    <w:p>
      <w:pPr>
        <w:shd w:val="clear" w:color="auto" w:fill="FFFFFF"/>
        <w:spacing w:beforeLines="0" w:afterLines="0" w:line="360" w:lineRule="auto"/>
        <w:jc w:val="center"/>
        <w:rPr>
          <w:rFonts w:hint="default" w:ascii="黑体" w:hAnsi="黑体" w:eastAsia="黑体"/>
          <w:kern w:val="0"/>
          <w:sz w:val="32"/>
          <w:szCs w:val="24"/>
          <w:lang w:val="ar-SA"/>
        </w:rPr>
      </w:pPr>
      <w:r>
        <w:rPr>
          <w:rFonts w:hint="default" w:eastAsia="Times New Roman"/>
          <w:kern w:val="0"/>
          <w:sz w:val="32"/>
          <w:szCs w:val="24"/>
        </w:rPr>
        <w:br w:type="page"/>
      </w:r>
      <w:r>
        <w:rPr>
          <w:rFonts w:hint="eastAsia" w:ascii="黑体" w:hAnsi="黑体" w:eastAsia="黑体"/>
          <w:kern w:val="0"/>
          <w:sz w:val="32"/>
          <w:szCs w:val="24"/>
        </w:rPr>
        <w:t>第一部分 单位概况</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一、主要职能</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1.全面贯彻党和国家的路线、方针、政策、法规，全面实施素质教育，认真执行上级党委和教育行政部门的指示，依法治校，努力提高学校的办学水平和办学效益。</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2.全面规划，统一安排学校的各项工作，组织制定和实施学校发展规划、工作计划。</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3.负责健全学校行政指挥系统，健全各项规章制度，保证学校正常的工作秩序。</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4.按照学校经费使用计划，负责教育教学及办公用品、维修设备的采购、发放和管理工作。</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5.根据预算安排，拟定收支计划，并组织实施、管理和监督。</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6.规范会计行为；组织执行国家统一的会计制度和自治区相关补充规定；组织管理会计人员的业务培训。</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乌鲁木齐市米东区第六十三中学2022年度，实有人数169人，其中：在职人员78人，离休人员</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人，退休人员91人。</w:t>
      </w:r>
    </w:p>
    <w:p>
      <w:pPr>
        <w:shd w:val="clear" w:color="auto" w:fill="FFFFFF"/>
        <w:spacing w:beforeLines="0" w:afterLines="0" w:line="360" w:lineRule="auto"/>
        <w:ind w:firstLine="640"/>
        <w:rPr>
          <w:rFonts w:hint="default" w:eastAsia="Times New Roman"/>
          <w:kern w:val="0"/>
          <w:sz w:val="24"/>
          <w:szCs w:val="24"/>
          <w:lang w:val="ar-SA"/>
        </w:rPr>
      </w:pPr>
      <w:r>
        <w:rPr>
          <w:rFonts w:hint="eastAsia" w:ascii="仿宋_GB2312" w:hAnsi="仿宋_GB2312" w:eastAsia="仿宋_GB2312"/>
          <w:kern w:val="0"/>
          <w:sz w:val="32"/>
          <w:szCs w:val="24"/>
        </w:rPr>
        <w:t>从部门决算单位构成看，乌鲁木齐市米东区第六十三中学部门决算包括：乌鲁木齐市米东区第六十三中学</w:t>
      </w:r>
      <w:r>
        <w:rPr>
          <w:rFonts w:hint="eastAsia" w:ascii="仿宋_GB2312" w:hAnsi="仿宋_GB2312" w:eastAsia="仿宋_GB2312"/>
          <w:kern w:val="0"/>
          <w:sz w:val="32"/>
          <w:szCs w:val="24"/>
          <w:lang w:val="zh-CN"/>
        </w:rPr>
        <w:t>决算。单位无下属预算单位，下设</w:t>
      </w:r>
      <w:r>
        <w:rPr>
          <w:rFonts w:hint="eastAsia" w:ascii="宋体" w:hAnsi="宋体" w:cs="宋体"/>
          <w:kern w:val="0"/>
          <w:sz w:val="32"/>
          <w:szCs w:val="32"/>
          <w:lang w:val="zh-CN"/>
        </w:rPr>
        <w:t>11</w:t>
      </w:r>
      <w:r>
        <w:rPr>
          <w:rFonts w:hint="eastAsia" w:ascii="仿宋_GB2312" w:hAnsi="仿宋_GB2312" w:eastAsia="仿宋_GB2312"/>
          <w:kern w:val="0"/>
          <w:sz w:val="32"/>
          <w:szCs w:val="24"/>
          <w:lang w:val="zh-CN"/>
        </w:rPr>
        <w:t>个科室，分别是：</w:t>
      </w:r>
      <w:r>
        <w:rPr>
          <w:rFonts w:hint="eastAsia" w:ascii="仿宋_GB2312" w:hAnsi="仿宋_GB2312" w:eastAsia="仿宋_GB2312"/>
          <w:kern w:val="0"/>
          <w:sz w:val="32"/>
          <w:szCs w:val="24"/>
        </w:rPr>
        <w:t>小学教务处、小学教研室、中学教研室、中学教务处、信息办、安全办、后勤处、德育处、财务室、党政办、工会处</w:t>
      </w:r>
      <w:r>
        <w:rPr>
          <w:rFonts w:hint="eastAsia" w:ascii="仿宋_GB2312" w:hAnsi="仿宋_GB2312" w:eastAsia="仿宋_GB2312"/>
          <w:kern w:val="0"/>
          <w:sz w:val="32"/>
          <w:szCs w:val="24"/>
          <w:lang w:val="zh-CN"/>
        </w:rPr>
        <w:t>。</w:t>
      </w:r>
    </w:p>
    <w:p>
      <w:pPr>
        <w:shd w:val="clear" w:color="auto" w:fill="FFFFFF"/>
        <w:spacing w:before="100" w:beforeLines="0" w:after="240" w:afterLines="0"/>
        <w:jc w:val="center"/>
        <w:rPr>
          <w:rFonts w:hint="default" w:eastAsia="Times New Roman"/>
          <w:kern w:val="0"/>
          <w:sz w:val="28"/>
          <w:szCs w:val="24"/>
          <w:lang w:val="ar-SA"/>
        </w:rPr>
      </w:pPr>
      <w:r>
        <w:rPr>
          <w:rFonts w:hint="eastAsia" w:ascii="黑体" w:hAnsi="黑体" w:eastAsia="黑体"/>
          <w:kern w:val="0"/>
          <w:sz w:val="32"/>
          <w:szCs w:val="24"/>
        </w:rPr>
        <w:t>第二部分 部门决算情况说明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2,029.58万元，</w:t>
      </w:r>
      <w:r>
        <w:rPr>
          <w:rFonts w:hint="eastAsia" w:ascii="仿宋_GB2312" w:hAnsi="仿宋_GB2312" w:eastAsia="仿宋_GB2312"/>
          <w:sz w:val="32"/>
          <w:szCs w:val="24"/>
        </w:rPr>
        <w:t>其中：本年收入合计</w:t>
      </w:r>
      <w:r>
        <w:rPr>
          <w:rFonts w:hint="eastAsia" w:ascii="仿宋_GB2312" w:hAnsi="仿宋_GB2312" w:eastAsia="仿宋_GB2312"/>
          <w:kern w:val="0"/>
          <w:sz w:val="32"/>
          <w:szCs w:val="24"/>
        </w:rPr>
        <w:t>1,962.14</w:t>
      </w:r>
      <w:r>
        <w:rPr>
          <w:rFonts w:hint="eastAsia" w:ascii="仿宋_GB2312" w:hAnsi="仿宋_GB2312" w:eastAsia="仿宋_GB2312"/>
          <w:sz w:val="32"/>
          <w:szCs w:val="24"/>
        </w:rPr>
        <w:t>万元，使用非财政拨款结余</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万元，年初结转和结余</w:t>
      </w:r>
      <w:r>
        <w:rPr>
          <w:rFonts w:hint="eastAsia" w:ascii="仿宋_GB2312" w:hAnsi="仿宋_GB2312" w:eastAsia="仿宋_GB2312"/>
          <w:kern w:val="0"/>
          <w:sz w:val="32"/>
          <w:szCs w:val="24"/>
        </w:rPr>
        <w:t>67.44</w:t>
      </w:r>
      <w:r>
        <w:rPr>
          <w:rFonts w:hint="eastAsia" w:ascii="仿宋_GB2312" w:hAnsi="仿宋_GB2312" w:eastAsia="仿宋_GB2312"/>
          <w:sz w:val="32"/>
          <w:szCs w:val="24"/>
        </w:rPr>
        <w:t>万元。收入总计</w:t>
      </w:r>
      <w:r>
        <w:rPr>
          <w:rFonts w:hint="eastAsia" w:ascii="仿宋_GB2312" w:hAnsi="仿宋_GB2312" w:eastAsia="仿宋_GB2312"/>
          <w:kern w:val="0"/>
          <w:sz w:val="32"/>
          <w:szCs w:val="24"/>
        </w:rPr>
        <w:t>与上年相比，增加164.71万元，增长8.83%，主要原因是</w:t>
      </w:r>
      <w:r>
        <w:rPr>
          <w:rFonts w:hint="eastAsia" w:ascii="仿宋_GB2312" w:hAnsi="仿宋_GB2312" w:eastAsia="仿宋_GB2312"/>
          <w:kern w:val="0"/>
          <w:sz w:val="32"/>
          <w:szCs w:val="24"/>
          <w:lang w:eastAsia="zh-CN"/>
        </w:rPr>
        <w:t>：</w:t>
      </w:r>
      <w:r>
        <w:rPr>
          <w:rFonts w:hint="eastAsia" w:ascii="仿宋_GB2312" w:hAnsi="仿宋_GB2312" w:eastAsia="仿宋_GB2312"/>
          <w:kern w:val="0"/>
          <w:sz w:val="32"/>
          <w:szCs w:val="24"/>
        </w:rPr>
        <w:t>本年单位新增课后服务费项目收入；在职人员工资基数上调，人员经费类相关收入增加，收入较上年有所增长。</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sz w:val="32"/>
          <w:szCs w:val="24"/>
        </w:rPr>
        <w:t>本年支出总计</w:t>
      </w:r>
      <w:r>
        <w:rPr>
          <w:rFonts w:hint="eastAsia" w:ascii="仿宋_GB2312" w:hAnsi="仿宋_GB2312" w:eastAsia="仿宋_GB2312"/>
          <w:kern w:val="0"/>
          <w:sz w:val="32"/>
          <w:szCs w:val="24"/>
        </w:rPr>
        <w:t>2,029.58万元，</w:t>
      </w:r>
      <w:r>
        <w:rPr>
          <w:rFonts w:hint="eastAsia" w:ascii="仿宋_GB2312" w:hAnsi="仿宋_GB2312" w:eastAsia="仿宋_GB2312"/>
          <w:sz w:val="32"/>
          <w:szCs w:val="24"/>
        </w:rPr>
        <w:t>其中：本年支出合计</w:t>
      </w:r>
      <w:r>
        <w:rPr>
          <w:rFonts w:hint="eastAsia" w:ascii="仿宋_GB2312" w:hAnsi="仿宋_GB2312" w:eastAsia="仿宋_GB2312"/>
          <w:kern w:val="0"/>
          <w:sz w:val="32"/>
          <w:szCs w:val="24"/>
        </w:rPr>
        <w:t>1,868.45</w:t>
      </w:r>
      <w:r>
        <w:rPr>
          <w:rFonts w:hint="eastAsia" w:ascii="仿宋_GB2312" w:hAnsi="仿宋_GB2312" w:eastAsia="仿宋_GB2312"/>
          <w:sz w:val="32"/>
          <w:szCs w:val="24"/>
        </w:rPr>
        <w:t>万元，结余分配</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万元，年末结转和结余</w:t>
      </w:r>
      <w:r>
        <w:rPr>
          <w:rFonts w:hint="eastAsia" w:ascii="仿宋_GB2312" w:hAnsi="仿宋_GB2312" w:eastAsia="仿宋_GB2312"/>
          <w:kern w:val="0"/>
          <w:sz w:val="32"/>
          <w:szCs w:val="24"/>
        </w:rPr>
        <w:t>161.13</w:t>
      </w:r>
      <w:r>
        <w:rPr>
          <w:rFonts w:hint="eastAsia" w:ascii="仿宋_GB2312" w:hAnsi="仿宋_GB2312" w:eastAsia="仿宋_GB2312"/>
          <w:sz w:val="32"/>
          <w:szCs w:val="24"/>
        </w:rPr>
        <w:t>万元。支出总计</w:t>
      </w:r>
      <w:r>
        <w:rPr>
          <w:rFonts w:hint="eastAsia" w:ascii="仿宋_GB2312" w:hAnsi="仿宋_GB2312" w:eastAsia="仿宋_GB2312"/>
          <w:kern w:val="0"/>
          <w:sz w:val="32"/>
          <w:szCs w:val="24"/>
        </w:rPr>
        <w:t>与上年相比，增加164.71万元，增长8.83%，主要原因是：本年单位新增课后服务费项目；在职人员工资基数上调，人员经费类相关</w:t>
      </w:r>
      <w:r>
        <w:rPr>
          <w:rFonts w:hint="eastAsia" w:ascii="仿宋_GB2312" w:hAnsi="仿宋_GB2312" w:eastAsia="仿宋_GB2312"/>
          <w:kern w:val="0"/>
          <w:sz w:val="32"/>
          <w:szCs w:val="24"/>
          <w:lang w:val="en-US" w:eastAsia="zh-CN"/>
        </w:rPr>
        <w:t>支出</w:t>
      </w:r>
      <w:r>
        <w:rPr>
          <w:rFonts w:hint="eastAsia" w:ascii="仿宋_GB2312" w:hAnsi="仿宋_GB2312" w:eastAsia="仿宋_GB2312"/>
          <w:kern w:val="0"/>
          <w:sz w:val="32"/>
          <w:szCs w:val="24"/>
        </w:rPr>
        <w:t>增加，故支出较上年有所增长。</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二、收入决算情况说明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2022年度本年收入1,962.14万元，其中：财政拨款收入1,843.95万元，占93.98%；上级补助收入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万元，占0.00%；事业收入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万元，占0.00%；附属单位上缴收入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万元，占0.00%；其他收入118.19万元，占6.02%。</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三、支出决算情况说明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2022年度本年支出1,868.45万元，其中：基本支出1,713.25万元，占91.69%；项目支出155.20万元，占8.31%；上缴上级支出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万元，占0.00%；对附属单位补助支出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1,911.39万元，</w:t>
      </w:r>
      <w:r>
        <w:rPr>
          <w:rFonts w:hint="eastAsia" w:ascii="仿宋_GB2312" w:hAnsi="仿宋_GB2312" w:eastAsia="仿宋_GB2312"/>
          <w:sz w:val="32"/>
          <w:szCs w:val="24"/>
        </w:rPr>
        <w:t>其中：年初财政拨款结转和结余</w:t>
      </w:r>
      <w:r>
        <w:rPr>
          <w:rFonts w:hint="eastAsia" w:ascii="仿宋_GB2312" w:hAnsi="仿宋_GB2312" w:eastAsia="仿宋_GB2312"/>
          <w:kern w:val="0"/>
          <w:sz w:val="32"/>
          <w:szCs w:val="24"/>
        </w:rPr>
        <w:t>67.44</w:t>
      </w:r>
      <w:r>
        <w:rPr>
          <w:rFonts w:hint="eastAsia" w:ascii="仿宋_GB2312" w:hAnsi="仿宋_GB2312" w:eastAsia="仿宋_GB2312"/>
          <w:sz w:val="32"/>
          <w:szCs w:val="24"/>
        </w:rPr>
        <w:t>万元，财政拨款本年收入</w:t>
      </w:r>
      <w:r>
        <w:rPr>
          <w:rFonts w:hint="eastAsia" w:ascii="仿宋_GB2312" w:hAnsi="仿宋_GB2312" w:eastAsia="仿宋_GB2312"/>
          <w:kern w:val="0"/>
          <w:sz w:val="32"/>
          <w:szCs w:val="24"/>
        </w:rPr>
        <w:t>1,843.95</w:t>
      </w:r>
      <w:r>
        <w:rPr>
          <w:rFonts w:hint="eastAsia" w:ascii="仿宋_GB2312" w:hAnsi="仿宋_GB2312" w:eastAsia="仿宋_GB2312"/>
          <w:sz w:val="32"/>
          <w:szCs w:val="24"/>
        </w:rPr>
        <w:t>万元。财政拨款收入总计</w:t>
      </w:r>
      <w:r>
        <w:rPr>
          <w:rFonts w:hint="eastAsia" w:ascii="仿宋_GB2312" w:hAnsi="仿宋_GB2312" w:eastAsia="仿宋_GB2312"/>
          <w:kern w:val="0"/>
          <w:sz w:val="32"/>
          <w:szCs w:val="24"/>
        </w:rPr>
        <w:t>与上年相比，增加46.52万元，增长2.49%，主要原因是：本年单位在职人员工资基数上调，人员经费类相关收入增加，故财政拨款收入较上年有所增长。</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1,911.39万元，</w:t>
      </w:r>
      <w:r>
        <w:rPr>
          <w:rFonts w:hint="eastAsia" w:ascii="仿宋_GB2312" w:hAnsi="仿宋_GB2312" w:eastAsia="仿宋_GB2312"/>
          <w:sz w:val="32"/>
          <w:szCs w:val="24"/>
        </w:rPr>
        <w:t>其中：年末财政拨款结转和结余</w:t>
      </w:r>
      <w:r>
        <w:rPr>
          <w:rFonts w:hint="eastAsia" w:ascii="仿宋_GB2312" w:hAnsi="仿宋_GB2312" w:eastAsia="仿宋_GB2312"/>
          <w:kern w:val="0"/>
          <w:sz w:val="32"/>
          <w:szCs w:val="24"/>
        </w:rPr>
        <w:t>99.60</w:t>
      </w:r>
      <w:r>
        <w:rPr>
          <w:rFonts w:hint="eastAsia" w:ascii="仿宋_GB2312" w:hAnsi="仿宋_GB2312" w:eastAsia="仿宋_GB2312"/>
          <w:sz w:val="32"/>
          <w:szCs w:val="24"/>
        </w:rPr>
        <w:t>万元，财政拨款本年支出</w:t>
      </w:r>
      <w:r>
        <w:rPr>
          <w:rFonts w:hint="eastAsia" w:ascii="仿宋_GB2312" w:hAnsi="仿宋_GB2312" w:eastAsia="仿宋_GB2312"/>
          <w:kern w:val="0"/>
          <w:sz w:val="32"/>
          <w:szCs w:val="24"/>
        </w:rPr>
        <w:t>1,811.79</w:t>
      </w:r>
      <w:r>
        <w:rPr>
          <w:rFonts w:hint="eastAsia" w:ascii="仿宋_GB2312" w:hAnsi="仿宋_GB2312" w:eastAsia="仿宋_GB2312"/>
          <w:sz w:val="32"/>
          <w:szCs w:val="24"/>
        </w:rPr>
        <w:t>万元。财政拨款支出总计</w:t>
      </w:r>
      <w:r>
        <w:rPr>
          <w:rFonts w:hint="eastAsia" w:ascii="仿宋_GB2312" w:hAnsi="仿宋_GB2312" w:eastAsia="仿宋_GB2312"/>
          <w:kern w:val="0"/>
          <w:sz w:val="32"/>
          <w:szCs w:val="24"/>
        </w:rPr>
        <w:t>与上年相比，增加46.52万元，增长2.49%，主要原因是：本年单位在职人员工资基数上调，人员经费类相关</w:t>
      </w:r>
      <w:r>
        <w:rPr>
          <w:rFonts w:hint="eastAsia" w:ascii="仿宋_GB2312" w:hAnsi="仿宋_GB2312" w:eastAsia="仿宋_GB2312"/>
          <w:kern w:val="0"/>
          <w:sz w:val="32"/>
          <w:szCs w:val="24"/>
          <w:lang w:val="en-US" w:eastAsia="zh-CN"/>
        </w:rPr>
        <w:t>支出</w:t>
      </w:r>
      <w:r>
        <w:rPr>
          <w:rFonts w:hint="eastAsia" w:ascii="仿宋_GB2312" w:hAnsi="仿宋_GB2312" w:eastAsia="仿宋_GB2312"/>
          <w:kern w:val="0"/>
          <w:sz w:val="32"/>
          <w:szCs w:val="24"/>
        </w:rPr>
        <w:t>增加，故财政拨款支出较上年有所增长。</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与年初预算数相比情况：财政拨款收入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年初预算数1,876.91万元，决算数1,911.39万元，预决算差异率1.84%，主要原因是：年中追加企业移交退休教师经费、教师培训费、非寄宿生生活补助等项目收入，导致预决算产生差异。财政拨款支出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年初预算数1,876.91万元，决算数1,911.39万元，预决算差异率1.84%，主要原因是：年中追加企业移交退休教师经费、教师培训费、非寄宿生生活补助等项目支出，导致预决算产生差异。</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spacing w:beforeLines="0" w:afterLines="0"/>
        <w:ind w:firstLine="640"/>
        <w:rPr>
          <w:rFonts w:hint="default" w:eastAsia="Times New Roman"/>
          <w:sz w:val="32"/>
          <w:szCs w:val="24"/>
        </w:rPr>
      </w:pPr>
      <w:r>
        <w:rPr>
          <w:rFonts w:hint="eastAsia" w:ascii="黑体" w:hAnsi="黑体" w:eastAsia="黑体"/>
          <w:sz w:val="32"/>
          <w:szCs w:val="24"/>
        </w:rPr>
        <w:t>（一）一般公共预算财政拨款支出决算总体情况</w:t>
      </w:r>
    </w:p>
    <w:p>
      <w:pPr>
        <w:spacing w:beforeLines="0" w:afterLines="0" w:line="600" w:lineRule="exact"/>
        <w:ind w:firstLine="640"/>
        <w:rPr>
          <w:rFonts w:hint="default" w:ascii="仿宋_GB2312" w:hAnsi="仿宋_GB2312" w:eastAsia="仿宋_GB2312"/>
          <w:kern w:val="0"/>
          <w:sz w:val="32"/>
          <w:szCs w:val="24"/>
        </w:rPr>
      </w:pPr>
      <w:r>
        <w:rPr>
          <w:rFonts w:hint="eastAsia" w:ascii="仿宋_GB2312" w:hAnsi="仿宋_GB2312" w:eastAsia="仿宋_GB2312"/>
          <w:sz w:val="32"/>
          <w:szCs w:val="24"/>
        </w:rPr>
        <w:t>2022年度一般公共预算财政拨款支出</w:t>
      </w:r>
      <w:r>
        <w:rPr>
          <w:rFonts w:hint="eastAsia" w:ascii="仿宋_GB2312" w:hAnsi="仿宋_GB2312" w:eastAsia="仿宋_GB2312"/>
          <w:kern w:val="0"/>
          <w:sz w:val="32"/>
          <w:szCs w:val="24"/>
        </w:rPr>
        <w:t>1,811.79</w:t>
      </w:r>
      <w:r>
        <w:rPr>
          <w:rFonts w:hint="eastAsia" w:ascii="仿宋_GB2312" w:hAnsi="仿宋_GB2312" w:eastAsia="仿宋_GB2312"/>
          <w:sz w:val="32"/>
          <w:szCs w:val="24"/>
        </w:rPr>
        <w:t>万元，占本年支出合计的</w:t>
      </w:r>
      <w:r>
        <w:rPr>
          <w:rFonts w:hint="eastAsia" w:ascii="仿宋_GB2312" w:hAnsi="仿宋_GB2312" w:eastAsia="仿宋_GB2312"/>
          <w:kern w:val="0"/>
          <w:sz w:val="32"/>
          <w:szCs w:val="24"/>
        </w:rPr>
        <w:t>100.00%</w:t>
      </w:r>
      <w:r>
        <w:rPr>
          <w:rFonts w:hint="eastAsia" w:ascii="仿宋_GB2312" w:hAnsi="仿宋_GB2312" w:eastAsia="仿宋_GB2312"/>
          <w:sz w:val="32"/>
          <w:szCs w:val="24"/>
        </w:rPr>
        <w:t>，与上年相比，</w:t>
      </w:r>
      <w:r>
        <w:rPr>
          <w:rFonts w:hint="eastAsia" w:ascii="仿宋_GB2312" w:hAnsi="仿宋_GB2312" w:eastAsia="仿宋_GB2312"/>
          <w:kern w:val="0"/>
          <w:sz w:val="32"/>
          <w:szCs w:val="24"/>
        </w:rPr>
        <w:t>增加14.13万元，增长0.79%，主要原因是：本年单位在职人员工资基数上调，人员经费类相关</w:t>
      </w:r>
      <w:r>
        <w:rPr>
          <w:rFonts w:hint="eastAsia" w:ascii="仿宋_GB2312" w:hAnsi="仿宋_GB2312" w:eastAsia="仿宋_GB2312"/>
          <w:kern w:val="0"/>
          <w:sz w:val="32"/>
          <w:szCs w:val="24"/>
          <w:lang w:val="en-US" w:eastAsia="zh-CN"/>
        </w:rPr>
        <w:t>支出</w:t>
      </w:r>
      <w:r>
        <w:rPr>
          <w:rFonts w:hint="eastAsia" w:ascii="仿宋_GB2312" w:hAnsi="仿宋_GB2312" w:eastAsia="仿宋_GB2312"/>
          <w:kern w:val="0"/>
          <w:sz w:val="32"/>
          <w:szCs w:val="24"/>
        </w:rPr>
        <w:t>增加，故</w:t>
      </w:r>
      <w:r>
        <w:rPr>
          <w:rFonts w:hint="eastAsia" w:ascii="仿宋_GB2312" w:hAnsi="仿宋_GB2312" w:eastAsia="仿宋_GB2312"/>
          <w:sz w:val="32"/>
          <w:szCs w:val="24"/>
        </w:rPr>
        <w:t>一般公共预算财政拨款支出</w:t>
      </w:r>
      <w:r>
        <w:rPr>
          <w:rFonts w:hint="eastAsia" w:ascii="仿宋_GB2312" w:hAnsi="仿宋_GB2312" w:eastAsia="仿宋_GB2312"/>
          <w:kern w:val="0"/>
          <w:sz w:val="32"/>
          <w:szCs w:val="24"/>
        </w:rPr>
        <w:t>较上年有所增长。</w:t>
      </w:r>
    </w:p>
    <w:p>
      <w:pPr>
        <w:spacing w:beforeLines="0" w:afterLines="0"/>
        <w:ind w:firstLine="640"/>
        <w:rPr>
          <w:rFonts w:hint="default" w:eastAsia="Times New Roman"/>
          <w:sz w:val="32"/>
          <w:szCs w:val="24"/>
        </w:rPr>
      </w:pPr>
      <w:r>
        <w:rPr>
          <w:rFonts w:hint="eastAsia" w:ascii="黑体" w:hAnsi="黑体" w:eastAsia="黑体"/>
          <w:sz w:val="32"/>
          <w:szCs w:val="24"/>
        </w:rPr>
        <w:t>（二）一般公共预算财政拨款支出决算结构情况</w:t>
      </w:r>
    </w:p>
    <w:p>
      <w:pPr>
        <w:spacing w:beforeLines="0" w:afterLines="0" w:line="600" w:lineRule="exact"/>
        <w:ind w:firstLine="640"/>
        <w:rPr>
          <w:rFonts w:hint="default" w:ascii="仿宋_GB2312" w:hAnsi="仿宋_GB2312" w:eastAsia="仿宋_GB2312"/>
          <w:sz w:val="32"/>
          <w:szCs w:val="24"/>
        </w:rPr>
      </w:pPr>
      <w:r>
        <w:rPr>
          <w:rFonts w:hint="eastAsia" w:ascii="仿宋_GB2312" w:hAnsi="仿宋_GB2312" w:eastAsia="仿宋_GB2312"/>
          <w:sz w:val="32"/>
          <w:szCs w:val="24"/>
        </w:rPr>
        <w:t>1.教育支出（类）1,807.06万元，占99.74%；</w:t>
      </w:r>
    </w:p>
    <w:p>
      <w:pPr>
        <w:spacing w:beforeLines="0" w:afterLines="0" w:line="600" w:lineRule="exact"/>
        <w:ind w:firstLine="640"/>
        <w:rPr>
          <w:rFonts w:hint="default" w:ascii="仿宋_GB2312" w:hAnsi="仿宋_GB2312" w:eastAsia="仿宋_GB2312"/>
          <w:sz w:val="32"/>
          <w:szCs w:val="24"/>
        </w:rPr>
      </w:pPr>
      <w:r>
        <w:rPr>
          <w:rFonts w:hint="eastAsia" w:ascii="仿宋_GB2312" w:hAnsi="仿宋_GB2312" w:eastAsia="仿宋_GB2312"/>
          <w:sz w:val="32"/>
          <w:szCs w:val="24"/>
        </w:rPr>
        <w:t>2.社会保障和就业支出（类）4.73万元，占0.26%。</w:t>
      </w:r>
    </w:p>
    <w:p>
      <w:pPr>
        <w:spacing w:beforeLines="0" w:afterLines="0"/>
        <w:ind w:firstLine="640"/>
        <w:rPr>
          <w:rFonts w:hint="default" w:eastAsia="Times New Roman"/>
          <w:sz w:val="32"/>
          <w:szCs w:val="24"/>
        </w:rPr>
      </w:pPr>
      <w:r>
        <w:rPr>
          <w:rFonts w:hint="eastAsia" w:ascii="黑体" w:hAnsi="黑体" w:eastAsia="黑体"/>
          <w:sz w:val="32"/>
          <w:szCs w:val="24"/>
        </w:rPr>
        <w:t>（三）一般公共预算财政拨款支出决算具体情况</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1教育支出（类）普通教育（款）小学教育（项）:支出决算数为769.93万元，比上年决算增加4.69万元，增长0.61%，主要原因是：原社会保障和就业支出</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行政事业单位养老支出</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机关事业单位基本养老保险缴费支出不再使用，按照实际小学在职教师人数比例将原有养老保险支出列入该项</w:t>
      </w:r>
      <w:r>
        <w:rPr>
          <w:rFonts w:hint="eastAsia" w:ascii="仿宋_GB2312" w:hAnsi="仿宋_GB2312" w:eastAsia="仿宋_GB2312"/>
          <w:kern w:val="0"/>
          <w:sz w:val="32"/>
          <w:szCs w:val="24"/>
          <w:lang w:eastAsia="zh-CN"/>
        </w:rPr>
        <w:t>；</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2.教育支出（类）普通教育（款）初中教育（项）:支出决算数为1,037.13万元，比上年决算增加135.41万元，增长15.02%，主要原因是：原社会保障和就业支出</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行政事业单位养老支出</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机关事业单位基本养老保险缴费支出不再使用，按照实际中学在职教师人数比例将原有养老保险支出列入该项</w:t>
      </w:r>
      <w:r>
        <w:rPr>
          <w:rFonts w:hint="eastAsia" w:ascii="仿宋_GB2312" w:hAnsi="仿宋_GB2312" w:eastAsia="仿宋_GB2312"/>
          <w:kern w:val="0"/>
          <w:sz w:val="32"/>
          <w:szCs w:val="24"/>
          <w:lang w:eastAsia="zh-CN"/>
        </w:rPr>
        <w:t>；</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3.社会保障和就业支出（类）民政管理事务（款）基层政权建设和社区治理（项）:支出决算数为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万元，比上年决算减少1.44万元，下降100.00%，主要原因是：</w:t>
      </w:r>
      <w:bookmarkStart w:id="0" w:name="_Hlk143783239"/>
      <w:r>
        <w:rPr>
          <w:rFonts w:hint="eastAsia" w:ascii="仿宋_GB2312" w:eastAsia="仿宋_GB2312" w:cs="仿宋_GB2312"/>
          <w:kern w:val="0"/>
          <w:sz w:val="32"/>
          <w:szCs w:val="32"/>
        </w:rPr>
        <w:t>本年此功能科目未支出</w:t>
      </w:r>
      <w:bookmarkEnd w:id="0"/>
      <w:r>
        <w:rPr>
          <w:rFonts w:hint="eastAsia" w:ascii="仿宋_GB2312" w:eastAsia="仿宋_GB2312" w:cs="仿宋_GB2312"/>
          <w:kern w:val="0"/>
          <w:sz w:val="32"/>
          <w:szCs w:val="32"/>
          <w:lang w:eastAsia="zh-CN"/>
        </w:rPr>
        <w:t>；</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4.社会保障和就业支出（类）行政事业单位养老支出（款）机关事业单位基本养老保险缴费支出（项）:支出决算数为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万元，比上年决算减少112.92万元，下降100.00%，主要原因是：</w:t>
      </w:r>
      <w:r>
        <w:rPr>
          <w:rFonts w:hint="eastAsia" w:ascii="仿宋_GB2312" w:eastAsia="仿宋_GB2312" w:cs="仿宋_GB2312"/>
          <w:kern w:val="0"/>
          <w:sz w:val="32"/>
          <w:szCs w:val="32"/>
        </w:rPr>
        <w:t>本年此功能科目</w:t>
      </w:r>
      <w:r>
        <w:rPr>
          <w:rFonts w:hint="eastAsia" w:ascii="仿宋_GB2312" w:eastAsia="仿宋_GB2312" w:cs="仿宋_GB2312"/>
          <w:kern w:val="0"/>
          <w:sz w:val="32"/>
          <w:szCs w:val="32"/>
          <w:lang w:val="en-US" w:eastAsia="zh-CN"/>
        </w:rPr>
        <w:t>调整至2050202小学教育2050203初中教育中列支，此功能科目未支出</w:t>
      </w:r>
      <w:r>
        <w:rPr>
          <w:rFonts w:hint="eastAsia" w:ascii="仿宋_GB2312" w:eastAsia="仿宋_GB2312" w:cs="仿宋_GB2312"/>
          <w:kern w:val="0"/>
          <w:sz w:val="32"/>
          <w:szCs w:val="32"/>
          <w:lang w:eastAsia="zh-CN"/>
        </w:rPr>
        <w:t>；</w:t>
      </w:r>
    </w:p>
    <w:p>
      <w:pPr>
        <w:spacing w:beforeLines="0" w:afterLines="0" w:line="600" w:lineRule="exact"/>
        <w:ind w:firstLine="640"/>
        <w:rPr>
          <w:rFonts w:hint="default" w:eastAsia="Times New Roman"/>
          <w:kern w:val="0"/>
          <w:sz w:val="32"/>
          <w:szCs w:val="24"/>
        </w:rPr>
      </w:pPr>
      <w:r>
        <w:rPr>
          <w:rFonts w:hint="eastAsia" w:ascii="仿宋_GB2312" w:hAnsi="仿宋_GB2312" w:eastAsia="仿宋_GB2312"/>
          <w:kern w:val="0"/>
          <w:sz w:val="32"/>
          <w:szCs w:val="24"/>
        </w:rPr>
        <w:t>5.社会保障和就业支出（类）企业改革补助（款）其他企业改革发展补助（项）:支出决算数为4.73万元，比上年决算减少11.61万元，下降71.05%，主要原因是：本年企业移交退休教师经费项目支出较上年有所减少。</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2022年度一般公共预算财政拨款基本支出1,713.25万元，其中：</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人员经费1,452.36万元，包括：基本工资、津贴补贴、奖金、绩效工资、机关事业单位基本养老保险缴费、职工基本医疗保险缴费、公务员医疗补助缴费、其他社会保障缴费、住房公积金、退休费、抚恤金、生活补助。</w:t>
      </w:r>
    </w:p>
    <w:p>
      <w:pPr>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公用经费260.89万元，包括：水费、电费、邮电费、取暖费、劳务费、公务用车运行维护费。</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七、财政拨款</w:t>
      </w:r>
      <w:r>
        <w:rPr>
          <w:rFonts w:hint="eastAsia" w:ascii="黑体" w:hAnsi="黑体" w:eastAsia="黑体"/>
          <w:kern w:val="0"/>
          <w:sz w:val="32"/>
          <w:szCs w:val="24"/>
        </w:rPr>
        <w:t>“三公”</w:t>
      </w:r>
      <w:r>
        <w:rPr>
          <w:rFonts w:hint="eastAsia" w:ascii="黑体" w:hAnsi="黑体" w:eastAsia="黑体"/>
          <w:sz w:val="32"/>
          <w:szCs w:val="24"/>
          <w:lang w:val="zh-CN"/>
        </w:rPr>
        <w:t>经费支出决算情况说明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w:t>
      </w:r>
      <w:r>
        <w:rPr>
          <w:rFonts w:hint="eastAsia" w:ascii="仿宋_GB2312" w:hAnsi="仿宋_GB2312" w:eastAsia="仿宋_GB2312"/>
          <w:sz w:val="32"/>
          <w:szCs w:val="24"/>
        </w:rPr>
        <w:t>财政拨款</w:t>
      </w:r>
      <w:r>
        <w:rPr>
          <w:rFonts w:hint="eastAsia" w:ascii="仿宋_GB2312" w:hAnsi="仿宋_GB2312" w:eastAsia="仿宋_GB2312"/>
          <w:kern w:val="0"/>
          <w:sz w:val="32"/>
          <w:szCs w:val="24"/>
        </w:rPr>
        <w:t>“三公”经费支出决算1.10万元，比上年减少1.40万元，下降56.00%，主要原因是：本年单位减少公务用车使用次数，减少燃油费支出。其中：因公出国（境）费支出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因公出国（境）费支出；公务用车购置及运行维护费支出1.10万元，占100.00%，比上年减少1.40万元，下降56.00%，主要原因是：本年单位减少公务用车使用次数，减少燃油费支出；公务接待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w:t>
      </w:r>
      <w:bookmarkStart w:id="1" w:name="_Hlk143770125"/>
      <w:r>
        <w:rPr>
          <w:rFonts w:hint="eastAsia" w:ascii="仿宋_GB2312" w:eastAsia="仿宋_GB2312" w:cs="仿宋_GB2312"/>
          <w:kern w:val="0"/>
          <w:sz w:val="32"/>
          <w:szCs w:val="32"/>
        </w:rPr>
        <w:t>本年单位无此项支出</w:t>
      </w:r>
      <w:bookmarkEnd w:id="1"/>
      <w:r>
        <w:rPr>
          <w:rFonts w:hint="eastAsia" w:ascii="仿宋_GB2312" w:hAnsi="仿宋_GB2312" w:eastAsia="仿宋_GB2312"/>
          <w:kern w:val="0"/>
          <w:sz w:val="32"/>
          <w:szCs w:val="24"/>
        </w:rPr>
        <w:t>。具体情况如下：</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万元，开支内容包括本年单位无因公出国（境）费支出。单位全年安排的因公出国（境）团组</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个，因公出国（境）</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公务用车购置及运行维护费1.10万元，其中：公务用车购置费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万元，公务用车运行维护费1.10万元。</w:t>
      </w:r>
      <w:bookmarkStart w:id="2" w:name="_Hlk143782590"/>
      <w:r>
        <w:rPr>
          <w:rFonts w:hint="eastAsia" w:ascii="仿宋_GB2312" w:eastAsia="仿宋_GB2312" w:cs="仿宋_GB2312"/>
          <w:kern w:val="0"/>
          <w:sz w:val="32"/>
          <w:szCs w:val="32"/>
        </w:rPr>
        <w:t>公务用车运行维护费开支内容包括</w:t>
      </w:r>
      <w:bookmarkStart w:id="4" w:name="_GoBack"/>
      <w:r>
        <w:rPr>
          <w:rFonts w:hint="eastAsia" w:ascii="仿宋_GB2312" w:eastAsia="仿宋_GB2312" w:cs="仿宋_GB2312"/>
          <w:kern w:val="0"/>
          <w:sz w:val="32"/>
          <w:szCs w:val="32"/>
        </w:rPr>
        <w:t>公务用车燃油费、车辆维修维护费、保险费、过路费</w:t>
      </w:r>
      <w:bookmarkEnd w:id="2"/>
      <w:r>
        <w:rPr>
          <w:rFonts w:hint="eastAsia" w:ascii="仿宋_GB2312" w:hAnsi="仿宋_GB2312" w:eastAsia="仿宋_GB2312"/>
          <w:kern w:val="0"/>
          <w:sz w:val="32"/>
          <w:szCs w:val="24"/>
        </w:rPr>
        <w:t>等。</w:t>
      </w:r>
      <w:bookmarkEnd w:id="4"/>
      <w:r>
        <w:rPr>
          <w:rFonts w:hint="eastAsia" w:ascii="仿宋_GB2312" w:hAnsi="仿宋_GB2312" w:eastAsia="仿宋_GB2312"/>
          <w:kern w:val="0"/>
          <w:sz w:val="32"/>
          <w:szCs w:val="24"/>
        </w:rPr>
        <w:t>公务用车购置数</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辆，公务用车保有量1辆。</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公务接待费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。单位全年安排的国内公务接待</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批次，</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w:t>
      </w:r>
      <w:r>
        <w:rPr>
          <w:rFonts w:hint="eastAsia" w:ascii="仿宋_GB2312" w:hAnsi="仿宋_GB2312" w:eastAsia="仿宋_GB2312"/>
          <w:sz w:val="32"/>
          <w:szCs w:val="24"/>
        </w:rPr>
        <w:t>全年</w:t>
      </w:r>
      <w:r>
        <w:rPr>
          <w:rFonts w:hint="eastAsia" w:ascii="仿宋_GB2312" w:hAnsi="仿宋_GB2312" w:eastAsia="仿宋_GB2312"/>
          <w:kern w:val="0"/>
          <w:sz w:val="32"/>
          <w:szCs w:val="24"/>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rPr>
        <w:t>相比情况</w:t>
      </w:r>
      <w:r>
        <w:rPr>
          <w:rFonts w:hint="eastAsia" w:ascii="仿宋_GB2312" w:hAnsi="仿宋_GB2312" w:eastAsia="仿宋_GB2312"/>
          <w:sz w:val="32"/>
          <w:szCs w:val="24"/>
        </w:rPr>
        <w:t>：</w:t>
      </w:r>
      <w:r>
        <w:rPr>
          <w:rFonts w:hint="default" w:eastAsia="Times New Roman"/>
          <w:kern w:val="0"/>
          <w:sz w:val="32"/>
          <w:szCs w:val="24"/>
        </w:rPr>
        <w:t>“</w:t>
      </w:r>
      <w:r>
        <w:rPr>
          <w:rFonts w:hint="eastAsia" w:ascii="仿宋_GB2312" w:hAnsi="仿宋_GB2312" w:eastAsia="仿宋_GB2312"/>
          <w:kern w:val="0"/>
          <w:sz w:val="32"/>
          <w:szCs w:val="24"/>
        </w:rPr>
        <w:t>三公</w:t>
      </w:r>
      <w:r>
        <w:rPr>
          <w:rFonts w:hint="default" w:eastAsia="Times New Roman"/>
          <w:kern w:val="0"/>
          <w:sz w:val="32"/>
          <w:szCs w:val="24"/>
        </w:rPr>
        <w:t>”</w:t>
      </w:r>
      <w:r>
        <w:rPr>
          <w:rFonts w:hint="eastAsia" w:ascii="仿宋_GB2312" w:hAnsi="仿宋_GB2312" w:eastAsia="仿宋_GB2312"/>
          <w:kern w:val="0"/>
          <w:sz w:val="32"/>
          <w:szCs w:val="24"/>
        </w:rPr>
        <w:t>经费支出</w:t>
      </w:r>
      <w:r>
        <w:rPr>
          <w:rFonts w:hint="eastAsia" w:ascii="仿宋_GB2312" w:hAnsi="仿宋_GB2312" w:eastAsia="仿宋_GB2312"/>
          <w:sz w:val="32"/>
          <w:szCs w:val="24"/>
        </w:rPr>
        <w:t>全年预算数</w:t>
      </w:r>
      <w:r>
        <w:rPr>
          <w:rFonts w:hint="eastAsia" w:ascii="仿宋_GB2312" w:hAnsi="仿宋_GB2312" w:eastAsia="仿宋_GB2312"/>
          <w:kern w:val="0"/>
          <w:sz w:val="32"/>
          <w:szCs w:val="24"/>
        </w:rPr>
        <w:t>1.10万元，决算数1.10万元，预决算差异率0.00%，主要原因是：</w:t>
      </w:r>
      <w:bookmarkStart w:id="3" w:name="_Hlk110848692"/>
      <w:r>
        <w:rPr>
          <w:rFonts w:hint="eastAsia" w:ascii="仿宋_GB2312" w:eastAsia="仿宋_GB2312" w:cs="仿宋_GB2312"/>
          <w:kern w:val="0"/>
          <w:sz w:val="32"/>
          <w:szCs w:val="32"/>
        </w:rPr>
        <w:t>单位严格执行“三公”经费支出标准，未超预算</w:t>
      </w:r>
      <w:bookmarkEnd w:id="3"/>
      <w:r>
        <w:rPr>
          <w:rFonts w:hint="eastAsia" w:ascii="仿宋_GB2312" w:hAnsi="仿宋_GB2312" w:eastAsia="仿宋_GB2312"/>
          <w:kern w:val="0"/>
          <w:sz w:val="32"/>
          <w:szCs w:val="24"/>
        </w:rPr>
        <w:t>。其中：因公出国（境）费全年预算数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万元，预决算差异率0.00%，主要原因是：本年单位无因公出国（境）费支出；公务用车购置费全年预算数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；公务用车运行费全年预算数1.10万元，决算数1.10万元，预决算差异率0.00%，主要原因是：</w:t>
      </w:r>
      <w:r>
        <w:rPr>
          <w:rFonts w:hint="eastAsia" w:ascii="仿宋_GB2312" w:eastAsia="仿宋_GB2312" w:cs="仿宋_GB2312"/>
          <w:kern w:val="0"/>
          <w:sz w:val="32"/>
          <w:szCs w:val="32"/>
        </w:rPr>
        <w:t>单位严格执行“三公”经费支出标准，未超预算</w:t>
      </w:r>
      <w:r>
        <w:rPr>
          <w:rFonts w:hint="eastAsia" w:ascii="仿宋_GB2312" w:hAnsi="仿宋_GB2312" w:eastAsia="仿宋_GB2312"/>
          <w:kern w:val="0"/>
          <w:sz w:val="32"/>
          <w:szCs w:val="24"/>
        </w:rPr>
        <w:t>；公务接待费全年预算数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我单位本年度无政府性基金预算财政拨款收入、支出及结转和结余，政府性基金预算财政拨款收入支出决算表为空表。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九、国有资本经营预算财政拨款收入支出决算情况说明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我单位本年度无国有资本经营预算财政拨款收入、支出及结转和结余，国有资本经营预算财政拨款收入支出决算表为空表。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十、其他重要事项的情况说明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 xml:space="preserve">（一）机关运行经费支出情况 </w:t>
      </w:r>
    </w:p>
    <w:p>
      <w:pPr>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2022年度乌鲁木齐市米东区第六十三中学单位公用经费260.90万元，比上年增加116.90万元，增长81.18%，主要原因是：本年单位劳务费及取暖费支出增加，故机关运行经费支出较上年有所增长。</w:t>
      </w:r>
    </w:p>
    <w:p>
      <w:pPr>
        <w:spacing w:beforeLines="0" w:afterLines="0" w:line="360" w:lineRule="auto"/>
        <w:ind w:firstLine="640"/>
        <w:rPr>
          <w:rFonts w:hint="default" w:eastAsia="Times New Roman"/>
          <w:sz w:val="32"/>
          <w:szCs w:val="24"/>
        </w:rPr>
      </w:pPr>
      <w:r>
        <w:rPr>
          <w:rFonts w:hint="eastAsia" w:ascii="黑体" w:hAnsi="黑体" w:eastAsia="黑体"/>
          <w:sz w:val="32"/>
          <w:szCs w:val="24"/>
        </w:rPr>
        <w:t>（</w:t>
      </w:r>
      <w:r>
        <w:rPr>
          <w:rFonts w:hint="eastAsia" w:ascii="黑体" w:hAnsi="黑体" w:eastAsia="黑体"/>
          <w:sz w:val="32"/>
          <w:szCs w:val="24"/>
          <w:lang w:val="zh-CN"/>
        </w:rPr>
        <w:t>二</w:t>
      </w:r>
      <w:r>
        <w:rPr>
          <w:rFonts w:hint="eastAsia" w:ascii="黑体" w:hAnsi="黑体" w:eastAsia="黑体"/>
          <w:sz w:val="32"/>
          <w:szCs w:val="24"/>
        </w:rPr>
        <w:t>）</w:t>
      </w:r>
      <w:r>
        <w:rPr>
          <w:rFonts w:hint="eastAsia" w:ascii="黑体" w:hAnsi="黑体" w:eastAsia="黑体"/>
          <w:sz w:val="32"/>
          <w:szCs w:val="24"/>
          <w:lang w:val="zh-CN"/>
        </w:rPr>
        <w:t>政府采购情况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2022年度政府采购支出总额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万元，其中：政府采购货物支出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万元、政府采购工程支出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万元、政府采购服务支出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授予中小企业合同金额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万元，占政府采购支出总额的0.00%，其中：授予小微企业合同金额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万元，占政府采购支出总额的0.00%。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（三）国有资产占用情况说明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截止2022年12月31日，</w:t>
      </w:r>
      <w:r>
        <w:rPr>
          <w:rFonts w:hint="eastAsia" w:ascii="仿宋_GB2312" w:hAnsi="仿宋_GB2312" w:eastAsia="仿宋_GB2312"/>
          <w:sz w:val="32"/>
          <w:szCs w:val="24"/>
        </w:rPr>
        <w:t>固定资产原值</w:t>
      </w:r>
      <w:r>
        <w:rPr>
          <w:rFonts w:hint="eastAsia" w:ascii="仿宋_GB2312" w:hAnsi="仿宋_GB2312" w:eastAsia="仿宋_GB2312"/>
          <w:kern w:val="0"/>
          <w:sz w:val="32"/>
          <w:szCs w:val="24"/>
        </w:rPr>
        <w:t>4,005.49</w:t>
      </w:r>
      <w:r>
        <w:rPr>
          <w:rFonts w:hint="eastAsia" w:ascii="仿宋_GB2312" w:hAnsi="仿宋_GB2312" w:eastAsia="仿宋_GB2312"/>
          <w:sz w:val="32"/>
          <w:szCs w:val="24"/>
        </w:rPr>
        <w:t>万元，</w:t>
      </w:r>
      <w:r>
        <w:rPr>
          <w:rFonts w:hint="eastAsia" w:ascii="仿宋_GB2312" w:hAnsi="仿宋_GB2312" w:eastAsia="仿宋_GB2312"/>
          <w:kern w:val="0"/>
          <w:sz w:val="32"/>
          <w:szCs w:val="24"/>
        </w:rPr>
        <w:t>房屋16,667.15平方米，价值2,726.53万元。车辆2辆，价值22.73万元，其中：副部（省）级及以上领导用车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辆、主要领导干部用车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辆、机要通信用车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辆、应急保障用车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辆、执法执勤用车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辆、特种专业技术用车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辆、离退休干部用车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辆、其他用车2辆，其他用车主要是：1辆巡逻车，1辆业务用车；单价100</w:t>
      </w:r>
      <w:r>
        <w:rPr>
          <w:rFonts w:hint="eastAsia" w:ascii="仿宋_GB2312" w:hAnsi="仿宋_GB2312" w:eastAsia="仿宋_GB2312"/>
          <w:sz w:val="32"/>
          <w:szCs w:val="24"/>
        </w:rPr>
        <w:t>万元（含）以上设备（不含车辆）</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台（套）。</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十一、预算绩效的情况说明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根据预算绩效管理要求，我单位2022年度开展预算绩效评价项目4个，</w:t>
      </w:r>
      <w:r>
        <w:rPr>
          <w:rFonts w:hint="eastAsia" w:ascii="仿宋_GB2312" w:hAnsi="仿宋_GB2312" w:eastAsia="仿宋_GB2312"/>
          <w:sz w:val="32"/>
          <w:szCs w:val="24"/>
        </w:rPr>
        <w:t>全年预算数</w:t>
      </w:r>
      <w:r>
        <w:rPr>
          <w:rFonts w:hint="eastAsia" w:ascii="仿宋_GB2312" w:hAnsi="仿宋_GB2312" w:eastAsia="仿宋_GB2312"/>
          <w:kern w:val="0"/>
          <w:sz w:val="32"/>
          <w:szCs w:val="24"/>
        </w:rPr>
        <w:t>181.80</w:t>
      </w:r>
      <w:r>
        <w:rPr>
          <w:rFonts w:hint="eastAsia" w:ascii="仿宋_GB2312" w:hAnsi="仿宋_GB2312" w:eastAsia="仿宋_GB2312"/>
          <w:sz w:val="32"/>
          <w:szCs w:val="24"/>
        </w:rPr>
        <w:t>万元，全年执行数</w:t>
      </w:r>
      <w:r>
        <w:rPr>
          <w:rFonts w:hint="eastAsia" w:ascii="仿宋_GB2312" w:hAnsi="仿宋_GB2312" w:eastAsia="仿宋_GB2312"/>
          <w:kern w:val="0"/>
          <w:sz w:val="32"/>
          <w:szCs w:val="24"/>
        </w:rPr>
        <w:t>93.80</w:t>
      </w:r>
      <w:r>
        <w:rPr>
          <w:rFonts w:hint="eastAsia" w:ascii="仿宋_GB2312" w:hAnsi="仿宋_GB2312" w:eastAsia="仿宋_GB2312"/>
          <w:sz w:val="32"/>
          <w:szCs w:val="24"/>
        </w:rPr>
        <w:t>万元。</w:t>
      </w:r>
      <w:r>
        <w:rPr>
          <w:rFonts w:hint="eastAsia" w:ascii="仿宋_GB2312" w:hAnsi="仿宋_GB2312" w:eastAsia="仿宋_GB2312"/>
          <w:kern w:val="0"/>
          <w:sz w:val="32"/>
          <w:szCs w:val="24"/>
        </w:rPr>
        <w:t>预算绩效管理取得的成效：一是保证贫困学生享受合理、平等的餐费补助，减轻贫困家庭负担；二是补充办公设施，为师生提供一个良好的工作及学习环境。发现的问题及原因：一是因疫情校园封闭，导致资金使用率较低；二是贫困生帮扶政策传达不及时，推送的学生人数较少。下一步改进措施：一是学校领导班子做好资金使用规划，保证资金使用合理高效；二是学校德育处、少先队做好贫困帮扶政策普及工作，保证每一个贫困家庭享受政策帮扶。具体项目自评情况附项目支出绩效自评表。</w:t>
      </w:r>
    </w:p>
    <w:tbl>
      <w:tblPr>
        <w:tblStyle w:val="4"/>
        <w:tblW w:w="4869" w:type="pct"/>
        <w:tblInd w:w="10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3"/>
        <w:gridCol w:w="642"/>
        <w:gridCol w:w="674"/>
        <w:gridCol w:w="938"/>
        <w:gridCol w:w="857"/>
        <w:gridCol w:w="874"/>
        <w:gridCol w:w="830"/>
        <w:gridCol w:w="250"/>
        <w:gridCol w:w="509"/>
        <w:gridCol w:w="516"/>
        <w:gridCol w:w="488"/>
        <w:gridCol w:w="385"/>
        <w:gridCol w:w="12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3"/>
            <w:tcBorders>
              <w:top w:val="nil"/>
              <w:left w:val="nil"/>
              <w:bottom w:val="nil"/>
              <w:right w:val="nil"/>
              <w:tl2br w:val="nil"/>
              <w:tr2bl w:val="nil"/>
            </w:tcBorders>
            <w:noWrap w:val="0"/>
            <w:vAlign w:val="center"/>
          </w:tcPr>
          <w:p>
            <w:pPr>
              <w:spacing w:beforeLines="0" w:afterLines="0"/>
              <w:jc w:val="center"/>
              <w:textAlignment w:val="center"/>
              <w:rPr>
                <w:rFonts w:hint="default" w:ascii="宋体" w:cs="宋体"/>
                <w:b/>
                <w:color w:val="000000"/>
                <w:sz w:val="32"/>
                <w:szCs w:val="32"/>
              </w:rPr>
            </w:pPr>
            <w:r>
              <w:rPr>
                <w:rFonts w:hint="eastAsia" w:ascii="宋体" w:hAnsi="宋体" w:cs="宋体"/>
                <w:b/>
                <w:color w:val="000000"/>
                <w:kern w:val="0"/>
                <w:sz w:val="32"/>
                <w:szCs w:val="32"/>
                <w:lang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3"/>
            <w:tcBorders>
              <w:top w:val="nil"/>
              <w:left w:val="nil"/>
              <w:bottom w:val="nil"/>
              <w:right w:val="nil"/>
              <w:tl2br w:val="nil"/>
              <w:tr2bl w:val="nil"/>
            </w:tcBorders>
            <w:noWrap w:val="0"/>
            <w:vAlign w:val="center"/>
          </w:tcPr>
          <w:p>
            <w:pPr>
              <w:spacing w:beforeLines="0" w:afterLines="0"/>
              <w:jc w:val="center"/>
              <w:textAlignment w:val="center"/>
              <w:rPr>
                <w:rFonts w:hint="default" w:ascii="宋体" w:cs="宋体"/>
                <w:color w:val="000000"/>
                <w:sz w:val="20"/>
                <w:szCs w:val="20"/>
              </w:rPr>
            </w:pPr>
            <w:r>
              <w:rPr>
                <w:rFonts w:hint="eastAsia" w:ascii="宋体" w:hAnsi="宋体" w:cs="宋体"/>
                <w:color w:val="000000"/>
                <w:kern w:val="0"/>
                <w:sz w:val="20"/>
                <w:szCs w:val="20"/>
                <w:lang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项目名称</w:t>
            </w:r>
          </w:p>
        </w:tc>
        <w:tc>
          <w:tcPr>
            <w:tcW w:w="4400"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公用经费（小学、中学）</w:t>
            </w:r>
            <w:r>
              <w:rPr>
                <w:rFonts w:hint="default" w:ascii="宋体" w:cs="宋体"/>
                <w:color w:val="000000"/>
                <w:kern w:val="0"/>
                <w:sz w:val="18"/>
                <w:szCs w:val="18"/>
                <w:lang w:bidi="ar"/>
              </w:rPr>
              <w:t>---</w:t>
            </w:r>
            <w:r>
              <w:rPr>
                <w:rFonts w:hint="eastAsia" w:ascii="宋体" w:hAnsi="宋体" w:cs="宋体"/>
                <w:color w:val="000000"/>
                <w:kern w:val="0"/>
                <w:sz w:val="18"/>
                <w:szCs w:val="18"/>
                <w:lang w:bidi="ar"/>
              </w:rPr>
              <w:t>提前下达2022城乡义务教育直达资金（乌财科教【2021】96号、120号、23号】）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主管部门</w:t>
            </w:r>
          </w:p>
        </w:tc>
        <w:tc>
          <w:tcPr>
            <w:tcW w:w="1939"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第63中学</w:t>
            </w:r>
          </w:p>
        </w:tc>
        <w:tc>
          <w:tcPr>
            <w:tcW w:w="62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实施单位</w:t>
            </w:r>
          </w:p>
        </w:tc>
        <w:tc>
          <w:tcPr>
            <w:tcW w:w="1834"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第63中学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600"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项目资金</w:t>
            </w:r>
            <w:r>
              <w:rPr>
                <w:rFonts w:hint="default" w:ascii="宋体" w:cs="宋体"/>
                <w:color w:val="000000"/>
                <w:kern w:val="0"/>
                <w:sz w:val="18"/>
                <w:szCs w:val="18"/>
                <w:lang w:bidi="ar"/>
              </w:rPr>
              <w:br w:type="textWrapping"/>
            </w:r>
            <w:r>
              <w:rPr>
                <w:rFonts w:hint="eastAsia" w:ascii="宋体" w:hAnsi="宋体" w:cs="宋体"/>
                <w:color w:val="000000"/>
                <w:kern w:val="0"/>
                <w:sz w:val="18"/>
                <w:szCs w:val="18"/>
                <w:lang w:bidi="ar"/>
              </w:rPr>
              <w:t>（万元）</w:t>
            </w:r>
          </w:p>
        </w:tc>
        <w:tc>
          <w:tcPr>
            <w:tcW w:w="93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年初预算数</w:t>
            </w:r>
          </w:p>
        </w:tc>
        <w:tc>
          <w:tcPr>
            <w:tcW w:w="5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全年预算数</w:t>
            </w:r>
          </w:p>
        </w:tc>
        <w:tc>
          <w:tcPr>
            <w:tcW w:w="62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全年执行数</w:t>
            </w:r>
          </w:p>
        </w:tc>
        <w:tc>
          <w:tcPr>
            <w:tcW w:w="29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分值</w:t>
            </w:r>
          </w:p>
        </w:tc>
        <w:tc>
          <w:tcPr>
            <w:tcW w:w="5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执行率</w:t>
            </w:r>
          </w:p>
        </w:tc>
        <w:tc>
          <w:tcPr>
            <w:tcW w:w="95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0"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93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年度资金总额</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0.00</w:t>
            </w:r>
          </w:p>
        </w:tc>
        <w:tc>
          <w:tcPr>
            <w:tcW w:w="5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69.63</w:t>
            </w:r>
          </w:p>
        </w:tc>
        <w:tc>
          <w:tcPr>
            <w:tcW w:w="62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69.63</w:t>
            </w:r>
          </w:p>
        </w:tc>
        <w:tc>
          <w:tcPr>
            <w:tcW w:w="29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w:t>
            </w:r>
          </w:p>
        </w:tc>
        <w:tc>
          <w:tcPr>
            <w:tcW w:w="5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100.00%</w:t>
            </w:r>
          </w:p>
        </w:tc>
        <w:tc>
          <w:tcPr>
            <w:tcW w:w="95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0"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93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其中：当年财政拨款</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0.00</w:t>
            </w:r>
          </w:p>
        </w:tc>
        <w:tc>
          <w:tcPr>
            <w:tcW w:w="5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69.63</w:t>
            </w:r>
          </w:p>
        </w:tc>
        <w:tc>
          <w:tcPr>
            <w:tcW w:w="62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69.63</w:t>
            </w:r>
          </w:p>
        </w:tc>
        <w:tc>
          <w:tcPr>
            <w:tcW w:w="29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c>
          <w:tcPr>
            <w:tcW w:w="5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c>
          <w:tcPr>
            <w:tcW w:w="95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0"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93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上年结转资金</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p>
        </w:tc>
        <w:tc>
          <w:tcPr>
            <w:tcW w:w="5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p>
        </w:tc>
        <w:tc>
          <w:tcPr>
            <w:tcW w:w="62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p>
        </w:tc>
        <w:tc>
          <w:tcPr>
            <w:tcW w:w="29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c>
          <w:tcPr>
            <w:tcW w:w="5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c>
          <w:tcPr>
            <w:tcW w:w="95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00"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93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其他资金</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p>
        </w:tc>
        <w:tc>
          <w:tcPr>
            <w:tcW w:w="5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p>
        </w:tc>
        <w:tc>
          <w:tcPr>
            <w:tcW w:w="62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p>
        </w:tc>
        <w:tc>
          <w:tcPr>
            <w:tcW w:w="29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c>
          <w:tcPr>
            <w:tcW w:w="5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c>
          <w:tcPr>
            <w:tcW w:w="95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年度总体目标</w:t>
            </w:r>
          </w:p>
        </w:tc>
        <w:tc>
          <w:tcPr>
            <w:tcW w:w="2310"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预期目标</w:t>
            </w:r>
          </w:p>
        </w:tc>
        <w:tc>
          <w:tcPr>
            <w:tcW w:w="2460"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2310"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本项目通过维修学校设施，支付学校安保服务费、缴纳学校水费、电费、电话费，可改善我校办学硬件设施，有效改善校园环境，明显提高办学条件，推动义务教育均衡化发展。</w:t>
            </w:r>
          </w:p>
        </w:tc>
        <w:tc>
          <w:tcPr>
            <w:tcW w:w="2460"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该项目支付本单位7个月学校安保服务费，维修学校教学楼暖气，购买教师灯具，改善我校办学硬件设施，有效改善校园环境，明显提高办学条件，推动义务教育均衡化发展。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一级指标</w:t>
            </w:r>
          </w:p>
        </w:tc>
        <w:tc>
          <w:tcPr>
            <w:tcW w:w="39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二级指标</w:t>
            </w:r>
          </w:p>
        </w:tc>
        <w:tc>
          <w:tcPr>
            <w:tcW w:w="1547" w:type="pct"/>
            <w:gridSpan w:val="3"/>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三级指标</w:t>
            </w:r>
          </w:p>
        </w:tc>
        <w:tc>
          <w:tcPr>
            <w:tcW w:w="48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年度指标值</w:t>
            </w:r>
          </w:p>
        </w:tc>
        <w:tc>
          <w:tcPr>
            <w:tcW w:w="440"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实际完成值</w:t>
            </w:r>
          </w:p>
        </w:tc>
        <w:tc>
          <w:tcPr>
            <w:tcW w:w="29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分值</w:t>
            </w:r>
          </w:p>
        </w:tc>
        <w:tc>
          <w:tcPr>
            <w:tcW w:w="506"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得分</w:t>
            </w:r>
          </w:p>
        </w:tc>
        <w:tc>
          <w:tcPr>
            <w:tcW w:w="73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9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1547" w:type="pct"/>
            <w:gridSpan w:val="3"/>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48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440"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29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506"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73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年度绩效指标完成情况</w:t>
            </w:r>
          </w:p>
        </w:tc>
        <w:tc>
          <w:tcPr>
            <w:tcW w:w="37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产出指标</w:t>
            </w:r>
          </w:p>
        </w:tc>
        <w:tc>
          <w:tcPr>
            <w:tcW w:w="3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数量指标</w:t>
            </w:r>
          </w:p>
        </w:tc>
        <w:tc>
          <w:tcPr>
            <w:tcW w:w="1547"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享受教学条件改善学生数</w:t>
            </w:r>
          </w:p>
        </w:tc>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&gt;=1700人</w:t>
            </w:r>
          </w:p>
        </w:tc>
        <w:tc>
          <w:tcPr>
            <w:tcW w:w="44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1767人</w:t>
            </w:r>
          </w:p>
        </w:tc>
        <w:tc>
          <w:tcPr>
            <w:tcW w:w="2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w:t>
            </w:r>
          </w:p>
        </w:tc>
        <w:tc>
          <w:tcPr>
            <w:tcW w:w="50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w:t>
            </w:r>
          </w:p>
        </w:tc>
        <w:tc>
          <w:tcPr>
            <w:tcW w:w="73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数量指标</w:t>
            </w:r>
          </w:p>
        </w:tc>
        <w:tc>
          <w:tcPr>
            <w:tcW w:w="1547"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学校教学楼照明灯改造次数</w:t>
            </w:r>
          </w:p>
        </w:tc>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&gt;=1次</w:t>
            </w:r>
          </w:p>
        </w:tc>
        <w:tc>
          <w:tcPr>
            <w:tcW w:w="44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1次</w:t>
            </w:r>
          </w:p>
        </w:tc>
        <w:tc>
          <w:tcPr>
            <w:tcW w:w="2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5</w:t>
            </w:r>
          </w:p>
        </w:tc>
        <w:tc>
          <w:tcPr>
            <w:tcW w:w="50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5</w:t>
            </w:r>
          </w:p>
        </w:tc>
        <w:tc>
          <w:tcPr>
            <w:tcW w:w="73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数量指标</w:t>
            </w:r>
          </w:p>
        </w:tc>
        <w:tc>
          <w:tcPr>
            <w:tcW w:w="1547"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学校教学楼暖气维修次数</w:t>
            </w:r>
          </w:p>
        </w:tc>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&gt;=1次</w:t>
            </w:r>
          </w:p>
        </w:tc>
        <w:tc>
          <w:tcPr>
            <w:tcW w:w="44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1次</w:t>
            </w:r>
          </w:p>
        </w:tc>
        <w:tc>
          <w:tcPr>
            <w:tcW w:w="2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5</w:t>
            </w:r>
          </w:p>
        </w:tc>
        <w:tc>
          <w:tcPr>
            <w:tcW w:w="50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5</w:t>
            </w:r>
          </w:p>
        </w:tc>
        <w:tc>
          <w:tcPr>
            <w:tcW w:w="73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质量指标</w:t>
            </w:r>
          </w:p>
        </w:tc>
        <w:tc>
          <w:tcPr>
            <w:tcW w:w="1547"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学校教学楼照明灯改造质量达标率</w:t>
            </w:r>
          </w:p>
        </w:tc>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&gt;=98%</w:t>
            </w:r>
          </w:p>
        </w:tc>
        <w:tc>
          <w:tcPr>
            <w:tcW w:w="44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100%</w:t>
            </w:r>
          </w:p>
        </w:tc>
        <w:tc>
          <w:tcPr>
            <w:tcW w:w="2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5</w:t>
            </w:r>
          </w:p>
        </w:tc>
        <w:tc>
          <w:tcPr>
            <w:tcW w:w="50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5</w:t>
            </w:r>
          </w:p>
        </w:tc>
        <w:tc>
          <w:tcPr>
            <w:tcW w:w="73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质量指标</w:t>
            </w:r>
          </w:p>
        </w:tc>
        <w:tc>
          <w:tcPr>
            <w:tcW w:w="1547"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学校教学楼暖气维修质量达标率</w:t>
            </w:r>
          </w:p>
        </w:tc>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&gt;=98%</w:t>
            </w:r>
          </w:p>
        </w:tc>
        <w:tc>
          <w:tcPr>
            <w:tcW w:w="44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100%</w:t>
            </w:r>
          </w:p>
        </w:tc>
        <w:tc>
          <w:tcPr>
            <w:tcW w:w="2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5</w:t>
            </w:r>
          </w:p>
        </w:tc>
        <w:tc>
          <w:tcPr>
            <w:tcW w:w="50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5</w:t>
            </w:r>
          </w:p>
        </w:tc>
        <w:tc>
          <w:tcPr>
            <w:tcW w:w="73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时效指标</w:t>
            </w:r>
          </w:p>
        </w:tc>
        <w:tc>
          <w:tcPr>
            <w:tcW w:w="1547"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学校教学楼照明灯改造支付及时性</w:t>
            </w:r>
          </w:p>
        </w:tc>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=100%</w:t>
            </w:r>
          </w:p>
        </w:tc>
        <w:tc>
          <w:tcPr>
            <w:tcW w:w="44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100%</w:t>
            </w:r>
          </w:p>
        </w:tc>
        <w:tc>
          <w:tcPr>
            <w:tcW w:w="2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5</w:t>
            </w:r>
          </w:p>
        </w:tc>
        <w:tc>
          <w:tcPr>
            <w:tcW w:w="50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5</w:t>
            </w:r>
          </w:p>
        </w:tc>
        <w:tc>
          <w:tcPr>
            <w:tcW w:w="73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时效指标</w:t>
            </w:r>
          </w:p>
        </w:tc>
        <w:tc>
          <w:tcPr>
            <w:tcW w:w="1547"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学校教学楼暖气维修支付及时性</w:t>
            </w:r>
          </w:p>
        </w:tc>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=100%</w:t>
            </w:r>
          </w:p>
        </w:tc>
        <w:tc>
          <w:tcPr>
            <w:tcW w:w="44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100%</w:t>
            </w:r>
          </w:p>
        </w:tc>
        <w:tc>
          <w:tcPr>
            <w:tcW w:w="2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5</w:t>
            </w:r>
          </w:p>
        </w:tc>
        <w:tc>
          <w:tcPr>
            <w:tcW w:w="50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5</w:t>
            </w:r>
          </w:p>
        </w:tc>
        <w:tc>
          <w:tcPr>
            <w:tcW w:w="73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成本指标</w:t>
            </w:r>
          </w:p>
        </w:tc>
        <w:tc>
          <w:tcPr>
            <w:tcW w:w="1547"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学校教学楼照明灯改造费用</w:t>
            </w:r>
          </w:p>
        </w:tc>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&lt;=40万元/次</w:t>
            </w:r>
          </w:p>
        </w:tc>
        <w:tc>
          <w:tcPr>
            <w:tcW w:w="44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3.94万元/次</w:t>
            </w:r>
          </w:p>
        </w:tc>
        <w:tc>
          <w:tcPr>
            <w:tcW w:w="2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5</w:t>
            </w:r>
          </w:p>
        </w:tc>
        <w:tc>
          <w:tcPr>
            <w:tcW w:w="50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5</w:t>
            </w:r>
          </w:p>
        </w:tc>
        <w:tc>
          <w:tcPr>
            <w:tcW w:w="73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成本指标</w:t>
            </w:r>
          </w:p>
        </w:tc>
        <w:tc>
          <w:tcPr>
            <w:tcW w:w="1547"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学校教学楼暖气维修费</w:t>
            </w:r>
          </w:p>
        </w:tc>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&lt;=60万元/次</w:t>
            </w:r>
          </w:p>
        </w:tc>
        <w:tc>
          <w:tcPr>
            <w:tcW w:w="44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18万元/次</w:t>
            </w:r>
          </w:p>
        </w:tc>
        <w:tc>
          <w:tcPr>
            <w:tcW w:w="2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5</w:t>
            </w:r>
          </w:p>
        </w:tc>
        <w:tc>
          <w:tcPr>
            <w:tcW w:w="50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5</w:t>
            </w:r>
          </w:p>
        </w:tc>
        <w:tc>
          <w:tcPr>
            <w:tcW w:w="73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效益指标</w:t>
            </w:r>
          </w:p>
        </w:tc>
        <w:tc>
          <w:tcPr>
            <w:tcW w:w="3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经济效益指标</w:t>
            </w:r>
          </w:p>
        </w:tc>
        <w:tc>
          <w:tcPr>
            <w:tcW w:w="1547"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default" w:ascii="宋体" w:cs="宋体"/>
                <w:color w:val="000000"/>
                <w:sz w:val="18"/>
                <w:szCs w:val="18"/>
              </w:rPr>
            </w:pPr>
          </w:p>
        </w:tc>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44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2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50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73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社会效益指标</w:t>
            </w:r>
          </w:p>
        </w:tc>
        <w:tc>
          <w:tcPr>
            <w:tcW w:w="1547"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提高社会服务发展能力，提升学生综合素质</w:t>
            </w:r>
          </w:p>
        </w:tc>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有效提高</w:t>
            </w:r>
          </w:p>
        </w:tc>
        <w:tc>
          <w:tcPr>
            <w:tcW w:w="44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完全达到预期效果</w:t>
            </w:r>
          </w:p>
        </w:tc>
        <w:tc>
          <w:tcPr>
            <w:tcW w:w="2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15</w:t>
            </w:r>
          </w:p>
        </w:tc>
        <w:tc>
          <w:tcPr>
            <w:tcW w:w="50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12</w:t>
            </w:r>
          </w:p>
        </w:tc>
        <w:tc>
          <w:tcPr>
            <w:tcW w:w="73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项目资金部分未拨付，影响整体项目效果。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生态效益指标</w:t>
            </w:r>
          </w:p>
        </w:tc>
        <w:tc>
          <w:tcPr>
            <w:tcW w:w="1547"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default" w:ascii="宋体" w:cs="宋体"/>
                <w:color w:val="000000"/>
                <w:sz w:val="18"/>
                <w:szCs w:val="18"/>
              </w:rPr>
            </w:pPr>
          </w:p>
        </w:tc>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44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2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50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73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可持续影响指标</w:t>
            </w:r>
          </w:p>
        </w:tc>
        <w:tc>
          <w:tcPr>
            <w:tcW w:w="1547"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保障教育教学工作正常开展</w:t>
            </w:r>
          </w:p>
        </w:tc>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长期保障</w:t>
            </w:r>
          </w:p>
        </w:tc>
        <w:tc>
          <w:tcPr>
            <w:tcW w:w="44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完全达到预期效果</w:t>
            </w:r>
          </w:p>
        </w:tc>
        <w:tc>
          <w:tcPr>
            <w:tcW w:w="2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15</w:t>
            </w:r>
          </w:p>
        </w:tc>
        <w:tc>
          <w:tcPr>
            <w:tcW w:w="50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12</w:t>
            </w:r>
          </w:p>
        </w:tc>
        <w:tc>
          <w:tcPr>
            <w:tcW w:w="73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项目资金部分未拨付，影响整体项目效果。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满意度指标</w:t>
            </w:r>
          </w:p>
        </w:tc>
        <w:tc>
          <w:tcPr>
            <w:tcW w:w="3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满意度指标</w:t>
            </w:r>
          </w:p>
        </w:tc>
        <w:tc>
          <w:tcPr>
            <w:tcW w:w="1547"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学生和家长满意度</w:t>
            </w:r>
          </w:p>
        </w:tc>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&gt;=95%</w:t>
            </w:r>
          </w:p>
        </w:tc>
        <w:tc>
          <w:tcPr>
            <w:tcW w:w="44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100%</w:t>
            </w:r>
          </w:p>
        </w:tc>
        <w:tc>
          <w:tcPr>
            <w:tcW w:w="2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w:t>
            </w:r>
          </w:p>
        </w:tc>
        <w:tc>
          <w:tcPr>
            <w:tcW w:w="50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w:t>
            </w:r>
          </w:p>
        </w:tc>
        <w:tc>
          <w:tcPr>
            <w:tcW w:w="73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460" w:type="pct"/>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总分</w:t>
            </w:r>
          </w:p>
        </w:tc>
        <w:tc>
          <w:tcPr>
            <w:tcW w:w="2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100</w:t>
            </w:r>
          </w:p>
        </w:tc>
        <w:tc>
          <w:tcPr>
            <w:tcW w:w="50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94.00分</w:t>
            </w:r>
          </w:p>
        </w:tc>
        <w:tc>
          <w:tcPr>
            <w:tcW w:w="73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r>
    </w:tbl>
    <w:p>
      <w:pPr>
        <w:shd w:val="clear" w:color="auto" w:fill="FFFFFF"/>
        <w:spacing w:before="100" w:beforeLines="0" w:afterLines="0" w:line="520" w:lineRule="exact"/>
        <w:ind w:left="118" w:firstLine="480"/>
        <w:rPr>
          <w:rFonts w:hint="default" w:eastAsia="Times New Roman"/>
          <w:kern w:val="0"/>
          <w:sz w:val="24"/>
          <w:szCs w:val="24"/>
        </w:rPr>
      </w:pPr>
    </w:p>
    <w:p>
      <w:pPr>
        <w:shd w:val="clear" w:color="auto" w:fill="FFFFFF"/>
        <w:spacing w:before="100" w:beforeLines="0" w:afterLines="0" w:line="520" w:lineRule="exact"/>
        <w:ind w:left="118" w:firstLine="480"/>
        <w:rPr>
          <w:rFonts w:hint="default" w:eastAsia="Times New Roman"/>
          <w:kern w:val="0"/>
          <w:sz w:val="24"/>
          <w:szCs w:val="24"/>
        </w:rPr>
      </w:pPr>
    </w:p>
    <w:tbl>
      <w:tblPr>
        <w:tblStyle w:val="4"/>
        <w:tblW w:w="4878" w:type="pct"/>
        <w:tblInd w:w="10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88"/>
        <w:gridCol w:w="615"/>
        <w:gridCol w:w="658"/>
        <w:gridCol w:w="797"/>
        <w:gridCol w:w="1149"/>
        <w:gridCol w:w="722"/>
        <w:gridCol w:w="764"/>
        <w:gridCol w:w="289"/>
        <w:gridCol w:w="598"/>
        <w:gridCol w:w="942"/>
        <w:gridCol w:w="899"/>
        <w:gridCol w:w="8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2"/>
            <w:tcBorders>
              <w:top w:val="nil"/>
              <w:left w:val="nil"/>
              <w:bottom w:val="nil"/>
              <w:right w:val="nil"/>
              <w:tl2br w:val="nil"/>
              <w:tr2bl w:val="nil"/>
            </w:tcBorders>
            <w:noWrap w:val="0"/>
            <w:vAlign w:val="center"/>
          </w:tcPr>
          <w:p>
            <w:pPr>
              <w:spacing w:beforeLines="0" w:afterLines="0"/>
              <w:jc w:val="center"/>
              <w:textAlignment w:val="center"/>
              <w:rPr>
                <w:rFonts w:hint="default" w:ascii="宋体" w:cs="宋体"/>
                <w:b/>
                <w:color w:val="000000"/>
                <w:sz w:val="32"/>
                <w:szCs w:val="32"/>
              </w:rPr>
            </w:pPr>
            <w:r>
              <w:rPr>
                <w:rFonts w:hint="eastAsia" w:ascii="宋体" w:hAnsi="宋体" w:cs="宋体"/>
                <w:b/>
                <w:color w:val="000000"/>
                <w:kern w:val="0"/>
                <w:sz w:val="32"/>
                <w:szCs w:val="32"/>
                <w:lang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2"/>
            <w:tcBorders>
              <w:top w:val="nil"/>
              <w:left w:val="nil"/>
              <w:bottom w:val="nil"/>
              <w:right w:val="nil"/>
              <w:tl2br w:val="nil"/>
              <w:tr2bl w:val="nil"/>
            </w:tcBorders>
            <w:noWrap w:val="0"/>
            <w:vAlign w:val="center"/>
          </w:tcPr>
          <w:p>
            <w:pPr>
              <w:spacing w:beforeLines="0" w:afterLines="0"/>
              <w:jc w:val="center"/>
              <w:textAlignment w:val="center"/>
              <w:rPr>
                <w:rFonts w:hint="default" w:ascii="宋体" w:cs="宋体"/>
                <w:color w:val="000000"/>
                <w:sz w:val="20"/>
                <w:szCs w:val="20"/>
              </w:rPr>
            </w:pPr>
            <w:r>
              <w:rPr>
                <w:rFonts w:hint="eastAsia" w:ascii="宋体" w:hAnsi="宋体" w:cs="宋体"/>
                <w:color w:val="000000"/>
                <w:kern w:val="0"/>
                <w:sz w:val="20"/>
                <w:szCs w:val="20"/>
                <w:lang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8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项目名称</w:t>
            </w:r>
          </w:p>
        </w:tc>
        <w:tc>
          <w:tcPr>
            <w:tcW w:w="4418" w:type="pct"/>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培训费（小学、初中）</w:t>
            </w:r>
            <w:r>
              <w:rPr>
                <w:rFonts w:hint="default" w:ascii="宋体" w:cs="宋体"/>
                <w:color w:val="000000"/>
                <w:kern w:val="0"/>
                <w:sz w:val="18"/>
                <w:szCs w:val="18"/>
                <w:lang w:bidi="ar"/>
              </w:rPr>
              <w:t>--</w:t>
            </w:r>
            <w:r>
              <w:rPr>
                <w:rFonts w:hint="eastAsia" w:ascii="宋体" w:hAnsi="宋体" w:cs="宋体"/>
                <w:color w:val="000000"/>
                <w:kern w:val="0"/>
                <w:sz w:val="18"/>
                <w:szCs w:val="18"/>
                <w:lang w:bidi="ar"/>
              </w:rPr>
              <w:t>关于提前下达2022年教育直达资金的通知[乌财科教2021[120]号、96号]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8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主管部门</w:t>
            </w:r>
          </w:p>
        </w:tc>
        <w:tc>
          <w:tcPr>
            <w:tcW w:w="2367"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第63中学</w:t>
            </w:r>
          </w:p>
        </w:tc>
        <w:tc>
          <w:tcPr>
            <w:tcW w:w="1057"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实施单位</w:t>
            </w:r>
          </w:p>
        </w:tc>
        <w:tc>
          <w:tcPr>
            <w:tcW w:w="99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第63中学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81"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项目资金</w:t>
            </w:r>
            <w:r>
              <w:rPr>
                <w:rFonts w:hint="default" w:ascii="宋体" w:cs="宋体"/>
                <w:color w:val="000000"/>
                <w:kern w:val="0"/>
                <w:sz w:val="18"/>
                <w:szCs w:val="18"/>
                <w:lang w:bidi="ar"/>
              </w:rPr>
              <w:br w:type="textWrapping"/>
            </w:r>
            <w:r>
              <w:rPr>
                <w:rFonts w:hint="eastAsia" w:ascii="宋体" w:hAnsi="宋体" w:cs="宋体"/>
                <w:color w:val="000000"/>
                <w:kern w:val="0"/>
                <w:sz w:val="18"/>
                <w:szCs w:val="18"/>
                <w:lang w:bidi="ar"/>
              </w:rPr>
              <w:t>（万元）</w:t>
            </w:r>
          </w:p>
        </w:tc>
        <w:tc>
          <w:tcPr>
            <w:tcW w:w="84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66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年初预算数</w:t>
            </w:r>
          </w:p>
        </w:tc>
        <w:tc>
          <w:tcPr>
            <w:tcW w:w="85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全年预算数</w:t>
            </w:r>
          </w:p>
        </w:tc>
        <w:tc>
          <w:tcPr>
            <w:tcW w:w="51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全年执行数</w:t>
            </w:r>
          </w:p>
        </w:tc>
        <w:tc>
          <w:tcPr>
            <w:tcW w:w="54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分值</w:t>
            </w: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执行率</w:t>
            </w:r>
          </w:p>
        </w:tc>
        <w:tc>
          <w:tcPr>
            <w:tcW w:w="4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81"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84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年度资金总额</w:t>
            </w:r>
          </w:p>
        </w:tc>
        <w:tc>
          <w:tcPr>
            <w:tcW w:w="66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0.00</w:t>
            </w:r>
          </w:p>
        </w:tc>
        <w:tc>
          <w:tcPr>
            <w:tcW w:w="85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5.72</w:t>
            </w:r>
          </w:p>
        </w:tc>
        <w:tc>
          <w:tcPr>
            <w:tcW w:w="51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0.20</w:t>
            </w:r>
          </w:p>
        </w:tc>
        <w:tc>
          <w:tcPr>
            <w:tcW w:w="54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w:t>
            </w: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3.50%</w:t>
            </w:r>
          </w:p>
        </w:tc>
        <w:tc>
          <w:tcPr>
            <w:tcW w:w="4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0.35分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81"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84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其中：当年财政拨款</w:t>
            </w:r>
          </w:p>
        </w:tc>
        <w:tc>
          <w:tcPr>
            <w:tcW w:w="66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0.00</w:t>
            </w:r>
          </w:p>
        </w:tc>
        <w:tc>
          <w:tcPr>
            <w:tcW w:w="85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5.72</w:t>
            </w:r>
          </w:p>
        </w:tc>
        <w:tc>
          <w:tcPr>
            <w:tcW w:w="51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0.20</w:t>
            </w:r>
          </w:p>
        </w:tc>
        <w:tc>
          <w:tcPr>
            <w:tcW w:w="54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c>
          <w:tcPr>
            <w:tcW w:w="4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581"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84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上年结转资金</w:t>
            </w:r>
          </w:p>
        </w:tc>
        <w:tc>
          <w:tcPr>
            <w:tcW w:w="66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p>
        </w:tc>
        <w:tc>
          <w:tcPr>
            <w:tcW w:w="85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p>
        </w:tc>
        <w:tc>
          <w:tcPr>
            <w:tcW w:w="51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p>
        </w:tc>
        <w:tc>
          <w:tcPr>
            <w:tcW w:w="54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c>
          <w:tcPr>
            <w:tcW w:w="4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81"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84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其他资金</w:t>
            </w:r>
          </w:p>
        </w:tc>
        <w:tc>
          <w:tcPr>
            <w:tcW w:w="66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p>
        </w:tc>
        <w:tc>
          <w:tcPr>
            <w:tcW w:w="85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p>
        </w:tc>
        <w:tc>
          <w:tcPr>
            <w:tcW w:w="51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p>
        </w:tc>
        <w:tc>
          <w:tcPr>
            <w:tcW w:w="54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c>
          <w:tcPr>
            <w:tcW w:w="4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年度总体目标</w:t>
            </w:r>
          </w:p>
        </w:tc>
        <w:tc>
          <w:tcPr>
            <w:tcW w:w="2889"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预期目标</w:t>
            </w:r>
          </w:p>
        </w:tc>
        <w:tc>
          <w:tcPr>
            <w:tcW w:w="1884"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2889"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本项目教师继续教育全年培训2次左右，提高学校的教学质量</w:t>
            </w:r>
            <w:r>
              <w:rPr>
                <w:rFonts w:hint="default" w:ascii="宋体" w:cs="宋体"/>
                <w:color w:val="000000"/>
                <w:kern w:val="0"/>
                <w:sz w:val="18"/>
                <w:szCs w:val="18"/>
                <w:lang w:bidi="ar"/>
              </w:rPr>
              <w:t>,</w:t>
            </w:r>
            <w:r>
              <w:rPr>
                <w:rFonts w:hint="eastAsia" w:ascii="宋体" w:hAnsi="宋体" w:cs="宋体"/>
                <w:color w:val="000000"/>
                <w:kern w:val="0"/>
                <w:sz w:val="18"/>
                <w:szCs w:val="18"/>
                <w:lang w:bidi="ar"/>
              </w:rPr>
              <w:t>改善我校教师教师自身的教学水平和能力，充分调动教师学习的积极性，在教学改革中实现真正的成长。</w:t>
            </w:r>
          </w:p>
        </w:tc>
        <w:tc>
          <w:tcPr>
            <w:tcW w:w="1884"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项目实际支付1学期教师继续教育培训费，提高了学校的教学质量</w:t>
            </w:r>
            <w:r>
              <w:rPr>
                <w:rFonts w:hint="default" w:ascii="宋体" w:cs="宋体"/>
                <w:color w:val="000000"/>
                <w:kern w:val="0"/>
                <w:sz w:val="18"/>
                <w:szCs w:val="18"/>
                <w:lang w:bidi="ar"/>
              </w:rPr>
              <w:t>,</w:t>
            </w:r>
            <w:r>
              <w:rPr>
                <w:rFonts w:hint="eastAsia" w:ascii="宋体" w:hAnsi="宋体" w:cs="宋体"/>
                <w:color w:val="000000"/>
                <w:kern w:val="0"/>
                <w:sz w:val="18"/>
                <w:szCs w:val="18"/>
                <w:lang w:bidi="ar"/>
              </w:rPr>
              <w:t>改善我校教师教师自身的教学水平和能力，充分调动教师学习的积极性，在教学改革中实现真正的成长。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5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一级指标</w:t>
            </w:r>
          </w:p>
        </w:tc>
        <w:tc>
          <w:tcPr>
            <w:tcW w:w="38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二级指标</w:t>
            </w:r>
          </w:p>
        </w:tc>
        <w:tc>
          <w:tcPr>
            <w:tcW w:w="1125"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三级指标</w:t>
            </w:r>
          </w:p>
        </w:tc>
        <w:tc>
          <w:tcPr>
            <w:tcW w:w="418"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年度指标值</w:t>
            </w:r>
          </w:p>
        </w:tc>
        <w:tc>
          <w:tcPr>
            <w:tcW w:w="607"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实际完成值</w:t>
            </w:r>
          </w:p>
        </w:tc>
        <w:tc>
          <w:tcPr>
            <w:tcW w:w="891"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分值</w:t>
            </w:r>
          </w:p>
        </w:tc>
        <w:tc>
          <w:tcPr>
            <w:tcW w:w="52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得分</w:t>
            </w:r>
          </w:p>
        </w:tc>
        <w:tc>
          <w:tcPr>
            <w:tcW w:w="472"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5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8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1125"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41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607"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891"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52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47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年度绩效指标完成情况</w:t>
            </w:r>
          </w:p>
        </w:tc>
        <w:tc>
          <w:tcPr>
            <w:tcW w:w="35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产出指标</w:t>
            </w:r>
          </w:p>
        </w:tc>
        <w:tc>
          <w:tcPr>
            <w:tcW w:w="3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数量指标</w:t>
            </w:r>
          </w:p>
        </w:tc>
        <w:tc>
          <w:tcPr>
            <w:tcW w:w="1125"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小学教师参加培训人数</w:t>
            </w:r>
          </w:p>
        </w:tc>
        <w:tc>
          <w:tcPr>
            <w:tcW w:w="41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&gt;=8人/学期</w:t>
            </w:r>
          </w:p>
        </w:tc>
        <w:tc>
          <w:tcPr>
            <w:tcW w:w="60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r>
              <w:rPr>
                <w:rFonts w:hint="eastAsia" w:ascii="宋体" w:hAnsi="宋体" w:cs="宋体"/>
                <w:color w:val="000000"/>
                <w:kern w:val="0"/>
                <w:sz w:val="18"/>
                <w:szCs w:val="18"/>
                <w:lang w:bidi="ar"/>
              </w:rPr>
              <w:t>人/学期</w:t>
            </w:r>
          </w:p>
        </w:tc>
        <w:tc>
          <w:tcPr>
            <w:tcW w:w="8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2</w:t>
            </w: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p>
        </w:tc>
        <w:tc>
          <w:tcPr>
            <w:tcW w:w="4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2022年度因疫情原因，财政未拨款，部分资金未支付。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5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数量指标</w:t>
            </w:r>
          </w:p>
        </w:tc>
        <w:tc>
          <w:tcPr>
            <w:tcW w:w="1125"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中学教师参加培训人数</w:t>
            </w:r>
          </w:p>
        </w:tc>
        <w:tc>
          <w:tcPr>
            <w:tcW w:w="41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&gt;=8人/学期</w:t>
            </w:r>
          </w:p>
        </w:tc>
        <w:tc>
          <w:tcPr>
            <w:tcW w:w="60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3人/学期</w:t>
            </w:r>
          </w:p>
        </w:tc>
        <w:tc>
          <w:tcPr>
            <w:tcW w:w="8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2</w:t>
            </w: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p>
        </w:tc>
        <w:tc>
          <w:tcPr>
            <w:tcW w:w="4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2022年度因疫情原因，财政未拨款，部分资金未支付。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5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质量指标</w:t>
            </w:r>
          </w:p>
        </w:tc>
        <w:tc>
          <w:tcPr>
            <w:tcW w:w="1125"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参加继续教育培训通过率</w:t>
            </w:r>
          </w:p>
        </w:tc>
        <w:tc>
          <w:tcPr>
            <w:tcW w:w="41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&gt;=99%</w:t>
            </w:r>
          </w:p>
        </w:tc>
        <w:tc>
          <w:tcPr>
            <w:tcW w:w="60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100%</w:t>
            </w:r>
          </w:p>
        </w:tc>
        <w:tc>
          <w:tcPr>
            <w:tcW w:w="8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8</w:t>
            </w: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8</w:t>
            </w:r>
          </w:p>
        </w:tc>
        <w:tc>
          <w:tcPr>
            <w:tcW w:w="4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5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时效指标</w:t>
            </w:r>
          </w:p>
        </w:tc>
        <w:tc>
          <w:tcPr>
            <w:tcW w:w="1125"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项目完成时间</w:t>
            </w:r>
          </w:p>
        </w:tc>
        <w:tc>
          <w:tcPr>
            <w:tcW w:w="41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=12个月</w:t>
            </w:r>
          </w:p>
        </w:tc>
        <w:tc>
          <w:tcPr>
            <w:tcW w:w="60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12个月</w:t>
            </w:r>
          </w:p>
        </w:tc>
        <w:tc>
          <w:tcPr>
            <w:tcW w:w="8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w:t>
            </w: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w:t>
            </w:r>
          </w:p>
        </w:tc>
        <w:tc>
          <w:tcPr>
            <w:tcW w:w="4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5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成本指标</w:t>
            </w:r>
          </w:p>
        </w:tc>
        <w:tc>
          <w:tcPr>
            <w:tcW w:w="1125"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小学教师参加继续教育培训成本</w:t>
            </w:r>
          </w:p>
        </w:tc>
        <w:tc>
          <w:tcPr>
            <w:tcW w:w="41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=608元/人</w:t>
            </w:r>
          </w:p>
        </w:tc>
        <w:tc>
          <w:tcPr>
            <w:tcW w:w="60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r>
              <w:rPr>
                <w:rFonts w:hint="eastAsia" w:ascii="宋体" w:hAnsi="宋体" w:cs="宋体"/>
                <w:color w:val="000000"/>
                <w:kern w:val="0"/>
                <w:sz w:val="18"/>
                <w:szCs w:val="18"/>
                <w:lang w:bidi="ar"/>
              </w:rPr>
              <w:t>元/人</w:t>
            </w:r>
          </w:p>
        </w:tc>
        <w:tc>
          <w:tcPr>
            <w:tcW w:w="8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8</w:t>
            </w: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p>
        </w:tc>
        <w:tc>
          <w:tcPr>
            <w:tcW w:w="4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2022年度因疫情原因，财政未拨款，部分资金未支付。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5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成本指标</w:t>
            </w:r>
          </w:p>
        </w:tc>
        <w:tc>
          <w:tcPr>
            <w:tcW w:w="1125"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中学教师参加继续教育培训成本</w:t>
            </w:r>
          </w:p>
        </w:tc>
        <w:tc>
          <w:tcPr>
            <w:tcW w:w="41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=688元/人</w:t>
            </w:r>
          </w:p>
        </w:tc>
        <w:tc>
          <w:tcPr>
            <w:tcW w:w="60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688元/人</w:t>
            </w:r>
          </w:p>
        </w:tc>
        <w:tc>
          <w:tcPr>
            <w:tcW w:w="8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20</w:t>
            </w: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20</w:t>
            </w:r>
          </w:p>
        </w:tc>
        <w:tc>
          <w:tcPr>
            <w:tcW w:w="4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5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效益指标</w:t>
            </w:r>
          </w:p>
        </w:tc>
        <w:tc>
          <w:tcPr>
            <w:tcW w:w="3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经济效益指标</w:t>
            </w:r>
          </w:p>
        </w:tc>
        <w:tc>
          <w:tcPr>
            <w:tcW w:w="1125"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default" w:ascii="宋体" w:cs="宋体"/>
                <w:color w:val="000000"/>
                <w:sz w:val="18"/>
                <w:szCs w:val="18"/>
              </w:rPr>
            </w:pPr>
          </w:p>
        </w:tc>
        <w:tc>
          <w:tcPr>
            <w:tcW w:w="41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60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8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4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5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社会效益指标</w:t>
            </w:r>
          </w:p>
        </w:tc>
        <w:tc>
          <w:tcPr>
            <w:tcW w:w="1125"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开展党的路线、方针、政策宣传，提高人们的社会意识</w:t>
            </w:r>
          </w:p>
        </w:tc>
        <w:tc>
          <w:tcPr>
            <w:tcW w:w="41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有效完成</w:t>
            </w:r>
          </w:p>
        </w:tc>
        <w:tc>
          <w:tcPr>
            <w:tcW w:w="60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完全达到预期效果</w:t>
            </w:r>
          </w:p>
        </w:tc>
        <w:tc>
          <w:tcPr>
            <w:tcW w:w="8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15</w:t>
            </w: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15</w:t>
            </w:r>
          </w:p>
        </w:tc>
        <w:tc>
          <w:tcPr>
            <w:tcW w:w="4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5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生态效益指标</w:t>
            </w:r>
          </w:p>
        </w:tc>
        <w:tc>
          <w:tcPr>
            <w:tcW w:w="1125"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default" w:ascii="宋体" w:cs="宋体"/>
                <w:color w:val="000000"/>
                <w:sz w:val="18"/>
                <w:szCs w:val="18"/>
              </w:rPr>
            </w:pPr>
          </w:p>
        </w:tc>
        <w:tc>
          <w:tcPr>
            <w:tcW w:w="41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60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8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4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5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可持续影响指标</w:t>
            </w:r>
          </w:p>
        </w:tc>
        <w:tc>
          <w:tcPr>
            <w:tcW w:w="1125"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可持续发展理念的宣传和培训</w:t>
            </w:r>
          </w:p>
        </w:tc>
        <w:tc>
          <w:tcPr>
            <w:tcW w:w="41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长期有效</w:t>
            </w:r>
          </w:p>
        </w:tc>
        <w:tc>
          <w:tcPr>
            <w:tcW w:w="60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完全达到预期效果</w:t>
            </w:r>
          </w:p>
        </w:tc>
        <w:tc>
          <w:tcPr>
            <w:tcW w:w="8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15</w:t>
            </w: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15</w:t>
            </w:r>
          </w:p>
        </w:tc>
        <w:tc>
          <w:tcPr>
            <w:tcW w:w="4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满意度指标</w:t>
            </w:r>
          </w:p>
        </w:tc>
        <w:tc>
          <w:tcPr>
            <w:tcW w:w="3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满意度指标</w:t>
            </w:r>
          </w:p>
        </w:tc>
        <w:tc>
          <w:tcPr>
            <w:tcW w:w="1125"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培训对象满意度</w:t>
            </w:r>
          </w:p>
        </w:tc>
        <w:tc>
          <w:tcPr>
            <w:tcW w:w="41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&gt;=90%</w:t>
            </w:r>
          </w:p>
        </w:tc>
        <w:tc>
          <w:tcPr>
            <w:tcW w:w="60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100%</w:t>
            </w:r>
          </w:p>
        </w:tc>
        <w:tc>
          <w:tcPr>
            <w:tcW w:w="8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w:t>
            </w: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w:t>
            </w:r>
          </w:p>
        </w:tc>
        <w:tc>
          <w:tcPr>
            <w:tcW w:w="4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115"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总分</w:t>
            </w:r>
          </w:p>
        </w:tc>
        <w:tc>
          <w:tcPr>
            <w:tcW w:w="8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100</w:t>
            </w: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78.35分</w:t>
            </w:r>
          </w:p>
        </w:tc>
        <w:tc>
          <w:tcPr>
            <w:tcW w:w="4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r>
    </w:tbl>
    <w:p>
      <w:pPr>
        <w:shd w:val="clear" w:color="auto" w:fill="FFFFFF"/>
        <w:spacing w:before="100" w:beforeLines="0" w:afterLines="0" w:line="520" w:lineRule="exact"/>
        <w:ind w:left="118" w:firstLine="480"/>
        <w:rPr>
          <w:rFonts w:hint="default" w:eastAsia="Times New Roman"/>
          <w:kern w:val="0"/>
          <w:sz w:val="24"/>
          <w:szCs w:val="24"/>
        </w:rPr>
      </w:pPr>
    </w:p>
    <w:tbl>
      <w:tblPr>
        <w:tblStyle w:val="4"/>
        <w:tblW w:w="4861" w:type="pct"/>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9"/>
        <w:gridCol w:w="585"/>
        <w:gridCol w:w="644"/>
        <w:gridCol w:w="1118"/>
        <w:gridCol w:w="1102"/>
        <w:gridCol w:w="298"/>
        <w:gridCol w:w="498"/>
        <w:gridCol w:w="704"/>
        <w:gridCol w:w="585"/>
        <w:gridCol w:w="436"/>
        <w:gridCol w:w="449"/>
        <w:gridCol w:w="982"/>
        <w:gridCol w:w="7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3"/>
            <w:tcBorders>
              <w:top w:val="nil"/>
              <w:left w:val="nil"/>
              <w:bottom w:val="nil"/>
              <w:right w:val="nil"/>
              <w:tl2br w:val="nil"/>
              <w:tr2bl w:val="nil"/>
            </w:tcBorders>
            <w:noWrap w:val="0"/>
            <w:vAlign w:val="center"/>
          </w:tcPr>
          <w:p>
            <w:pPr>
              <w:spacing w:beforeLines="0" w:afterLines="0"/>
              <w:jc w:val="center"/>
              <w:textAlignment w:val="center"/>
              <w:rPr>
                <w:rFonts w:hint="default" w:ascii="宋体" w:cs="宋体"/>
                <w:b/>
                <w:color w:val="000000"/>
                <w:sz w:val="32"/>
                <w:szCs w:val="32"/>
              </w:rPr>
            </w:pPr>
            <w:r>
              <w:rPr>
                <w:rFonts w:hint="eastAsia" w:ascii="宋体" w:hAnsi="宋体" w:cs="宋体"/>
                <w:b/>
                <w:color w:val="000000"/>
                <w:kern w:val="0"/>
                <w:sz w:val="32"/>
                <w:szCs w:val="32"/>
                <w:lang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3"/>
            <w:tcBorders>
              <w:top w:val="nil"/>
              <w:left w:val="nil"/>
              <w:bottom w:val="nil"/>
              <w:right w:val="nil"/>
              <w:tl2br w:val="nil"/>
              <w:tr2bl w:val="nil"/>
            </w:tcBorders>
            <w:noWrap w:val="0"/>
            <w:vAlign w:val="center"/>
          </w:tcPr>
          <w:p>
            <w:pPr>
              <w:spacing w:beforeLines="0" w:afterLines="0"/>
              <w:jc w:val="center"/>
              <w:textAlignment w:val="center"/>
              <w:rPr>
                <w:rFonts w:hint="default" w:ascii="宋体" w:cs="宋体"/>
                <w:color w:val="000000"/>
                <w:sz w:val="20"/>
                <w:szCs w:val="20"/>
              </w:rPr>
            </w:pPr>
            <w:r>
              <w:rPr>
                <w:rFonts w:hint="eastAsia" w:ascii="宋体" w:hAnsi="宋体" w:cs="宋体"/>
                <w:color w:val="000000"/>
                <w:kern w:val="0"/>
                <w:sz w:val="20"/>
                <w:szCs w:val="20"/>
                <w:lang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8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项目名称</w:t>
            </w:r>
          </w:p>
        </w:tc>
        <w:tc>
          <w:tcPr>
            <w:tcW w:w="4416"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乌财科教[2022]45号</w:t>
            </w:r>
            <w:r>
              <w:rPr>
                <w:rFonts w:hint="default" w:ascii="宋体" w:cs="宋体"/>
                <w:color w:val="000000"/>
                <w:kern w:val="0"/>
                <w:sz w:val="18"/>
                <w:szCs w:val="18"/>
                <w:lang w:bidi="ar"/>
              </w:rPr>
              <w:t>--</w:t>
            </w:r>
            <w:r>
              <w:rPr>
                <w:rFonts w:hint="eastAsia" w:ascii="宋体" w:hAnsi="宋体" w:cs="宋体"/>
                <w:color w:val="000000"/>
                <w:kern w:val="0"/>
                <w:sz w:val="18"/>
                <w:szCs w:val="18"/>
                <w:lang w:bidi="ar"/>
              </w:rPr>
              <w:t>关于拨付2022年中小学和幼儿园自聘教师补助（小学、中学）资金的通知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8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主管部门</w:t>
            </w:r>
          </w:p>
        </w:tc>
        <w:tc>
          <w:tcPr>
            <w:tcW w:w="2533"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第63中学</w:t>
            </w:r>
          </w:p>
        </w:tc>
        <w:tc>
          <w:tcPr>
            <w:tcW w:w="59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实施单位</w:t>
            </w:r>
          </w:p>
        </w:tc>
        <w:tc>
          <w:tcPr>
            <w:tcW w:w="1289"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第63中学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83"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项目资金</w:t>
            </w:r>
            <w:r>
              <w:rPr>
                <w:rFonts w:hint="default" w:ascii="宋体" w:cs="宋体"/>
                <w:color w:val="000000"/>
                <w:kern w:val="0"/>
                <w:sz w:val="18"/>
                <w:szCs w:val="18"/>
                <w:lang w:bidi="ar"/>
              </w:rPr>
              <w:br w:type="textWrapping"/>
            </w:r>
            <w:r>
              <w:rPr>
                <w:rFonts w:hint="eastAsia" w:ascii="宋体" w:hAnsi="宋体" w:cs="宋体"/>
                <w:color w:val="000000"/>
                <w:kern w:val="0"/>
                <w:sz w:val="18"/>
                <w:szCs w:val="18"/>
                <w:lang w:bidi="ar"/>
              </w:rPr>
              <w:t>（万元）</w:t>
            </w:r>
          </w:p>
        </w:tc>
        <w:tc>
          <w:tcPr>
            <w:tcW w:w="10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81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年初预算数</w:t>
            </w:r>
          </w:p>
        </w:tc>
        <w:tc>
          <w:tcPr>
            <w:tcW w:w="69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全年预算数</w:t>
            </w:r>
          </w:p>
        </w:tc>
        <w:tc>
          <w:tcPr>
            <w:tcW w:w="59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全年执行数</w:t>
            </w:r>
          </w:p>
        </w:tc>
        <w:tc>
          <w:tcPr>
            <w:tcW w:w="26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分值</w:t>
            </w:r>
          </w:p>
        </w:tc>
        <w:tc>
          <w:tcPr>
            <w:tcW w:w="5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执行率</w:t>
            </w:r>
          </w:p>
        </w:tc>
        <w:tc>
          <w:tcPr>
            <w:tcW w:w="4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83"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10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年度资金总额</w:t>
            </w:r>
          </w:p>
        </w:tc>
        <w:tc>
          <w:tcPr>
            <w:tcW w:w="81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0.00</w:t>
            </w:r>
          </w:p>
        </w:tc>
        <w:tc>
          <w:tcPr>
            <w:tcW w:w="69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99.22</w:t>
            </w:r>
          </w:p>
        </w:tc>
        <w:tc>
          <w:tcPr>
            <w:tcW w:w="59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19.94</w:t>
            </w:r>
          </w:p>
        </w:tc>
        <w:tc>
          <w:tcPr>
            <w:tcW w:w="26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w:t>
            </w:r>
          </w:p>
        </w:tc>
        <w:tc>
          <w:tcPr>
            <w:tcW w:w="5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20.10%</w:t>
            </w:r>
          </w:p>
        </w:tc>
        <w:tc>
          <w:tcPr>
            <w:tcW w:w="4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2.01分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83"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10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其中：当年财政拨款</w:t>
            </w:r>
          </w:p>
        </w:tc>
        <w:tc>
          <w:tcPr>
            <w:tcW w:w="81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0.00</w:t>
            </w:r>
          </w:p>
        </w:tc>
        <w:tc>
          <w:tcPr>
            <w:tcW w:w="69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99.22</w:t>
            </w:r>
          </w:p>
        </w:tc>
        <w:tc>
          <w:tcPr>
            <w:tcW w:w="59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19.94</w:t>
            </w:r>
          </w:p>
        </w:tc>
        <w:tc>
          <w:tcPr>
            <w:tcW w:w="26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c>
          <w:tcPr>
            <w:tcW w:w="5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c>
          <w:tcPr>
            <w:tcW w:w="4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83"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10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上年结转资金</w:t>
            </w:r>
          </w:p>
        </w:tc>
        <w:tc>
          <w:tcPr>
            <w:tcW w:w="81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p>
        </w:tc>
        <w:tc>
          <w:tcPr>
            <w:tcW w:w="69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p>
        </w:tc>
        <w:tc>
          <w:tcPr>
            <w:tcW w:w="59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p>
        </w:tc>
        <w:tc>
          <w:tcPr>
            <w:tcW w:w="26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c>
          <w:tcPr>
            <w:tcW w:w="5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c>
          <w:tcPr>
            <w:tcW w:w="4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83"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10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其他资金</w:t>
            </w:r>
          </w:p>
        </w:tc>
        <w:tc>
          <w:tcPr>
            <w:tcW w:w="81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p>
        </w:tc>
        <w:tc>
          <w:tcPr>
            <w:tcW w:w="69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p>
        </w:tc>
        <w:tc>
          <w:tcPr>
            <w:tcW w:w="59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p>
        </w:tc>
        <w:tc>
          <w:tcPr>
            <w:tcW w:w="26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c>
          <w:tcPr>
            <w:tcW w:w="5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c>
          <w:tcPr>
            <w:tcW w:w="4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年度总体目标</w:t>
            </w:r>
          </w:p>
        </w:tc>
        <w:tc>
          <w:tcPr>
            <w:tcW w:w="2873"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预期目标</w:t>
            </w:r>
          </w:p>
        </w:tc>
        <w:tc>
          <w:tcPr>
            <w:tcW w:w="1882"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2873"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聘用代课教师，弥补现有师资力量的不足，保障学校各项正常教学工作的完成；提高教师的工作效率，提高受益对象的满意度。</w:t>
            </w:r>
          </w:p>
        </w:tc>
        <w:tc>
          <w:tcPr>
            <w:tcW w:w="1882"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该项目全额发放我单位10月非在编教师工资，改善了非在编教师的生活质量，提高了非在编教师工作积极性。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3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一级指标</w:t>
            </w:r>
          </w:p>
        </w:tc>
        <w:tc>
          <w:tcPr>
            <w:tcW w:w="374"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二级指标</w:t>
            </w:r>
          </w:p>
        </w:tc>
        <w:tc>
          <w:tcPr>
            <w:tcW w:w="1289"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三级指标</w:t>
            </w:r>
          </w:p>
        </w:tc>
        <w:tc>
          <w:tcPr>
            <w:tcW w:w="462"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年度指标值</w:t>
            </w:r>
          </w:p>
        </w:tc>
        <w:tc>
          <w:tcPr>
            <w:tcW w:w="40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实际完成值</w:t>
            </w:r>
          </w:p>
        </w:tc>
        <w:tc>
          <w:tcPr>
            <w:tcW w:w="34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分值</w:t>
            </w:r>
          </w:p>
        </w:tc>
        <w:tc>
          <w:tcPr>
            <w:tcW w:w="514"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得分</w:t>
            </w:r>
          </w:p>
        </w:tc>
        <w:tc>
          <w:tcPr>
            <w:tcW w:w="1027"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3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1289"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462"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40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4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514"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1027"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年度绩效指标完成情况</w:t>
            </w:r>
          </w:p>
        </w:tc>
        <w:tc>
          <w:tcPr>
            <w:tcW w:w="33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产出指标</w:t>
            </w:r>
          </w:p>
        </w:tc>
        <w:tc>
          <w:tcPr>
            <w:tcW w:w="37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数量指标</w:t>
            </w:r>
          </w:p>
        </w:tc>
        <w:tc>
          <w:tcPr>
            <w:tcW w:w="1289"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代课教师发放人数）</w:t>
            </w:r>
          </w:p>
        </w:tc>
        <w:tc>
          <w:tcPr>
            <w:tcW w:w="4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=26人</w:t>
            </w:r>
          </w:p>
        </w:tc>
        <w:tc>
          <w:tcPr>
            <w:tcW w:w="40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26人</w:t>
            </w:r>
          </w:p>
        </w:tc>
        <w:tc>
          <w:tcPr>
            <w:tcW w:w="3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8</w:t>
            </w:r>
          </w:p>
        </w:tc>
        <w:tc>
          <w:tcPr>
            <w:tcW w:w="51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8</w:t>
            </w:r>
          </w:p>
        </w:tc>
        <w:tc>
          <w:tcPr>
            <w:tcW w:w="102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3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数量指标</w:t>
            </w:r>
          </w:p>
        </w:tc>
        <w:tc>
          <w:tcPr>
            <w:tcW w:w="1289"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同工同酬教师发放人数</w:t>
            </w:r>
          </w:p>
        </w:tc>
        <w:tc>
          <w:tcPr>
            <w:tcW w:w="4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=15人</w:t>
            </w:r>
          </w:p>
        </w:tc>
        <w:tc>
          <w:tcPr>
            <w:tcW w:w="40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15人</w:t>
            </w:r>
          </w:p>
        </w:tc>
        <w:tc>
          <w:tcPr>
            <w:tcW w:w="3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7</w:t>
            </w:r>
          </w:p>
        </w:tc>
        <w:tc>
          <w:tcPr>
            <w:tcW w:w="51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7</w:t>
            </w:r>
          </w:p>
        </w:tc>
        <w:tc>
          <w:tcPr>
            <w:tcW w:w="102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3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质量指标</w:t>
            </w:r>
          </w:p>
        </w:tc>
        <w:tc>
          <w:tcPr>
            <w:tcW w:w="1289"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代课教师工资发放准确性</w:t>
            </w:r>
          </w:p>
        </w:tc>
        <w:tc>
          <w:tcPr>
            <w:tcW w:w="4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=100%</w:t>
            </w:r>
          </w:p>
        </w:tc>
        <w:tc>
          <w:tcPr>
            <w:tcW w:w="40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100%</w:t>
            </w:r>
          </w:p>
        </w:tc>
        <w:tc>
          <w:tcPr>
            <w:tcW w:w="3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7</w:t>
            </w:r>
          </w:p>
        </w:tc>
        <w:tc>
          <w:tcPr>
            <w:tcW w:w="51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7</w:t>
            </w:r>
          </w:p>
        </w:tc>
        <w:tc>
          <w:tcPr>
            <w:tcW w:w="102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3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时效指标</w:t>
            </w:r>
          </w:p>
        </w:tc>
        <w:tc>
          <w:tcPr>
            <w:tcW w:w="1289"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项目完成时间</w:t>
            </w:r>
          </w:p>
        </w:tc>
        <w:tc>
          <w:tcPr>
            <w:tcW w:w="4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=12个月</w:t>
            </w:r>
          </w:p>
        </w:tc>
        <w:tc>
          <w:tcPr>
            <w:tcW w:w="40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1个月</w:t>
            </w:r>
          </w:p>
        </w:tc>
        <w:tc>
          <w:tcPr>
            <w:tcW w:w="3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7</w:t>
            </w:r>
          </w:p>
        </w:tc>
        <w:tc>
          <w:tcPr>
            <w:tcW w:w="51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p>
        </w:tc>
        <w:tc>
          <w:tcPr>
            <w:tcW w:w="102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因疫情原因，我单位2022年11-12月未发放工资。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3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时效指标</w:t>
            </w:r>
          </w:p>
        </w:tc>
        <w:tc>
          <w:tcPr>
            <w:tcW w:w="1289"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教师工资发放及时性</w:t>
            </w:r>
          </w:p>
        </w:tc>
        <w:tc>
          <w:tcPr>
            <w:tcW w:w="4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&gt;=90%</w:t>
            </w:r>
          </w:p>
        </w:tc>
        <w:tc>
          <w:tcPr>
            <w:tcW w:w="40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100%</w:t>
            </w:r>
          </w:p>
        </w:tc>
        <w:tc>
          <w:tcPr>
            <w:tcW w:w="3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7</w:t>
            </w:r>
          </w:p>
        </w:tc>
        <w:tc>
          <w:tcPr>
            <w:tcW w:w="51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7</w:t>
            </w:r>
          </w:p>
        </w:tc>
        <w:tc>
          <w:tcPr>
            <w:tcW w:w="102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3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成本指标</w:t>
            </w:r>
          </w:p>
        </w:tc>
        <w:tc>
          <w:tcPr>
            <w:tcW w:w="1289"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代课教师月工资</w:t>
            </w:r>
          </w:p>
        </w:tc>
        <w:tc>
          <w:tcPr>
            <w:tcW w:w="4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=4550元/月</w:t>
            </w:r>
          </w:p>
        </w:tc>
        <w:tc>
          <w:tcPr>
            <w:tcW w:w="40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4550元/月</w:t>
            </w:r>
          </w:p>
        </w:tc>
        <w:tc>
          <w:tcPr>
            <w:tcW w:w="3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7</w:t>
            </w:r>
          </w:p>
        </w:tc>
        <w:tc>
          <w:tcPr>
            <w:tcW w:w="51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7</w:t>
            </w:r>
          </w:p>
        </w:tc>
        <w:tc>
          <w:tcPr>
            <w:tcW w:w="102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3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成本指标</w:t>
            </w:r>
          </w:p>
        </w:tc>
        <w:tc>
          <w:tcPr>
            <w:tcW w:w="1289"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同工同酬教师月工资</w:t>
            </w:r>
          </w:p>
        </w:tc>
        <w:tc>
          <w:tcPr>
            <w:tcW w:w="4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=4660元/月</w:t>
            </w:r>
          </w:p>
        </w:tc>
        <w:tc>
          <w:tcPr>
            <w:tcW w:w="40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4660元/月</w:t>
            </w:r>
          </w:p>
        </w:tc>
        <w:tc>
          <w:tcPr>
            <w:tcW w:w="3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7</w:t>
            </w:r>
          </w:p>
        </w:tc>
        <w:tc>
          <w:tcPr>
            <w:tcW w:w="51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7</w:t>
            </w:r>
          </w:p>
        </w:tc>
        <w:tc>
          <w:tcPr>
            <w:tcW w:w="102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3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效益指标</w:t>
            </w:r>
          </w:p>
        </w:tc>
        <w:tc>
          <w:tcPr>
            <w:tcW w:w="37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经济效益指标</w:t>
            </w:r>
          </w:p>
        </w:tc>
        <w:tc>
          <w:tcPr>
            <w:tcW w:w="1289"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default" w:ascii="宋体" w:cs="宋体"/>
                <w:color w:val="000000"/>
                <w:sz w:val="18"/>
                <w:szCs w:val="18"/>
              </w:rPr>
            </w:pPr>
          </w:p>
        </w:tc>
        <w:tc>
          <w:tcPr>
            <w:tcW w:w="4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40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51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102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3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社会效益指标</w:t>
            </w:r>
          </w:p>
        </w:tc>
        <w:tc>
          <w:tcPr>
            <w:tcW w:w="1289"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调动代课教师的工作热情和积极性，提高教学质量</w:t>
            </w:r>
          </w:p>
        </w:tc>
        <w:tc>
          <w:tcPr>
            <w:tcW w:w="4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有效提高</w:t>
            </w:r>
          </w:p>
        </w:tc>
        <w:tc>
          <w:tcPr>
            <w:tcW w:w="40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完全达到预期效果</w:t>
            </w:r>
          </w:p>
        </w:tc>
        <w:tc>
          <w:tcPr>
            <w:tcW w:w="3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15</w:t>
            </w:r>
          </w:p>
        </w:tc>
        <w:tc>
          <w:tcPr>
            <w:tcW w:w="51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12</w:t>
            </w:r>
          </w:p>
        </w:tc>
        <w:tc>
          <w:tcPr>
            <w:tcW w:w="102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因疫情原因，我单位2022年11-12月未发放工资。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3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生态效益指标</w:t>
            </w:r>
          </w:p>
        </w:tc>
        <w:tc>
          <w:tcPr>
            <w:tcW w:w="1289"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default" w:ascii="宋体" w:cs="宋体"/>
                <w:color w:val="000000"/>
                <w:sz w:val="18"/>
                <w:szCs w:val="18"/>
              </w:rPr>
            </w:pPr>
          </w:p>
        </w:tc>
        <w:tc>
          <w:tcPr>
            <w:tcW w:w="4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40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51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102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3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可持续影响指标</w:t>
            </w:r>
          </w:p>
        </w:tc>
        <w:tc>
          <w:tcPr>
            <w:tcW w:w="1289"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保证教学工作的正常开展</w:t>
            </w:r>
          </w:p>
        </w:tc>
        <w:tc>
          <w:tcPr>
            <w:tcW w:w="4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长期保证</w:t>
            </w:r>
          </w:p>
        </w:tc>
        <w:tc>
          <w:tcPr>
            <w:tcW w:w="40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完全达到预期效果</w:t>
            </w:r>
          </w:p>
        </w:tc>
        <w:tc>
          <w:tcPr>
            <w:tcW w:w="3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15</w:t>
            </w:r>
          </w:p>
        </w:tc>
        <w:tc>
          <w:tcPr>
            <w:tcW w:w="51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12</w:t>
            </w:r>
          </w:p>
        </w:tc>
        <w:tc>
          <w:tcPr>
            <w:tcW w:w="102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因疫情原因，我单位2022年11-12月未发放工资。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满意度指标</w:t>
            </w:r>
          </w:p>
        </w:tc>
        <w:tc>
          <w:tcPr>
            <w:tcW w:w="37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满意度指标</w:t>
            </w:r>
          </w:p>
        </w:tc>
        <w:tc>
          <w:tcPr>
            <w:tcW w:w="1289"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代课教师满意度</w:t>
            </w:r>
          </w:p>
        </w:tc>
        <w:tc>
          <w:tcPr>
            <w:tcW w:w="4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&gt;=90%</w:t>
            </w:r>
          </w:p>
        </w:tc>
        <w:tc>
          <w:tcPr>
            <w:tcW w:w="40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100%</w:t>
            </w:r>
          </w:p>
        </w:tc>
        <w:tc>
          <w:tcPr>
            <w:tcW w:w="3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w:t>
            </w:r>
          </w:p>
        </w:tc>
        <w:tc>
          <w:tcPr>
            <w:tcW w:w="51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w:t>
            </w:r>
          </w:p>
        </w:tc>
        <w:tc>
          <w:tcPr>
            <w:tcW w:w="102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117"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总分</w:t>
            </w:r>
          </w:p>
        </w:tc>
        <w:tc>
          <w:tcPr>
            <w:tcW w:w="3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100</w:t>
            </w:r>
          </w:p>
        </w:tc>
        <w:tc>
          <w:tcPr>
            <w:tcW w:w="51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79.01分</w:t>
            </w:r>
          </w:p>
        </w:tc>
        <w:tc>
          <w:tcPr>
            <w:tcW w:w="102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r>
    </w:tbl>
    <w:p>
      <w:pPr>
        <w:shd w:val="clear" w:color="auto" w:fill="FFFFFF"/>
        <w:spacing w:before="100" w:beforeLines="0" w:afterLines="0" w:line="520" w:lineRule="exact"/>
        <w:ind w:left="118" w:firstLine="480"/>
        <w:rPr>
          <w:rFonts w:hint="default" w:eastAsia="Times New Roman"/>
          <w:kern w:val="0"/>
          <w:sz w:val="24"/>
          <w:szCs w:val="24"/>
        </w:rPr>
      </w:pPr>
    </w:p>
    <w:tbl>
      <w:tblPr>
        <w:tblStyle w:val="4"/>
        <w:tblW w:w="492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56"/>
        <w:gridCol w:w="663"/>
        <w:gridCol w:w="662"/>
        <w:gridCol w:w="1009"/>
        <w:gridCol w:w="948"/>
        <w:gridCol w:w="597"/>
        <w:gridCol w:w="860"/>
        <w:gridCol w:w="773"/>
        <w:gridCol w:w="286"/>
        <w:gridCol w:w="244"/>
        <w:gridCol w:w="286"/>
        <w:gridCol w:w="586"/>
        <w:gridCol w:w="272"/>
        <w:gridCol w:w="8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4"/>
            <w:tcBorders>
              <w:top w:val="nil"/>
              <w:left w:val="nil"/>
              <w:bottom w:val="nil"/>
              <w:right w:val="nil"/>
              <w:tl2br w:val="nil"/>
              <w:tr2bl w:val="nil"/>
            </w:tcBorders>
            <w:noWrap w:val="0"/>
            <w:vAlign w:val="center"/>
          </w:tcPr>
          <w:p>
            <w:pPr>
              <w:spacing w:beforeLines="0" w:afterLines="0"/>
              <w:jc w:val="center"/>
              <w:textAlignment w:val="center"/>
              <w:rPr>
                <w:rFonts w:hint="default" w:ascii="宋体" w:cs="宋体"/>
                <w:b/>
                <w:color w:val="000000"/>
                <w:sz w:val="32"/>
                <w:szCs w:val="32"/>
              </w:rPr>
            </w:pPr>
            <w:r>
              <w:rPr>
                <w:rFonts w:hint="eastAsia" w:ascii="宋体" w:hAnsi="宋体" w:cs="宋体"/>
                <w:b/>
                <w:color w:val="000000"/>
                <w:kern w:val="0"/>
                <w:sz w:val="32"/>
                <w:szCs w:val="32"/>
                <w:lang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4"/>
            <w:tcBorders>
              <w:top w:val="nil"/>
              <w:left w:val="nil"/>
              <w:bottom w:val="nil"/>
              <w:right w:val="nil"/>
              <w:tl2br w:val="nil"/>
              <w:tr2bl w:val="nil"/>
            </w:tcBorders>
            <w:noWrap w:val="0"/>
            <w:vAlign w:val="center"/>
          </w:tcPr>
          <w:p>
            <w:pPr>
              <w:spacing w:beforeLines="0" w:afterLines="0"/>
              <w:jc w:val="center"/>
              <w:textAlignment w:val="center"/>
              <w:rPr>
                <w:rFonts w:hint="default" w:ascii="宋体" w:cs="宋体"/>
                <w:color w:val="000000"/>
                <w:sz w:val="20"/>
                <w:szCs w:val="20"/>
              </w:rPr>
            </w:pPr>
            <w:r>
              <w:rPr>
                <w:rFonts w:hint="eastAsia" w:ascii="宋体" w:hAnsi="宋体" w:cs="宋体"/>
                <w:color w:val="000000"/>
                <w:kern w:val="0"/>
                <w:sz w:val="20"/>
                <w:szCs w:val="20"/>
                <w:lang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项目名称</w:t>
            </w:r>
          </w:p>
        </w:tc>
        <w:tc>
          <w:tcPr>
            <w:tcW w:w="4244" w:type="pct"/>
            <w:gridSpan w:val="1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学生补助</w:t>
            </w:r>
            <w:r>
              <w:rPr>
                <w:rFonts w:hint="default" w:ascii="宋体" w:cs="宋体"/>
                <w:color w:val="000000"/>
                <w:kern w:val="0"/>
                <w:sz w:val="18"/>
                <w:szCs w:val="18"/>
                <w:lang w:bidi="ar"/>
              </w:rPr>
              <w:t>---</w:t>
            </w:r>
            <w:r>
              <w:rPr>
                <w:rFonts w:hint="eastAsia" w:ascii="宋体" w:hAnsi="宋体" w:cs="宋体"/>
                <w:color w:val="000000"/>
                <w:kern w:val="0"/>
                <w:sz w:val="18"/>
                <w:szCs w:val="18"/>
                <w:lang w:bidi="ar"/>
              </w:rPr>
              <w:t>提前下达2022城乡义务教育直达资金（乌财科教【2021】96号、120号】）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主管部门</w:t>
            </w:r>
          </w:p>
        </w:tc>
        <w:tc>
          <w:tcPr>
            <w:tcW w:w="2335"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第63中学</w:t>
            </w:r>
          </w:p>
        </w:tc>
        <w:tc>
          <w:tcPr>
            <w:tcW w:w="60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实施单位</w:t>
            </w:r>
          </w:p>
        </w:tc>
        <w:tc>
          <w:tcPr>
            <w:tcW w:w="1302"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第63中学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55"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项目资金</w:t>
            </w:r>
            <w:r>
              <w:rPr>
                <w:rFonts w:hint="default" w:ascii="宋体" w:cs="宋体"/>
                <w:color w:val="000000"/>
                <w:kern w:val="0"/>
                <w:sz w:val="18"/>
                <w:szCs w:val="18"/>
                <w:lang w:bidi="ar"/>
              </w:rPr>
              <w:br w:type="textWrapping"/>
            </w:r>
            <w:r>
              <w:rPr>
                <w:rFonts w:hint="eastAsia" w:ascii="宋体" w:hAnsi="宋体" w:cs="宋体"/>
                <w:color w:val="000000"/>
                <w:kern w:val="0"/>
                <w:sz w:val="18"/>
                <w:szCs w:val="18"/>
                <w:lang w:bidi="ar"/>
              </w:rPr>
              <w:t>（万元）</w:t>
            </w:r>
          </w:p>
        </w:tc>
        <w:tc>
          <w:tcPr>
            <w:tcW w:w="95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54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年初预算数</w:t>
            </w:r>
          </w:p>
        </w:tc>
        <w:tc>
          <w:tcPr>
            <w:tcW w:w="83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全年预算数</w:t>
            </w:r>
          </w:p>
        </w:tc>
        <w:tc>
          <w:tcPr>
            <w:tcW w:w="60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全年执行数</w:t>
            </w:r>
          </w:p>
        </w:tc>
        <w:tc>
          <w:tcPr>
            <w:tcW w:w="3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分值</w:t>
            </w:r>
          </w:p>
        </w:tc>
        <w:tc>
          <w:tcPr>
            <w:tcW w:w="4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执行率</w:t>
            </w:r>
          </w:p>
        </w:tc>
        <w:tc>
          <w:tcPr>
            <w:tcW w:w="5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55"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95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年度资金总额</w:t>
            </w:r>
          </w:p>
        </w:tc>
        <w:tc>
          <w:tcPr>
            <w:tcW w:w="54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0.00</w:t>
            </w:r>
          </w:p>
        </w:tc>
        <w:tc>
          <w:tcPr>
            <w:tcW w:w="83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7.23</w:t>
            </w:r>
          </w:p>
        </w:tc>
        <w:tc>
          <w:tcPr>
            <w:tcW w:w="60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4.03</w:t>
            </w:r>
          </w:p>
        </w:tc>
        <w:tc>
          <w:tcPr>
            <w:tcW w:w="3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w:t>
            </w:r>
          </w:p>
        </w:tc>
        <w:tc>
          <w:tcPr>
            <w:tcW w:w="4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55.74%</w:t>
            </w:r>
          </w:p>
        </w:tc>
        <w:tc>
          <w:tcPr>
            <w:tcW w:w="5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5.57分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55"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95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其中：当年财政拨款</w:t>
            </w:r>
          </w:p>
        </w:tc>
        <w:tc>
          <w:tcPr>
            <w:tcW w:w="54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0.00</w:t>
            </w:r>
          </w:p>
        </w:tc>
        <w:tc>
          <w:tcPr>
            <w:tcW w:w="83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7.23</w:t>
            </w:r>
          </w:p>
        </w:tc>
        <w:tc>
          <w:tcPr>
            <w:tcW w:w="60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4.03</w:t>
            </w:r>
          </w:p>
        </w:tc>
        <w:tc>
          <w:tcPr>
            <w:tcW w:w="3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c>
          <w:tcPr>
            <w:tcW w:w="4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c>
          <w:tcPr>
            <w:tcW w:w="5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55"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95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上年结转资金</w:t>
            </w:r>
          </w:p>
        </w:tc>
        <w:tc>
          <w:tcPr>
            <w:tcW w:w="54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p>
        </w:tc>
        <w:tc>
          <w:tcPr>
            <w:tcW w:w="83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p>
        </w:tc>
        <w:tc>
          <w:tcPr>
            <w:tcW w:w="60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p>
        </w:tc>
        <w:tc>
          <w:tcPr>
            <w:tcW w:w="3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c>
          <w:tcPr>
            <w:tcW w:w="4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c>
          <w:tcPr>
            <w:tcW w:w="5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55"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95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其他资金</w:t>
            </w:r>
          </w:p>
        </w:tc>
        <w:tc>
          <w:tcPr>
            <w:tcW w:w="54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p>
        </w:tc>
        <w:tc>
          <w:tcPr>
            <w:tcW w:w="83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p>
        </w:tc>
        <w:tc>
          <w:tcPr>
            <w:tcW w:w="60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p>
        </w:tc>
        <w:tc>
          <w:tcPr>
            <w:tcW w:w="3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c>
          <w:tcPr>
            <w:tcW w:w="49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c>
          <w:tcPr>
            <w:tcW w:w="50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hAnsi="宋体" w:cs="宋体"/>
                <w:color w:val="000000"/>
                <w:kern w:val="0"/>
                <w:sz w:val="18"/>
                <w:szCs w:val="18"/>
                <w:lang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年度总体目标</w:t>
            </w:r>
          </w:p>
        </w:tc>
        <w:tc>
          <w:tcPr>
            <w:tcW w:w="2714"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预期目标</w:t>
            </w:r>
          </w:p>
        </w:tc>
        <w:tc>
          <w:tcPr>
            <w:tcW w:w="1909"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2714"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我校贫困生资助管理专干根据贫困生资助管理平台提供的人数，预计2022年的实际需求，非寄宿生家庭困难生活补助标准，小学每生312.5元/学期，中学每生375元/学期，支付全年贫困生生活补助，可改善贫困生家庭经济条件，帮助贫困生顺利完成学业。</w:t>
            </w:r>
          </w:p>
        </w:tc>
        <w:tc>
          <w:tcPr>
            <w:tcW w:w="1909"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该项目全额发放2022年上半学期贫困生补助，该项目的实施可改善学生生活水平，提高学生生活质量，小学标准为325.5元/学期，中学标准为375元/学期。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一级指标</w:t>
            </w:r>
          </w:p>
        </w:tc>
        <w:tc>
          <w:tcPr>
            <w:tcW w:w="37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二级指标</w:t>
            </w:r>
          </w:p>
        </w:tc>
        <w:tc>
          <w:tcPr>
            <w:tcW w:w="1463" w:type="pct"/>
            <w:gridSpan w:val="3"/>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三级指标</w:t>
            </w:r>
          </w:p>
        </w:tc>
        <w:tc>
          <w:tcPr>
            <w:tcW w:w="492"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年度指标值</w:t>
            </w:r>
          </w:p>
        </w:tc>
        <w:tc>
          <w:tcPr>
            <w:tcW w:w="442"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实际完成值</w:t>
            </w:r>
          </w:p>
        </w:tc>
        <w:tc>
          <w:tcPr>
            <w:tcW w:w="304"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分值</w:t>
            </w:r>
          </w:p>
        </w:tc>
        <w:tc>
          <w:tcPr>
            <w:tcW w:w="500"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得分</w:t>
            </w:r>
          </w:p>
        </w:tc>
        <w:tc>
          <w:tcPr>
            <w:tcW w:w="662"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1463" w:type="pct"/>
            <w:gridSpan w:val="3"/>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49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44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04"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500"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662"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年度绩效指标完成情况</w:t>
            </w:r>
          </w:p>
        </w:tc>
        <w:tc>
          <w:tcPr>
            <w:tcW w:w="37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产出指标</w:t>
            </w:r>
          </w:p>
        </w:tc>
        <w:tc>
          <w:tcPr>
            <w:tcW w:w="3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数量指标</w:t>
            </w:r>
          </w:p>
        </w:tc>
        <w:tc>
          <w:tcPr>
            <w:tcW w:w="1463"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补助小学生人数</w:t>
            </w: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&gt;=50人</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57人</w:t>
            </w:r>
          </w:p>
        </w:tc>
        <w:tc>
          <w:tcPr>
            <w:tcW w:w="3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8</w:t>
            </w:r>
          </w:p>
        </w:tc>
        <w:tc>
          <w:tcPr>
            <w:tcW w:w="50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8</w:t>
            </w:r>
          </w:p>
        </w:tc>
        <w:tc>
          <w:tcPr>
            <w:tcW w:w="6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6" w:hRule="atLeast"/>
        </w:trPr>
        <w:tc>
          <w:tcPr>
            <w:tcW w:w="37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数量指标</w:t>
            </w:r>
          </w:p>
        </w:tc>
        <w:tc>
          <w:tcPr>
            <w:tcW w:w="1463"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补助中学生人数</w:t>
            </w: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&gt;=50人</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60人</w:t>
            </w:r>
          </w:p>
        </w:tc>
        <w:tc>
          <w:tcPr>
            <w:tcW w:w="3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7</w:t>
            </w:r>
          </w:p>
        </w:tc>
        <w:tc>
          <w:tcPr>
            <w:tcW w:w="50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7</w:t>
            </w:r>
          </w:p>
        </w:tc>
        <w:tc>
          <w:tcPr>
            <w:tcW w:w="6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质量指标</w:t>
            </w:r>
          </w:p>
        </w:tc>
        <w:tc>
          <w:tcPr>
            <w:tcW w:w="1463"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资助学生覆盖率</w:t>
            </w: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=100%</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100%</w:t>
            </w:r>
          </w:p>
        </w:tc>
        <w:tc>
          <w:tcPr>
            <w:tcW w:w="3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7</w:t>
            </w:r>
          </w:p>
        </w:tc>
        <w:tc>
          <w:tcPr>
            <w:tcW w:w="50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7</w:t>
            </w:r>
          </w:p>
        </w:tc>
        <w:tc>
          <w:tcPr>
            <w:tcW w:w="6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质量指标</w:t>
            </w:r>
          </w:p>
        </w:tc>
        <w:tc>
          <w:tcPr>
            <w:tcW w:w="1463"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补助资金发放准确率</w:t>
            </w: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=100%</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100%</w:t>
            </w:r>
          </w:p>
        </w:tc>
        <w:tc>
          <w:tcPr>
            <w:tcW w:w="3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7</w:t>
            </w:r>
          </w:p>
        </w:tc>
        <w:tc>
          <w:tcPr>
            <w:tcW w:w="50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7</w:t>
            </w:r>
          </w:p>
        </w:tc>
        <w:tc>
          <w:tcPr>
            <w:tcW w:w="6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时效指标</w:t>
            </w:r>
          </w:p>
        </w:tc>
        <w:tc>
          <w:tcPr>
            <w:tcW w:w="1463"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享受补助时长</w:t>
            </w: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=2个学期</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1个学期</w:t>
            </w:r>
          </w:p>
        </w:tc>
        <w:tc>
          <w:tcPr>
            <w:tcW w:w="3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7</w:t>
            </w:r>
          </w:p>
        </w:tc>
        <w:tc>
          <w:tcPr>
            <w:tcW w:w="50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default" w:ascii="宋体" w:cs="宋体"/>
                <w:color w:val="000000"/>
                <w:kern w:val="0"/>
                <w:sz w:val="18"/>
                <w:szCs w:val="18"/>
                <w:lang w:bidi="ar"/>
              </w:rPr>
              <w:t>0</w:t>
            </w:r>
          </w:p>
        </w:tc>
        <w:tc>
          <w:tcPr>
            <w:tcW w:w="6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2022年度下半学期因疫情原因，暂未发放该项目部分资金。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成本指标</w:t>
            </w:r>
          </w:p>
        </w:tc>
        <w:tc>
          <w:tcPr>
            <w:tcW w:w="1463"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小学生享受补助标准</w:t>
            </w: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=312.50元/人/学期</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312.5元/人/学期</w:t>
            </w:r>
          </w:p>
        </w:tc>
        <w:tc>
          <w:tcPr>
            <w:tcW w:w="3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7</w:t>
            </w:r>
          </w:p>
        </w:tc>
        <w:tc>
          <w:tcPr>
            <w:tcW w:w="50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7</w:t>
            </w:r>
          </w:p>
        </w:tc>
        <w:tc>
          <w:tcPr>
            <w:tcW w:w="6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成本指标</w:t>
            </w:r>
          </w:p>
        </w:tc>
        <w:tc>
          <w:tcPr>
            <w:tcW w:w="1463"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中学生享受补助标准</w:t>
            </w: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=375元/人/学期</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375元/人/学期</w:t>
            </w:r>
          </w:p>
        </w:tc>
        <w:tc>
          <w:tcPr>
            <w:tcW w:w="3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7</w:t>
            </w:r>
          </w:p>
        </w:tc>
        <w:tc>
          <w:tcPr>
            <w:tcW w:w="50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7</w:t>
            </w:r>
          </w:p>
        </w:tc>
        <w:tc>
          <w:tcPr>
            <w:tcW w:w="6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效益指标</w:t>
            </w:r>
          </w:p>
        </w:tc>
        <w:tc>
          <w:tcPr>
            <w:tcW w:w="3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经济效益指标</w:t>
            </w:r>
          </w:p>
        </w:tc>
        <w:tc>
          <w:tcPr>
            <w:tcW w:w="1463"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default" w:ascii="宋体" w:cs="宋体"/>
                <w:color w:val="000000"/>
                <w:sz w:val="18"/>
                <w:szCs w:val="18"/>
              </w:rPr>
            </w:pP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50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6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社会效益指标</w:t>
            </w:r>
          </w:p>
        </w:tc>
        <w:tc>
          <w:tcPr>
            <w:tcW w:w="1463"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解决非寄宿贫困学生困难</w:t>
            </w: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有效解决</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完全达到预期效果</w:t>
            </w:r>
          </w:p>
        </w:tc>
        <w:tc>
          <w:tcPr>
            <w:tcW w:w="3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15</w:t>
            </w:r>
          </w:p>
        </w:tc>
        <w:tc>
          <w:tcPr>
            <w:tcW w:w="50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15</w:t>
            </w:r>
          </w:p>
        </w:tc>
        <w:tc>
          <w:tcPr>
            <w:tcW w:w="6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6" w:hRule="atLeast"/>
        </w:trPr>
        <w:tc>
          <w:tcPr>
            <w:tcW w:w="37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生态效益指标</w:t>
            </w:r>
          </w:p>
        </w:tc>
        <w:tc>
          <w:tcPr>
            <w:tcW w:w="1463"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default" w:ascii="宋体" w:cs="宋体"/>
                <w:color w:val="000000"/>
                <w:sz w:val="18"/>
                <w:szCs w:val="18"/>
              </w:rPr>
            </w:pP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50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6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可持续影响指标</w:t>
            </w:r>
          </w:p>
        </w:tc>
        <w:tc>
          <w:tcPr>
            <w:tcW w:w="1463"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促进贫困生平等享受教育资源</w:t>
            </w: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长期促进</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完全达到预期效果</w:t>
            </w:r>
          </w:p>
        </w:tc>
        <w:tc>
          <w:tcPr>
            <w:tcW w:w="3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15</w:t>
            </w:r>
          </w:p>
        </w:tc>
        <w:tc>
          <w:tcPr>
            <w:tcW w:w="50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15</w:t>
            </w:r>
          </w:p>
        </w:tc>
        <w:tc>
          <w:tcPr>
            <w:tcW w:w="6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7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c>
          <w:tcPr>
            <w:tcW w:w="3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满意度指标</w:t>
            </w:r>
          </w:p>
        </w:tc>
        <w:tc>
          <w:tcPr>
            <w:tcW w:w="3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满意度指标</w:t>
            </w:r>
          </w:p>
        </w:tc>
        <w:tc>
          <w:tcPr>
            <w:tcW w:w="1463"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default" w:ascii="宋体" w:cs="宋体"/>
                <w:color w:val="000000"/>
                <w:sz w:val="18"/>
                <w:szCs w:val="18"/>
              </w:rPr>
            </w:pPr>
            <w:r>
              <w:rPr>
                <w:rFonts w:hint="eastAsia" w:ascii="宋体" w:hAnsi="宋体" w:cs="宋体"/>
                <w:color w:val="000000"/>
                <w:kern w:val="0"/>
                <w:sz w:val="18"/>
                <w:szCs w:val="18"/>
                <w:lang w:bidi="ar"/>
              </w:rPr>
              <w:t>学生及家庭满意度</w:t>
            </w:r>
          </w:p>
        </w:tc>
        <w:tc>
          <w:tcPr>
            <w:tcW w:w="4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&gt;=90%</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100%</w:t>
            </w:r>
          </w:p>
        </w:tc>
        <w:tc>
          <w:tcPr>
            <w:tcW w:w="3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w:t>
            </w:r>
          </w:p>
        </w:tc>
        <w:tc>
          <w:tcPr>
            <w:tcW w:w="50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w:t>
            </w:r>
          </w:p>
        </w:tc>
        <w:tc>
          <w:tcPr>
            <w:tcW w:w="6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33"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总分</w:t>
            </w:r>
          </w:p>
        </w:tc>
        <w:tc>
          <w:tcPr>
            <w:tcW w:w="3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100</w:t>
            </w:r>
          </w:p>
        </w:tc>
        <w:tc>
          <w:tcPr>
            <w:tcW w:w="50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default" w:ascii="宋体" w:cs="宋体"/>
                <w:color w:val="000000"/>
                <w:sz w:val="18"/>
                <w:szCs w:val="18"/>
              </w:rPr>
            </w:pPr>
            <w:r>
              <w:rPr>
                <w:rFonts w:hint="eastAsia" w:ascii="宋体" w:hAnsi="宋体" w:cs="宋体"/>
                <w:color w:val="000000"/>
                <w:kern w:val="0"/>
                <w:sz w:val="18"/>
                <w:szCs w:val="18"/>
                <w:lang w:bidi="ar"/>
              </w:rPr>
              <w:t>88.57分</w:t>
            </w:r>
          </w:p>
        </w:tc>
        <w:tc>
          <w:tcPr>
            <w:tcW w:w="66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cs="宋体"/>
                <w:color w:val="000000"/>
                <w:sz w:val="18"/>
                <w:szCs w:val="18"/>
              </w:rPr>
            </w:pPr>
          </w:p>
        </w:tc>
      </w:tr>
    </w:tbl>
    <w:p>
      <w:pPr>
        <w:shd w:val="clear" w:color="auto" w:fill="FFFFFF"/>
        <w:spacing w:before="100" w:beforeLines="0" w:afterLines="0" w:line="520" w:lineRule="exact"/>
        <w:ind w:left="118" w:firstLine="480"/>
        <w:rPr>
          <w:rFonts w:hint="default" w:eastAsia="Times New Roman"/>
          <w:kern w:val="0"/>
          <w:sz w:val="24"/>
          <w:szCs w:val="24"/>
        </w:rPr>
      </w:pPr>
    </w:p>
    <w:p>
      <w:pPr>
        <w:shd w:val="clear" w:color="auto" w:fill="FFFFFF"/>
        <w:spacing w:before="100" w:beforeLines="0" w:afterLines="0" w:line="520" w:lineRule="exact"/>
        <w:ind w:left="118" w:firstLine="480"/>
        <w:rPr>
          <w:rFonts w:hint="default" w:eastAsia="Times New Roman"/>
          <w:kern w:val="0"/>
          <w:sz w:val="24"/>
          <w:szCs w:val="24"/>
        </w:rPr>
      </w:pPr>
    </w:p>
    <w:p>
      <w:pPr>
        <w:shd w:val="clear" w:color="auto" w:fill="FFFFFF"/>
        <w:spacing w:before="100" w:beforeLines="0" w:afterLines="0" w:line="520" w:lineRule="exact"/>
        <w:ind w:left="118" w:firstLine="480"/>
        <w:rPr>
          <w:rFonts w:hint="default" w:eastAsia="Times New Roman"/>
          <w:kern w:val="0"/>
          <w:sz w:val="24"/>
          <w:szCs w:val="24"/>
        </w:rPr>
      </w:pPr>
    </w:p>
    <w:p>
      <w:pPr>
        <w:shd w:val="clear" w:color="auto" w:fill="FFFFFF"/>
        <w:spacing w:before="100" w:beforeLines="0" w:afterLines="0" w:line="520" w:lineRule="exact"/>
        <w:ind w:left="118" w:firstLine="480"/>
        <w:rPr>
          <w:rFonts w:hint="default" w:eastAsia="Times New Roman"/>
          <w:kern w:val="0"/>
          <w:sz w:val="24"/>
          <w:szCs w:val="24"/>
        </w:rPr>
      </w:pPr>
    </w:p>
    <w:p>
      <w:pPr>
        <w:shd w:val="clear" w:color="auto" w:fill="FFFFFF"/>
        <w:spacing w:before="100" w:beforeLines="0" w:after="240" w:afterLines="0"/>
        <w:jc w:val="center"/>
        <w:rPr>
          <w:rFonts w:hint="default" w:eastAsia="Times New Roman"/>
          <w:b/>
          <w:kern w:val="0"/>
          <w:sz w:val="28"/>
          <w:szCs w:val="24"/>
        </w:rPr>
      </w:pPr>
      <w:r>
        <w:rPr>
          <w:rFonts w:hint="eastAsia" w:ascii="黑体" w:hAnsi="黑体" w:eastAsia="黑体"/>
          <w:kern w:val="0"/>
          <w:sz w:val="32"/>
          <w:szCs w:val="24"/>
        </w:rPr>
        <w:t>第三部分 专业名词解释</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财政拨款收入：指同级财政当年拨付的资金。</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上级补助收入：指事业单位从主管部门和上级单位取得的非财政补助收入。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事业收入：指事业单位开展专业业务活动及其辅助活动所取得的收入。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经营收入：指事业单位在专业业务活动及其辅助活动之外开展非独立核算经营活动取得的收入。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附属单位上缴收入：指事业单位附属的独立核算单位按有关规定上缴的收入。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其他收入：指除上述“财政拨款收入”、“事业收入”、“经营收入”、“附属单位上缴收入”等之外取得的收入。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基本支出：指为保障机构正常运转、完成日常工作任务而发生的人员支出和公用支出。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项目支出：指在基本支出之外为完成特定行政任务和事业发展目标所发生的支出。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经营支出：指事业单位在专业业务活动及其辅助活动之外开展非独立核算经营活动发生的支出。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对附属单位补助支出：指事业单位发生的用非财政预算资金对附属单位的补助支出。</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机关运行经费：行政单位和参照公务员法管理的事业单位财政拨款基本支出中的公用经费支出。</w:t>
      </w:r>
    </w:p>
    <w:p>
      <w:pPr>
        <w:shd w:val="clear" w:color="auto" w:fill="FFFFFF"/>
        <w:spacing w:beforeLines="0" w:afterLines="0" w:line="360" w:lineRule="auto"/>
        <w:ind w:firstLine="640"/>
        <w:rPr>
          <w:rFonts w:hint="default" w:eastAsia="Times New Roman"/>
          <w:kern w:val="0"/>
          <w:sz w:val="32"/>
          <w:szCs w:val="24"/>
        </w:rPr>
      </w:pPr>
    </w:p>
    <w:p>
      <w:pPr>
        <w:shd w:val="clear" w:color="auto" w:fill="FFFFFF"/>
        <w:spacing w:before="100" w:beforeLines="0" w:after="240" w:afterLines="0"/>
        <w:jc w:val="center"/>
        <w:rPr>
          <w:rFonts w:hint="default" w:eastAsia="Times New Roman"/>
          <w:kern w:val="0"/>
          <w:sz w:val="32"/>
          <w:szCs w:val="24"/>
        </w:rPr>
      </w:pPr>
      <w:r>
        <w:rPr>
          <w:rFonts w:hint="default" w:ascii="黑体" w:hAnsi="黑体" w:eastAsia="黑体"/>
          <w:kern w:val="0"/>
          <w:sz w:val="32"/>
          <w:szCs w:val="24"/>
        </w:rPr>
        <w:br w:type="page"/>
      </w:r>
      <w:r>
        <w:rPr>
          <w:rFonts w:hint="eastAsia" w:ascii="黑体" w:hAnsi="黑体" w:eastAsia="黑体"/>
          <w:kern w:val="0"/>
          <w:sz w:val="32"/>
          <w:szCs w:val="24"/>
        </w:rPr>
        <w:t>第四部分 部门决算报表（见附表）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一、《收入支出决算总表》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二、《收入决算表》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三、《支出决算表》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四、《财政拨款收入支出决算总表》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五、《一般公共预算财政拨款支出决算表》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六、《一般公共预算财政拨款基本支出决算表》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七、《财政拨款“三公”经费支出决算表》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rPr>
        <w:t>八、《政府性基金预算财政拨款收入支出决算表》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lang w:val="zh-CN"/>
        </w:rPr>
        <w:t>九</w:t>
      </w:r>
      <w:r>
        <w:rPr>
          <w:rFonts w:hint="eastAsia" w:ascii="黑体" w:hAnsi="黑体" w:eastAsia="黑体"/>
          <w:sz w:val="32"/>
          <w:szCs w:val="24"/>
        </w:rPr>
        <w:t>、《国有资本经营预算财政拨款收入支出决算表》</w:t>
      </w: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C7A7B5E"/>
    <w:rsid w:val="3AF173DF"/>
    <w:rsid w:val="6585343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iPriority="99" w:semiHidden="0" w:name="header"/>
    <w:lsdException w:qFormat="1" w:uiPriority="99" w:semiHidden="0" w:name="footer"/>
    <w:lsdException w:qFormat="1" w:unhideWhenUsed="0" w:uiPriority="99" w:semiHidden="0" w:name="index heading"/>
    <w:lsdException w:uiPriority="99"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spacing w:beforeLines="0" w:afterLines="0"/>
      <w:jc w:val="both"/>
    </w:pPr>
    <w:rPr>
      <w:rFonts w:hint="eastAsia" w:ascii="Times New Roman" w:hAnsi="Times New Roman" w:eastAsia="宋体" w:cs="Times New Roman"/>
      <w:kern w:val="2"/>
      <w:sz w:val="21"/>
      <w:szCs w:val="21"/>
      <w:lang w:val="en-US" w:eastAsia="zh-CN" w:bidi="ar-SA"/>
    </w:rPr>
  </w:style>
  <w:style w:type="character" w:default="1" w:styleId="5">
    <w:name w:val="Default Paragraph Font"/>
    <w:unhideWhenUsed/>
    <w:qFormat/>
    <w:uiPriority w:val="99"/>
    <w:rPr>
      <w:rFonts w:hint="default"/>
      <w:sz w:val="24"/>
      <w:szCs w:val="24"/>
    </w:rPr>
  </w:style>
  <w:style w:type="table" w:default="1" w:styleId="4">
    <w:name w:val="Normal Table"/>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spacing w:beforeLines="0" w:afterLines="0"/>
      <w:jc w:val="left"/>
    </w:pPr>
    <w:rPr>
      <w:rFonts w:hint="eastAsia"/>
      <w:sz w:val="18"/>
      <w:szCs w:val="18"/>
    </w:rPr>
  </w:style>
  <w:style w:type="paragraph" w:styleId="3">
    <w:name w:val="header"/>
    <w:basedOn w:val="1"/>
    <w:link w:val="6"/>
    <w:unhideWhenUsed/>
    <w:qFormat/>
    <w:uiPriority w:val="99"/>
    <w:pPr>
      <w:tabs>
        <w:tab w:val="center" w:pos="4153"/>
        <w:tab w:val="right" w:pos="8306"/>
      </w:tabs>
      <w:snapToGrid w:val="0"/>
      <w:spacing w:beforeLines="0" w:afterLines="0"/>
      <w:jc w:val="center"/>
    </w:pPr>
    <w:rPr>
      <w:rFonts w:hint="eastAsia"/>
      <w:sz w:val="18"/>
      <w:szCs w:val="18"/>
    </w:rPr>
  </w:style>
  <w:style w:type="character" w:customStyle="1" w:styleId="6">
    <w:name w:val="页眉 字符"/>
    <w:basedOn w:val="5"/>
    <w:link w:val="3"/>
    <w:unhideWhenUsed/>
    <w:qFormat/>
    <w:uiPriority w:val="99"/>
    <w:rPr>
      <w:rFonts w:hint="default" w:cs="Times New Roman"/>
      <w:sz w:val="18"/>
      <w:szCs w:val="18"/>
    </w:rPr>
  </w:style>
  <w:style w:type="character" w:customStyle="1" w:styleId="7">
    <w:name w:val="页脚 字符"/>
    <w:basedOn w:val="5"/>
    <w:link w:val="2"/>
    <w:unhideWhenUsed/>
    <w:uiPriority w:val="99"/>
    <w:rPr>
      <w:rFonts w:hint="default"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20</Pages>
  <Words>7997</Words>
  <Characters>9102</Characters>
  <TotalTime>16</TotalTime>
  <ScaleCrop>false</ScaleCrop>
  <LinksUpToDate>false</LinksUpToDate>
  <CharactersWithSpaces>9113</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2023-08-28T07:30:00Z</dcterms:created>
  <dc:creator>asus</dc:creator>
  <cp:lastModifiedBy>逐梦令</cp:lastModifiedBy>
  <dcterms:modified xsi:type="dcterms:W3CDTF">2023-09-01T08:25:16Z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ED93BE868C0A42009D80E8F559D1C5CD_13</vt:lpwstr>
  </property>
</Properties>
</file>