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hint="default" w:eastAsia="Times New Roman"/>
          <w:kern w:val="36"/>
          <w:sz w:val="40"/>
          <w:szCs w:val="24"/>
          <w:lang w:val="zh-CN"/>
        </w:rPr>
      </w:pPr>
    </w:p>
    <w:p>
      <w:pPr>
        <w:shd w:val="clear" w:color="auto" w:fill="FFFFFF"/>
        <w:spacing w:before="240" w:after="240"/>
        <w:jc w:val="center"/>
        <w:rPr>
          <w:rFonts w:hint="default" w:eastAsia="Times New Roman"/>
          <w:kern w:val="36"/>
          <w:sz w:val="40"/>
          <w:szCs w:val="24"/>
          <w:lang w:val="zh-CN"/>
        </w:rPr>
      </w:pPr>
    </w:p>
    <w:p>
      <w:pPr>
        <w:jc w:val="center"/>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乌鲁木齐市米东区红十字会</w:t>
      </w:r>
    </w:p>
    <w:p>
      <w:pPr>
        <w:jc w:val="center"/>
        <w:rPr>
          <w:rFonts w:hint="default" w:eastAsia="Times New Roman"/>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after="240"/>
        <w:jc w:val="center"/>
        <w:rPr>
          <w:rFonts w:hint="default" w:eastAsia="Times New Roman"/>
          <w:kern w:val="36"/>
          <w:sz w:val="40"/>
          <w:szCs w:val="24"/>
          <w:lang w:val="zh-CN"/>
        </w:rPr>
      </w:pPr>
    </w:p>
    <w:p>
      <w:pPr>
        <w:spacing w:line="540" w:lineRule="exact"/>
        <w:jc w:val="center"/>
        <w:rPr>
          <w:rFonts w:hint="default" w:eastAsia="Times New Roman"/>
          <w:b/>
          <w:kern w:val="0"/>
          <w:sz w:val="24"/>
          <w:szCs w:val="24"/>
          <w:lang w:val="en-US"/>
        </w:rPr>
      </w:pPr>
      <w:r>
        <w:rPr>
          <w:rFonts w:hint="default" w:eastAsia="Times New Roman"/>
          <w:b/>
          <w:kern w:val="36"/>
          <w:sz w:val="36"/>
          <w:szCs w:val="24"/>
          <w:lang w:val="en-US"/>
        </w:rPr>
        <w:br w:type="page"/>
      </w:r>
      <w:r>
        <w:rPr>
          <w:rFonts w:hint="eastAsia" w:ascii="仿宋_GB2312" w:hAnsi="仿宋_GB2312" w:eastAsia="仿宋_GB2312"/>
          <w:b/>
          <w:kern w:val="0"/>
          <w:sz w:val="36"/>
          <w:szCs w:val="24"/>
          <w:lang w:val="en-US"/>
        </w:rPr>
        <w:t>目  录</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第一部分 单位概况</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一、主要职能</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十、其他重要事项的情况说明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（一）机关运行经费支出情况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（二）政府采购情况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（三）国有资产占用情况说明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第三部分 专业名词解释</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八、《政府性基金预算财政拨款收入支出决算表》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九、《国有资本经营预算财政拨款收入支出决算表》</w:t>
      </w:r>
    </w:p>
    <w:p>
      <w:pPr>
        <w:spacing w:line="540" w:lineRule="exact"/>
        <w:ind w:firstLine="640"/>
        <w:rPr>
          <w:rFonts w:hint="default" w:eastAsia="Times New Roman"/>
          <w:b/>
          <w:kern w:val="0"/>
          <w:sz w:val="28"/>
          <w:szCs w:val="24"/>
          <w:lang w:val="en-US"/>
        </w:rPr>
      </w:pPr>
    </w:p>
    <w:p>
      <w:pPr>
        <w:shd w:val="clear" w:color="auto" w:fill="FFFFFF"/>
        <w:spacing w:line="360" w:lineRule="auto"/>
        <w:jc w:val="center"/>
        <w:rPr>
          <w:rFonts w:hint="default" w:eastAsia="Times New Roman"/>
          <w:kern w:val="0"/>
          <w:sz w:val="32"/>
          <w:szCs w:val="24"/>
          <w:lang w:val="en-US"/>
        </w:rPr>
      </w:pPr>
    </w:p>
    <w:p>
      <w:pPr>
        <w:shd w:val="clear" w:color="auto" w:fill="FFFFFF"/>
        <w:spacing w:line="360" w:lineRule="auto"/>
        <w:jc w:val="center"/>
        <w:rPr>
          <w:rFonts w:hint="eastAsia" w:ascii="黑体" w:hAnsi="黑体" w:eastAsia="黑体"/>
          <w:kern w:val="0"/>
          <w:sz w:val="32"/>
          <w:szCs w:val="24"/>
          <w:lang w:val="ar-SA"/>
        </w:rPr>
      </w:pPr>
      <w:r>
        <w:rPr>
          <w:rFonts w:hint="default" w:eastAsia="Times New Roman"/>
          <w:kern w:val="0"/>
          <w:sz w:val="32"/>
          <w:szCs w:val="24"/>
          <w:lang w:val="en-US"/>
        </w:rPr>
        <w:br w:type="page"/>
      </w:r>
      <w:r>
        <w:rPr>
          <w:rFonts w:hint="eastAsia" w:ascii="黑体" w:hAnsi="黑体" w:eastAsia="黑体"/>
          <w:kern w:val="0"/>
          <w:sz w:val="32"/>
          <w:szCs w:val="24"/>
          <w:lang w:val="en-US"/>
        </w:rPr>
        <w:t>第一部分 单位概况</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开展救灾的准备工作，在自然灾害和突发事件中对伤病人员和其他受害者进行救助；普及卫生救护和防病知识，进行初级卫生救护培训，组织群众参加现场救护，参与输血献血工作，推动无偿献血，开展其他人道主义服务活动；参加国际人道主义援助工作；宣传国际红十字会和红新月运动的基本原则和日内瓦公约及其附加议定书；依照国际红十字和红新月运动的基本原则，完成人民政府委托事宜；依照日内瓦公约及其附加议定书的有关规定开展工作。</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乌鲁木齐市米东区红十字会2022年度，实有人数4人，其中：在职人员3人，离休人员0人，退休人员1人。</w:t>
      </w:r>
    </w:p>
    <w:p>
      <w:pPr>
        <w:shd w:val="clear" w:color="auto" w:fill="FFFFFF"/>
        <w:spacing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lang w:val="en-US"/>
        </w:rPr>
        <w:t>从部门决算单位构成看，乌鲁木齐市米东区红十字会部门决算包括：乌鲁木齐市米东区红十字会</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lang w:val="en-US" w:eastAsia="zh-CN"/>
        </w:rPr>
        <w:t>2</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lang w:val="en-US"/>
        </w:rPr>
        <w:t>行政办公室、业务办公室</w:t>
      </w:r>
      <w:r>
        <w:rPr>
          <w:rFonts w:hint="eastAsia" w:ascii="仿宋_GB2312" w:hAnsi="仿宋_GB2312" w:eastAsia="仿宋_GB2312"/>
          <w:kern w:val="0"/>
          <w:sz w:val="32"/>
          <w:szCs w:val="24"/>
          <w:lang w:val="zh-CN"/>
        </w:rPr>
        <w:t>。</w:t>
      </w:r>
    </w:p>
    <w:p>
      <w:pPr>
        <w:shd w:val="clear" w:color="auto" w:fill="FFFFFF"/>
        <w:spacing w:before="100" w:after="240"/>
        <w:jc w:val="center"/>
        <w:rPr>
          <w:rFonts w:hint="default" w:eastAsia="Times New Roman"/>
          <w:kern w:val="0"/>
          <w:sz w:val="28"/>
          <w:szCs w:val="24"/>
          <w:lang w:val="ar-SA"/>
        </w:rPr>
      </w:pPr>
      <w:r>
        <w:rPr>
          <w:rFonts w:hint="eastAsia" w:ascii="黑体" w:hAnsi="黑体" w:eastAsia="黑体"/>
          <w:kern w:val="0"/>
          <w:sz w:val="32"/>
          <w:szCs w:val="24"/>
          <w:lang w:val="en-US"/>
        </w:rPr>
        <w:t>第二部分 部门决算情况说明</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76.37万元，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76.37</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与上年相比，增加76.37万元，增长100.00%，主要原因是：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76.37万元，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71.18</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5.19</w:t>
      </w:r>
      <w:r>
        <w:rPr>
          <w:rFonts w:hint="eastAsia" w:ascii="仿宋_GB2312" w:hAnsi="仿宋_GB2312" w:eastAsia="仿宋_GB2312"/>
          <w:sz w:val="32"/>
          <w:szCs w:val="24"/>
          <w:lang w:val="en-US"/>
        </w:rPr>
        <w:t>万元。支出总计</w:t>
      </w:r>
      <w:r>
        <w:rPr>
          <w:rFonts w:hint="eastAsia" w:ascii="仿宋_GB2312" w:hAnsi="仿宋_GB2312" w:eastAsia="仿宋_GB2312"/>
          <w:kern w:val="0"/>
          <w:sz w:val="32"/>
          <w:szCs w:val="24"/>
          <w:lang w:val="en-US"/>
        </w:rPr>
        <w:t>与上年相比，增加76.37万元，增长100.00%，主要原因是：我单位为2022年新增单位。</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二、收入决算情况说明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收入76.37万元，其中：财政拨款收入73.34万元，占96.03%；上级补助收入0.00万元，占0.00%；事业收入0.00万元，占0.00%；经营收入0.00万元，占0.00%；附属单位上缴收入0.00万元，占0.00%；其他收入3.03万元，占3.97%。</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三、支出决算情况说明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2022年度本年支出71.18万元，其中：基本支出71.18万元，占100.00%；项目支出0.00万元，占0.00%；上缴上级支出0.00万元，占0.00%；经营支出0.00万元，占0.00%；对附属单位补助支出0.00万元，占0.00%。</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73.34万元，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73.34</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与上年相比，增加73.34万元，增长100.00%，主要原因是：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73.34万元，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4.54</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68.80</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与上年相比，增加73.34万元，增长100.00%，主要原因是：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年初预算数50.56万元，决算数73.34万元，预决算差异率45.06%，主要原因是：</w:t>
      </w:r>
      <w:r>
        <w:rPr>
          <w:rFonts w:hint="eastAsia" w:ascii="仿宋_GB2312" w:hAnsi="仿宋_GB2312" w:eastAsia="仿宋_GB2312"/>
          <w:kern w:val="0"/>
          <w:sz w:val="32"/>
          <w:szCs w:val="24"/>
          <w:lang w:val="en-US" w:eastAsia="zh-CN"/>
        </w:rPr>
        <w:t>本年新增人员1人，人员工资和社保基数上调，追加人员经费、退休人员职业年金，与预算相比导致差异</w:t>
      </w: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年初预算数50.56万元，决算数73.34万元，预决算差异率45.06%，主要原因是：本年</w:t>
      </w:r>
      <w:r>
        <w:rPr>
          <w:rFonts w:hint="eastAsia" w:ascii="仿宋_GB2312" w:hAnsi="仿宋_GB2312" w:eastAsia="仿宋_GB2312"/>
          <w:kern w:val="0"/>
          <w:sz w:val="32"/>
          <w:szCs w:val="24"/>
          <w:lang w:val="en-US" w:eastAsia="zh-CN"/>
        </w:rPr>
        <w:t>新增人员1人，</w:t>
      </w:r>
      <w:r>
        <w:rPr>
          <w:rFonts w:hint="eastAsia" w:ascii="仿宋_GB2312" w:hAnsi="仿宋_GB2312" w:eastAsia="仿宋_GB2312"/>
          <w:kern w:val="0"/>
          <w:sz w:val="32"/>
          <w:szCs w:val="24"/>
          <w:lang w:val="en-US"/>
        </w:rPr>
        <w:t>人员工资和社保基数上调，追加人员经费</w:t>
      </w:r>
      <w:r>
        <w:rPr>
          <w:rFonts w:hint="eastAsia" w:ascii="仿宋_GB2312" w:hAnsi="仿宋_GB2312" w:eastAsia="仿宋_GB2312"/>
          <w:kern w:val="0"/>
          <w:sz w:val="32"/>
          <w:szCs w:val="24"/>
          <w:lang w:val="en-US" w:eastAsia="zh-CN"/>
        </w:rPr>
        <w:t>、退休人员职业年金，与预算相比导致差异</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ind w:firstLine="640"/>
        <w:rPr>
          <w:rFonts w:hint="default" w:eastAsia="Times New Roman"/>
          <w:sz w:val="32"/>
          <w:szCs w:val="24"/>
          <w:lang w:val="en-US"/>
        </w:rPr>
      </w:pPr>
      <w:r>
        <w:rPr>
          <w:rFonts w:hint="eastAsia" w:ascii="黑体" w:hAnsi="黑体" w:eastAsia="黑体"/>
          <w:sz w:val="32"/>
          <w:szCs w:val="24"/>
          <w:lang w:val="en-US"/>
        </w:rPr>
        <w:t>（一）一般公共预算财政拨款支出决算总体情况</w:t>
      </w:r>
    </w:p>
    <w:p>
      <w:pPr>
        <w:spacing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68.80</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100.00%</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增加68.80万元，增长100.00%，主要原因是：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ind w:firstLine="640"/>
        <w:rPr>
          <w:rFonts w:hint="default" w:eastAsia="Times New Roman"/>
          <w:sz w:val="32"/>
          <w:szCs w:val="24"/>
          <w:lang w:val="en-US"/>
        </w:rPr>
      </w:pPr>
      <w:r>
        <w:rPr>
          <w:rFonts w:hint="eastAsia" w:ascii="黑体" w:hAnsi="黑体" w:eastAsia="黑体"/>
          <w:sz w:val="32"/>
          <w:szCs w:val="24"/>
          <w:lang w:val="en-US"/>
        </w:rPr>
        <w:t>（二）一般公共预算财政拨款支出决算结构情况</w:t>
      </w:r>
    </w:p>
    <w:p>
      <w:pPr>
        <w:spacing w:line="600" w:lineRule="exact"/>
        <w:ind w:firstLine="640"/>
        <w:rPr>
          <w:rFonts w:hint="default" w:eastAsia="Times New Roman"/>
          <w:kern w:val="0"/>
          <w:sz w:val="32"/>
          <w:szCs w:val="24"/>
          <w:lang w:val="en-US"/>
        </w:rPr>
      </w:pPr>
      <w:r>
        <w:rPr>
          <w:rFonts w:hint="eastAsia" w:ascii="仿宋_GB2312" w:hAnsi="仿宋_GB2312" w:eastAsia="仿宋_GB2312"/>
          <w:sz w:val="32"/>
          <w:szCs w:val="24"/>
          <w:lang w:val="en-US"/>
        </w:rPr>
        <w:t>1.社会保障和就业支出（类）68.80万元，占100.00%</w:t>
      </w:r>
      <w:r>
        <w:rPr>
          <w:rFonts w:hint="eastAsia" w:ascii="仿宋_GB2312" w:hAnsi="仿宋_GB2312" w:eastAsia="仿宋_GB2312"/>
          <w:sz w:val="32"/>
          <w:szCs w:val="24"/>
          <w:lang w:val="en-US" w:eastAsia="zh-CN"/>
        </w:rPr>
        <w:t>。</w:t>
      </w:r>
    </w:p>
    <w:p>
      <w:pPr>
        <w:ind w:firstLine="640"/>
        <w:rPr>
          <w:rFonts w:hint="default" w:eastAsia="Times New Roman"/>
          <w:sz w:val="32"/>
          <w:szCs w:val="24"/>
          <w:lang w:val="en-US"/>
        </w:rPr>
      </w:pPr>
      <w:r>
        <w:rPr>
          <w:rFonts w:hint="eastAsia" w:ascii="黑体" w:hAnsi="黑体" w:eastAsia="黑体"/>
          <w:sz w:val="32"/>
          <w:szCs w:val="24"/>
          <w:lang w:val="en-US"/>
        </w:rPr>
        <w:t>（三）一般公共预算财政拨款支出决算具体情况</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1.社会保障和就业支出（类）行政事业单位养老支出（款）机关事业单位基本养老保险缴费支出（项）:支出决算数为4.03万元，比上年决算增加</w:t>
      </w:r>
      <w:r>
        <w:rPr>
          <w:rFonts w:hint="eastAsia" w:ascii="仿宋_GB2312" w:hAnsi="仿宋_GB2312" w:eastAsia="仿宋_GB2312"/>
          <w:kern w:val="0"/>
          <w:sz w:val="32"/>
          <w:szCs w:val="24"/>
          <w:lang w:val="en-US" w:eastAsia="zh-CN"/>
        </w:rPr>
        <w:t>4.03</w:t>
      </w:r>
      <w:r>
        <w:rPr>
          <w:rFonts w:hint="eastAsia" w:ascii="仿宋_GB2312" w:hAnsi="仿宋_GB2312" w:eastAsia="仿宋_GB2312"/>
          <w:kern w:val="0"/>
          <w:sz w:val="32"/>
          <w:szCs w:val="24"/>
          <w:lang w:val="en-US"/>
        </w:rPr>
        <w:t>万元，增长</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我单位为2022年新增单位；</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2.社会保障和就业支出（类）红十字事业（款）行政运行（项）:支出决算数为64.77万元，比上年决算增加64.77万元，增长100.00%，主要原因是：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line="360" w:lineRule="auto"/>
        <w:ind w:firstLine="640"/>
        <w:rPr>
          <w:rFonts w:hint="default" w:eastAsia="Times New Roman"/>
          <w:kern w:val="0"/>
          <w:sz w:val="32"/>
          <w:szCs w:val="24"/>
          <w:highlight w:val="yellow"/>
          <w:lang w:val="en-US"/>
        </w:rPr>
      </w:pPr>
      <w:r>
        <w:rPr>
          <w:rFonts w:hint="eastAsia" w:ascii="仿宋_GB2312" w:hAnsi="仿宋_GB2312" w:eastAsia="仿宋_GB2312"/>
          <w:kern w:val="0"/>
          <w:sz w:val="32"/>
          <w:szCs w:val="24"/>
          <w:lang w:val="en-US"/>
        </w:rPr>
        <w:t>2022年度一般公共预算财政拨款基本支出68.80万元，其中：</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人员经费63.98万元，包括：基本工资、津贴补贴、奖金、机关事业单位基本养老保险缴费、职业年金缴费、职工基本医疗保险缴费、公务员医疗补助缴费、其他社会保障缴费、住房公积金、奖励金。</w:t>
      </w:r>
    </w:p>
    <w:p>
      <w:pPr>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公用经费4.82万元，包括：办公费、邮电费、工会经费、福利费、其他交通费用。</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“三公”经费支出决算0.00万元，比上年增加0.00万元，增长0.00%，主要原因是：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其中：因公出国（境）费支出0.00万元，占0.00%，比上年增加0.00万元，增长0.00%，主要原因是：本年单位无因公出国（境）费支出；公务用车购置及运行维护费支出0.00万元，占0.00%，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；公务接待费支出0.00万元，占0.00%，比上年增加0.00万元，增长0.00%，主要原因是：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。具体情况如下：</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公务用车购置及运行维护费0.00万元，其中：公务用车购置费0.00万元，公务用车运行维护费0.00万元。公务用车运行维护费开支内容包括</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。公务用车购置数0辆，公务用车保有量0辆。</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公务接待费0.00万元，开支内容包括</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。单位全年安排的国内公务接待0批次，0人次。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w:t>
      </w:r>
      <w:r>
        <w:rPr>
          <w:rFonts w:hint="eastAsia" w:ascii="仿宋_GB2312" w:hAnsi="仿宋_GB2312" w:eastAsia="仿宋_GB2312"/>
          <w:sz w:val="32"/>
          <w:szCs w:val="24"/>
          <w:lang w:val="en-US"/>
        </w:rPr>
        <w:t>全年</w:t>
      </w:r>
      <w:r>
        <w:rPr>
          <w:rFonts w:hint="eastAsia" w:ascii="仿宋_GB2312" w:hAnsi="仿宋_GB2312" w:eastAsia="仿宋_GB2312"/>
          <w:kern w:val="0"/>
          <w:sz w:val="32"/>
          <w:szCs w:val="24"/>
          <w:lang w:val="en-US"/>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lang w:val="en-US"/>
        </w:rPr>
        <w:t>相比情况</w:t>
      </w:r>
      <w:r>
        <w:rPr>
          <w:rFonts w:hint="eastAsia" w:ascii="仿宋_GB2312" w:hAnsi="仿宋_GB2312" w:eastAsia="仿宋_GB2312"/>
          <w:sz w:val="32"/>
          <w:szCs w:val="24"/>
          <w:lang w:val="en-US"/>
        </w:rPr>
        <w:t>：</w:t>
      </w:r>
      <w:r>
        <w:rPr>
          <w:rFonts w:hint="default" w:eastAsia="Times New Roman"/>
          <w:kern w:val="0"/>
          <w:sz w:val="32"/>
          <w:szCs w:val="24"/>
          <w:lang w:val="en-US"/>
        </w:rPr>
        <w:t>“</w:t>
      </w:r>
      <w:r>
        <w:rPr>
          <w:rFonts w:hint="eastAsia" w:ascii="仿宋_GB2312" w:hAnsi="仿宋_GB2312" w:eastAsia="仿宋_GB2312"/>
          <w:kern w:val="0"/>
          <w:sz w:val="32"/>
          <w:szCs w:val="24"/>
          <w:lang w:val="en-US"/>
        </w:rPr>
        <w:t>三公</w:t>
      </w:r>
      <w:r>
        <w:rPr>
          <w:rFonts w:hint="default" w:eastAsia="Times New Roman"/>
          <w:kern w:val="0"/>
          <w:sz w:val="32"/>
          <w:szCs w:val="24"/>
          <w:lang w:val="en-US"/>
        </w:rPr>
        <w:t>”</w:t>
      </w:r>
      <w:r>
        <w:rPr>
          <w:rFonts w:hint="eastAsia" w:ascii="仿宋_GB2312" w:hAnsi="仿宋_GB2312" w:eastAsia="仿宋_GB2312"/>
          <w:kern w:val="0"/>
          <w:sz w:val="32"/>
          <w:szCs w:val="24"/>
          <w:lang w:val="en-US"/>
        </w:rPr>
        <w:t>经费支出</w:t>
      </w:r>
      <w:r>
        <w:rPr>
          <w:rFonts w:hint="eastAsia" w:ascii="仿宋_GB2312" w:hAnsi="仿宋_GB2312" w:eastAsia="仿宋_GB2312"/>
          <w:sz w:val="32"/>
          <w:szCs w:val="24"/>
          <w:lang w:val="en-US"/>
        </w:rPr>
        <w:t>全年预算数</w:t>
      </w:r>
      <w:r>
        <w:rPr>
          <w:rFonts w:hint="eastAsia" w:ascii="仿宋_GB2312" w:hAnsi="仿宋_GB2312" w:eastAsia="仿宋_GB2312"/>
          <w:kern w:val="0"/>
          <w:sz w:val="32"/>
          <w:szCs w:val="24"/>
          <w:lang w:val="en-US"/>
        </w:rPr>
        <w:t>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0.00万元，决算数0.00万元，预决算差异率0.00%，主要原因是：本年单位无此项支出；公务接待费全年预算数0.00万元，决算数0.00万元，预决算差异率0.00%，主要原因是：本年单位无此项支出。</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szCs w:val="24"/>
          <w:highlight w:val="yellow"/>
          <w:lang w:val="en-US"/>
        </w:rPr>
      </w:pPr>
      <w:r>
        <w:rPr>
          <w:rFonts w:hint="eastAsia" w:ascii="仿宋_GB2312" w:hAnsi="仿宋_GB2312" w:eastAsia="仿宋_GB2312"/>
          <w:kern w:val="0"/>
          <w:sz w:val="32"/>
          <w:szCs w:val="24"/>
          <w:lang w:val="en-US"/>
        </w:rPr>
        <w:t>我单位本年度无政府性基金预算财政拨款收入、支出及结转和结余，政府性基金预算财政拨款收入支出决算表为空表。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十、其他重要事项的情况说明</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 xml:space="preserve">（一）机关运行经费支出情况 </w:t>
      </w:r>
    </w:p>
    <w:p>
      <w:pPr>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2022年度乌鲁木齐市米东区红十字会单位机关运行经费支出4.83万元，比上年增加4.83万元，增长100.00%，主要原因是：</w:t>
      </w:r>
      <w:r>
        <w:rPr>
          <w:rFonts w:hint="eastAsia" w:ascii="仿宋_GB2312" w:hAnsi="仿宋_GB2312" w:eastAsia="仿宋_GB2312"/>
          <w:color w:val="auto"/>
          <w:kern w:val="0"/>
          <w:sz w:val="32"/>
          <w:szCs w:val="24"/>
          <w:lang w:val="en-US" w:eastAsia="zh-CN"/>
        </w:rPr>
        <w:t>我单位为2022年新增单位</w:t>
      </w:r>
      <w:r>
        <w:rPr>
          <w:rFonts w:hint="eastAsia" w:ascii="仿宋_GB2312" w:hAnsi="仿宋_GB2312" w:eastAsia="仿宋_GB2312"/>
          <w:color w:val="auto"/>
          <w:kern w:val="0"/>
          <w:sz w:val="32"/>
          <w:szCs w:val="24"/>
          <w:lang w:val="en-US"/>
        </w:rPr>
        <w:t>。</w:t>
      </w:r>
    </w:p>
    <w:p>
      <w:pPr>
        <w:spacing w:line="360" w:lineRule="auto"/>
        <w:ind w:firstLine="640"/>
        <w:rPr>
          <w:rFonts w:hint="default" w:eastAsia="Times New Roman"/>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2022年度政府采购支出总额4.83万元，其中：政府采购货物支出4.83万元、政府采购工程支出0.00万元、政府采购服务支出0.00万元。</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授予中小企业合同金额4.83万元，占政府采购支出总额的100.00%，其中：授予小微企业合同金额4.83万元，占政府采购支出总额的100.00%。</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20.49</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0.00平方米，价值0.00万元。车辆0辆，价值0.00万元，其中：副部（省）级及以上领导用车0辆、主要领导干部用车0辆、机要通信用车0辆、应急保障用车0辆、执法执勤用车0辆、特种专业技术用车0辆、离退休干部用车0辆、其他用车0辆，其他用车主要是：</w:t>
      </w:r>
      <w:r>
        <w:rPr>
          <w:rFonts w:hint="eastAsia" w:ascii="仿宋_GB2312" w:hAnsi="仿宋_GB2312" w:eastAsia="仿宋_GB2312"/>
          <w:color w:val="auto"/>
          <w:kern w:val="0"/>
          <w:sz w:val="32"/>
          <w:szCs w:val="24"/>
          <w:lang w:val="en-US" w:eastAsia="zh-CN"/>
        </w:rPr>
        <w:t>我单位无其他用车</w:t>
      </w:r>
      <w:r>
        <w:rPr>
          <w:rFonts w:hint="eastAsia" w:ascii="仿宋_GB2312" w:hAnsi="仿宋_GB2312" w:eastAsia="仿宋_GB2312"/>
          <w:color w:val="auto"/>
          <w:kern w:val="0"/>
          <w:sz w:val="32"/>
          <w:szCs w:val="24"/>
          <w:lang w:val="en-US"/>
        </w:rPr>
        <w:t>；单价100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0台（套）。</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line="360" w:lineRule="auto"/>
        <w:ind w:firstLine="640"/>
        <w:rPr>
          <w:rFonts w:hint="eastAsia" w:ascii="仿宋_GB2312" w:hAnsi="仿宋_GB2312" w:eastAsia="仿宋_GB2312"/>
          <w:color w:val="auto"/>
          <w:kern w:val="0"/>
          <w:sz w:val="32"/>
          <w:szCs w:val="24"/>
          <w:lang w:val="en-US"/>
        </w:rPr>
      </w:pPr>
      <w:r>
        <w:rPr>
          <w:rFonts w:hint="eastAsia" w:ascii="仿宋_GB2312" w:hAnsi="仿宋_GB2312" w:eastAsia="仿宋_GB2312"/>
          <w:color w:val="auto"/>
          <w:kern w:val="0"/>
          <w:sz w:val="32"/>
          <w:szCs w:val="24"/>
          <w:lang w:val="en-US"/>
        </w:rPr>
        <w:t>根据预算绩效管理要求，我单位2022年度开展预算绩效评价项目</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kern w:val="0"/>
          <w:sz w:val="32"/>
          <w:szCs w:val="24"/>
          <w:lang w:val="en-US"/>
        </w:rPr>
        <w:t>个，</w:t>
      </w:r>
      <w:r>
        <w:rPr>
          <w:rFonts w:hint="eastAsia" w:ascii="仿宋_GB2312" w:hAnsi="仿宋_GB2312" w:eastAsia="仿宋_GB2312"/>
          <w:color w:val="auto"/>
          <w:sz w:val="32"/>
          <w:szCs w:val="24"/>
          <w:lang w:val="en-US"/>
        </w:rPr>
        <w:t>全年预算数</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sz w:val="32"/>
          <w:szCs w:val="24"/>
          <w:lang w:val="en-US"/>
        </w:rPr>
        <w:t>万元，全年执行数</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预算绩效管理取得的成效：我单位无预算绩效管理的项目。发现的问题及原因：我单位无预算绩效管理的项目。下一步改进措施：我单位无预算绩效管理的项目。</w:t>
      </w:r>
    </w:p>
    <w:p>
      <w:pPr>
        <w:rPr>
          <w:rFonts w:hint="eastAsia" w:ascii="仿宋_GB2312" w:hAnsi="仿宋_GB2312" w:eastAsia="仿宋_GB2312"/>
          <w:color w:val="auto"/>
          <w:kern w:val="0"/>
          <w:sz w:val="32"/>
          <w:szCs w:val="24"/>
          <w:lang w:val="en-US"/>
        </w:rPr>
      </w:pPr>
      <w:r>
        <w:rPr>
          <w:rFonts w:hint="eastAsia" w:ascii="仿宋_GB2312" w:hAnsi="仿宋_GB2312" w:eastAsia="仿宋_GB2312"/>
          <w:color w:val="auto"/>
          <w:kern w:val="0"/>
          <w:sz w:val="32"/>
          <w:szCs w:val="24"/>
          <w:lang w:val="en-US"/>
        </w:rPr>
        <w:br w:type="page"/>
      </w:r>
    </w:p>
    <w:p>
      <w:pPr>
        <w:shd w:val="clear" w:color="auto" w:fill="FFFFFF"/>
        <w:spacing w:before="100" w:after="240"/>
        <w:jc w:val="center"/>
        <w:rPr>
          <w:rFonts w:hint="default" w:eastAsia="Times New Roman"/>
          <w:b/>
          <w:color w:val="auto"/>
          <w:kern w:val="0"/>
          <w:sz w:val="28"/>
          <w:szCs w:val="24"/>
          <w:lang w:val="en-US"/>
        </w:rPr>
      </w:pPr>
      <w:bookmarkStart w:id="0" w:name="_GoBack"/>
      <w:bookmarkEnd w:id="0"/>
      <w:r>
        <w:rPr>
          <w:rFonts w:hint="eastAsia" w:ascii="黑体" w:hAnsi="黑体" w:eastAsia="黑体"/>
          <w:color w:val="auto"/>
          <w:kern w:val="0"/>
          <w:sz w:val="32"/>
          <w:szCs w:val="24"/>
          <w:lang w:val="en-US"/>
        </w:rPr>
        <w:t>第三部分 专业名词解释</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shd w:val="clear" w:color="auto" w:fill="FFFFFF"/>
        <w:spacing w:line="360" w:lineRule="auto"/>
        <w:ind w:firstLine="640"/>
        <w:rPr>
          <w:rFonts w:hint="default" w:eastAsia="Times New Roman"/>
          <w:color w:val="auto"/>
          <w:kern w:val="0"/>
          <w:sz w:val="32"/>
          <w:szCs w:val="24"/>
          <w:lang w:val="en-US"/>
        </w:rPr>
      </w:pPr>
    </w:p>
    <w:p>
      <w:pPr>
        <w:shd w:val="clear" w:color="auto" w:fill="FFFFFF"/>
        <w:spacing w:before="100" w:after="240"/>
        <w:jc w:val="center"/>
        <w:rPr>
          <w:rFonts w:hint="default" w:eastAsia="Times New Roman"/>
          <w:color w:val="auto"/>
          <w:kern w:val="0"/>
          <w:sz w:val="32"/>
          <w:szCs w:val="24"/>
          <w:lang w:val="en-US"/>
        </w:rPr>
      </w:pPr>
      <w:r>
        <w:rPr>
          <w:rFonts w:hint="eastAsia" w:ascii="黑体" w:hAnsi="黑体" w:eastAsia="黑体"/>
          <w:color w:val="auto"/>
          <w:kern w:val="0"/>
          <w:sz w:val="32"/>
          <w:szCs w:val="24"/>
          <w:lang w:val="en-US"/>
        </w:rPr>
        <w:br w:type="page"/>
      </w:r>
      <w:r>
        <w:rPr>
          <w:rFonts w:hint="eastAsia" w:ascii="黑体" w:hAnsi="黑体" w:eastAsia="黑体"/>
          <w:color w:val="auto"/>
          <w:kern w:val="0"/>
          <w:sz w:val="32"/>
          <w:szCs w:val="24"/>
          <w:lang w:val="en-US"/>
        </w:rPr>
        <w:t>第四部分 部门决算报表（见附表）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一、《收入支出决算总表》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二、《收入决算表》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三、《支出决算表》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四、《财政拨款收入支出决算总表》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五、《一般公共预算财政拨款支出决算表》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七、《财政拨款“三公”经费支出决算表》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543340F1"/>
    <w:rsid w:val="63EE7A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jc w:val="both"/>
    </w:pPr>
    <w:rPr>
      <w:rFonts w:hint="default" w:ascii="Times New Roman" w:hAnsi="Times New Roman" w:eastAsia="宋体" w:cs="Times New Roman"/>
      <w:kern w:val="2"/>
      <w:sz w:val="21"/>
      <w:szCs w:val="24"/>
    </w:rPr>
  </w:style>
  <w:style w:type="character" w:default="1" w:styleId="3">
    <w:name w:val="Default Paragraph Font"/>
    <w:unhideWhenUsed/>
    <w:qFormat/>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4366</Words>
  <Characters>4881</Characters>
  <TotalTime>1</TotalTime>
  <ScaleCrop>false</ScaleCrop>
  <LinksUpToDate>false</LinksUpToDate>
  <CharactersWithSpaces>4892</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2023-08-24T07:38:00Z</dcterms:created>
  <dc:creator>asus</dc:creator>
  <cp:lastModifiedBy>逐梦令</cp:lastModifiedBy>
  <dcterms:modified xsi:type="dcterms:W3CDTF">2023-09-01T12:01:51Z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99B45BD8C9F7467FA72CDE1EAA753D0E_13</vt:lpwstr>
  </property>
</Properties>
</file>