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autoSpaceDE w:val="0"/>
        <w:autoSpaceDN w:val="0"/>
        <w:adjustRightInd w:val="0"/>
        <w:spacing w:before="240" w:beforeLines="0" w:after="240" w:afterLines="0"/>
        <w:jc w:val="center"/>
        <w:rPr>
          <w:rFonts w:hint="default" w:ascii="Times New Roman"/>
          <w:kern w:val="36"/>
          <w:sz w:val="40"/>
          <w:szCs w:val="40"/>
          <w:lang w:val="zh-CN"/>
        </w:rPr>
      </w:pPr>
    </w:p>
    <w:p>
      <w:pPr>
        <w:shd w:val="clear" w:color="auto" w:fill="FFFFFF"/>
        <w:autoSpaceDE w:val="0"/>
        <w:autoSpaceDN w:val="0"/>
        <w:adjustRightInd w:val="0"/>
        <w:spacing w:before="240" w:beforeLines="0" w:after="240" w:afterLines="0"/>
        <w:jc w:val="center"/>
        <w:rPr>
          <w:rFonts w:hint="default" w:ascii="Times New Roman"/>
          <w:kern w:val="36"/>
          <w:sz w:val="40"/>
          <w:szCs w:val="40"/>
          <w:lang w:val="zh-CN"/>
        </w:rPr>
      </w:pPr>
    </w:p>
    <w:p>
      <w:pPr>
        <w:autoSpaceDE w:val="0"/>
        <w:autoSpaceDN w:val="0"/>
        <w:adjustRightInd w:val="0"/>
        <w:spacing w:beforeLines="0" w:afterLines="0"/>
        <w:jc w:val="center"/>
        <w:rPr>
          <w:rFonts w:hint="eastAsia" w:ascii="方正小标宋_GBK" w:hAnsi="Times New Roman" w:eastAsia="方正小标宋_GBK" w:cs="方正小标宋_GBK"/>
          <w:sz w:val="44"/>
          <w:szCs w:val="44"/>
        </w:rPr>
      </w:pPr>
      <w:r>
        <w:rPr>
          <w:rFonts w:hint="eastAsia" w:ascii="方正小标宋_GBK" w:hAnsi="Times New Roman" w:eastAsia="方正小标宋_GBK" w:cs="方正小标宋_GBK"/>
          <w:sz w:val="44"/>
          <w:szCs w:val="44"/>
        </w:rPr>
        <w:t>乌鲁木齐市米东区羊毛工镇人民政府</w:t>
      </w:r>
    </w:p>
    <w:p>
      <w:pPr>
        <w:autoSpaceDE w:val="0"/>
        <w:autoSpaceDN w:val="0"/>
        <w:adjustRightInd w:val="0"/>
        <w:spacing w:beforeLines="0" w:afterLines="0"/>
        <w:jc w:val="center"/>
        <w:rPr>
          <w:rFonts w:hint="default" w:ascii="Times New Roman" w:hAnsi="Times New Roman" w:eastAsia="方正小标宋_GBK"/>
          <w:kern w:val="36"/>
          <w:sz w:val="40"/>
          <w:szCs w:val="40"/>
          <w:lang w:val="zh-CN"/>
        </w:rPr>
      </w:pPr>
      <w:r>
        <w:rPr>
          <w:rFonts w:hint="eastAsia" w:ascii="方正小标宋_GBK" w:hAnsi="Times New Roman" w:eastAsia="方正小标宋_GBK" w:cs="方正小标宋_GBK"/>
          <w:sz w:val="44"/>
          <w:szCs w:val="44"/>
        </w:rPr>
        <w:t>2022年度部门决算公开说明</w:t>
      </w:r>
    </w:p>
    <w:p>
      <w:pPr>
        <w:shd w:val="clear" w:color="auto" w:fill="FFFFFF"/>
        <w:autoSpaceDE w:val="0"/>
        <w:autoSpaceDN w:val="0"/>
        <w:adjustRightInd w:val="0"/>
        <w:spacing w:before="240" w:beforeLines="0" w:after="240" w:afterLines="0"/>
        <w:jc w:val="center"/>
        <w:rPr>
          <w:rFonts w:hint="default" w:ascii="Times New Roman" w:hAnsi="Times New Roman" w:eastAsia="宋体"/>
          <w:kern w:val="36"/>
          <w:sz w:val="40"/>
          <w:szCs w:val="40"/>
          <w:lang w:val="zh-CN"/>
        </w:rPr>
      </w:pPr>
    </w:p>
    <w:p>
      <w:pPr>
        <w:autoSpaceDE w:val="0"/>
        <w:autoSpaceDN w:val="0"/>
        <w:adjustRightInd w:val="0"/>
        <w:spacing w:beforeLines="0" w:afterLines="0" w:line="540" w:lineRule="exact"/>
        <w:jc w:val="center"/>
        <w:rPr>
          <w:rFonts w:hint="default" w:ascii="Times New Roman" w:hAnsi="Times New Roman" w:eastAsia="仿宋_GB2312"/>
          <w:b/>
          <w:kern w:val="0"/>
          <w:sz w:val="24"/>
          <w:szCs w:val="24"/>
        </w:rPr>
      </w:pPr>
      <w:r>
        <w:rPr>
          <w:rFonts w:hint="default" w:ascii="Times New Roman" w:hAnsi="Times New Roman" w:eastAsia="宋体"/>
          <w:b/>
          <w:kern w:val="36"/>
          <w:sz w:val="36"/>
          <w:szCs w:val="36"/>
        </w:rPr>
        <w:br w:type="page"/>
      </w:r>
      <w:r>
        <w:rPr>
          <w:rFonts w:hint="eastAsia" w:ascii="仿宋_GB2312" w:hAnsi="Times New Roman" w:eastAsia="仿宋_GB2312" w:cs="仿宋_GB2312"/>
          <w:b/>
          <w:kern w:val="0"/>
          <w:sz w:val="36"/>
          <w:szCs w:val="36"/>
        </w:rPr>
        <w:t>目  录</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第一部分 单位概况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一、主要职能</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二、</w:t>
      </w:r>
      <w:r>
        <w:rPr>
          <w:rFonts w:hint="eastAsia" w:ascii="仿宋_GB2312" w:hAnsi="Times New Roman" w:eastAsia="仿宋_GB2312" w:cs="仿宋_GB2312"/>
          <w:sz w:val="32"/>
          <w:szCs w:val="32"/>
        </w:rPr>
        <w:t>机构设置及人员情况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第二部分 部门决算情况说明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一、收入支出决算总体情况说明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w:t>
      </w:r>
      <w:r>
        <w:rPr>
          <w:rFonts w:hint="eastAsia" w:ascii="仿宋_GB2312" w:hAnsi="Times New Roman" w:eastAsia="仿宋_GB2312" w:cs="仿宋_GB2312"/>
          <w:sz w:val="32"/>
          <w:szCs w:val="32"/>
          <w:lang w:val="zh-CN"/>
        </w:rPr>
        <w:t>财政拨款</w:t>
      </w:r>
      <w:r>
        <w:rPr>
          <w:rFonts w:hint="eastAsia" w:ascii="仿宋_GB2312" w:hAnsi="Times New Roman" w:eastAsia="仿宋_GB2312" w:cs="仿宋_GB2312"/>
          <w:sz w:val="32"/>
          <w:szCs w:val="32"/>
        </w:rPr>
        <w:t>收入支出决算情况说明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十、其他重要事项的情况说明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（一）机关运行经费支出情况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（二）政府采购情况</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（三）国有资产占用情况说明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十</w:t>
      </w:r>
      <w:r>
        <w:rPr>
          <w:rFonts w:hint="eastAsia" w:ascii="仿宋_GB2312" w:hAnsi="Times New Roman" w:eastAsia="仿宋_GB2312" w:cs="仿宋_GB2312"/>
          <w:sz w:val="32"/>
          <w:szCs w:val="32"/>
          <w:lang w:val="zh-CN"/>
        </w:rPr>
        <w:t>一</w:t>
      </w:r>
      <w:r>
        <w:rPr>
          <w:rFonts w:hint="eastAsia" w:ascii="仿宋_GB2312" w:hAnsi="Times New Roman" w:eastAsia="仿宋_GB2312" w:cs="仿宋_GB2312"/>
          <w:sz w:val="32"/>
          <w:szCs w:val="32"/>
        </w:rPr>
        <w:t>、预算绩效的情况说明</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第四部分 部</w:t>
      </w:r>
      <w:r>
        <w:rPr>
          <w:rFonts w:hint="eastAsia" w:ascii="仿宋_GB2312" w:hAnsi="Times New Roman" w:eastAsia="仿宋_GB2312" w:cs="仿宋_GB2312"/>
          <w:b/>
          <w:sz w:val="32"/>
          <w:szCs w:val="32"/>
        </w:rPr>
        <w:t>门决算报表（见附表）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八、《政府性基金预算财政拨款收入支出决算表》</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textAlignment w:val="auto"/>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九、《国有资本经营预算财政拨款收入支出决算表》</w:t>
      </w:r>
    </w:p>
    <w:p>
      <w:pPr>
        <w:autoSpaceDE w:val="0"/>
        <w:autoSpaceDN w:val="0"/>
        <w:adjustRightInd w:val="0"/>
        <w:spacing w:beforeLines="0" w:afterLines="0" w:line="540" w:lineRule="exact"/>
        <w:ind w:firstLine="640"/>
        <w:rPr>
          <w:rFonts w:hint="default" w:ascii="Times New Roman" w:hAnsi="Times New Roman" w:eastAsia="仿宋_GB2312"/>
          <w:b/>
          <w:kern w:val="0"/>
          <w:sz w:val="28"/>
          <w:szCs w:val="28"/>
        </w:rPr>
      </w:pPr>
    </w:p>
    <w:p>
      <w:pPr>
        <w:shd w:val="clear" w:color="auto" w:fill="FFFFFF"/>
        <w:autoSpaceDE w:val="0"/>
        <w:autoSpaceDN w:val="0"/>
        <w:adjustRightInd w:val="0"/>
        <w:spacing w:beforeLines="0" w:afterLines="0" w:line="360" w:lineRule="auto"/>
        <w:jc w:val="center"/>
        <w:rPr>
          <w:rFonts w:hint="default" w:ascii="Times New Roman" w:hAnsi="Times New Roman" w:eastAsia="仿宋_GB2312"/>
          <w:kern w:val="0"/>
          <w:sz w:val="32"/>
          <w:szCs w:val="32"/>
        </w:rPr>
      </w:pPr>
    </w:p>
    <w:p>
      <w:pPr>
        <w:shd w:val="clear" w:color="auto" w:fill="FFFFFF"/>
        <w:autoSpaceDE w:val="0"/>
        <w:autoSpaceDN w:val="0"/>
        <w:adjustRightInd w:val="0"/>
        <w:spacing w:beforeLines="0" w:afterLines="0" w:line="360" w:lineRule="auto"/>
        <w:jc w:val="center"/>
        <w:rPr>
          <w:rFonts w:hint="cs" w:eastAsia="黑体" w:cs="黑体"/>
          <w:kern w:val="0"/>
          <w:sz w:val="32"/>
          <w:szCs w:val="32"/>
          <w:rtl/>
          <w:lang w:val="ar-SA"/>
        </w:rPr>
      </w:pPr>
      <w:r>
        <w:rPr>
          <w:rFonts w:hint="default" w:ascii="Times New Roman" w:hAnsi="Times New Roman" w:eastAsia="仿宋_GB2312"/>
          <w:kern w:val="0"/>
          <w:sz w:val="32"/>
          <w:szCs w:val="32"/>
        </w:rPr>
        <w:br w:type="page"/>
      </w:r>
      <w:r>
        <w:rPr>
          <w:rFonts w:hint="eastAsia" w:ascii="黑体" w:hAnsi="Times New Roman" w:eastAsia="黑体" w:cs="黑体"/>
          <w:kern w:val="0"/>
          <w:sz w:val="32"/>
          <w:szCs w:val="32"/>
        </w:rPr>
        <w:t>第一部分 单位概况</w:t>
      </w:r>
    </w:p>
    <w:p>
      <w:pPr>
        <w:autoSpaceDE w:val="0"/>
        <w:autoSpaceDN w:val="0"/>
        <w:adjustRightInd w:val="0"/>
        <w:spacing w:beforeLines="0" w:afterLines="0" w:line="360" w:lineRule="auto"/>
        <w:ind w:firstLine="640"/>
        <w:rPr>
          <w:rFonts w:hint="default" w:ascii="Times New Roman" w:hAnsi="Times New Roman" w:eastAsia="黑体"/>
          <w:sz w:val="32"/>
          <w:szCs w:val="32"/>
          <w:highlight w:val="none"/>
          <w:lang w:val="zh-CN"/>
        </w:rPr>
      </w:pPr>
      <w:r>
        <w:rPr>
          <w:rFonts w:hint="eastAsia" w:ascii="黑体" w:hAnsi="Times New Roman" w:eastAsia="黑体" w:cs="黑体"/>
          <w:sz w:val="32"/>
          <w:szCs w:val="32"/>
          <w:highlight w:val="none"/>
          <w:lang w:val="zh-CN"/>
        </w:rPr>
        <w:t>一、主要职能</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1.贯彻执行国家和自治区、乌鲁木齐市有关财政、税收、行政事业单位国有资产管理的法规、制度和方针政策；组织拟定财政、财务、会计管理、行政事业单位国有资产管理等方面的规章、办法，并监督实施。</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2.承担我镇各项财政收支管理责任；负责编制乡镇本级预决算草案并组织执行；受镇人民政府委托向镇人民代表大会报告区本级和我镇预算及其执行情况，向镇人大常委会报告决算；组织实施专项资金绩效考核工作；组织制定经费开支标准、定额，负责财政预决算工作。</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3.根据预算安排，拟定财政税收收入计划，并组织实施、管理和监督；负责政府非税收入和政府性基金管理；监管财政票据。</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4.组织实施国库管理和国库集中收付制度，按规定开展本级国库现金管理工作，管理监督各部门国库资金缴拨使用；负责制定我镇政府采购制度并监督管理；管理财政统一发放工资工作。</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5.负责制定我镇行政事业单位国有资产管理规章制度，按规定管理行政事业单位国有资产，拟定和执行需要全区统一规定的开支标准和支出政策。</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6.负责做好政府债务管理，合理安排偿债资金预算。</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7.参与制定我镇基本建设财务管理制度，负责政府性投资项目财政资金管理工作；承担有关政策性补贴和专项储备资金财政管理工作。</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8.会同有关部门管理镇财政社会保障和就业及医疗卫生资金管理工作，会同有关部门研究制定社会保障资金有关的财务管理制度。</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9.管理和指导我镇会计工作，规范会计行为；组织执行国家统一的会计制度和自治区相关补充规定。</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10.监督检查财税法规、政策的执行情况，反映财政收支管理中的重大问题，提出加强财政管理的政策建议。</w:t>
      </w:r>
    </w:p>
    <w:p>
      <w:pPr>
        <w:shd w:val="clear" w:color="auto" w:fill="FFFFFF"/>
        <w:autoSpaceDE w:val="0"/>
        <w:autoSpaceDN w:val="0"/>
        <w:adjustRightInd w:val="0"/>
        <w:spacing w:beforeLines="0" w:afterLines="0" w:line="360" w:lineRule="auto"/>
        <w:ind w:firstLine="640"/>
        <w:rPr>
          <w:rFonts w:hint="default" w:ascii="仿宋_GB2312" w:hAnsi="Times New Roman" w:eastAsia="仿宋_GB2312" w:cs="仿宋_GB2312"/>
          <w:kern w:val="0"/>
          <w:sz w:val="32"/>
          <w:szCs w:val="32"/>
          <w:lang w:val="zh-CN"/>
        </w:rPr>
      </w:pPr>
      <w:r>
        <w:rPr>
          <w:rFonts w:hint="default" w:ascii="仿宋_GB2312" w:hAnsi="Times New Roman" w:eastAsia="仿宋_GB2312" w:cs="仿宋_GB2312"/>
          <w:kern w:val="0"/>
          <w:sz w:val="32"/>
          <w:szCs w:val="32"/>
          <w:lang w:val="zh-CN"/>
        </w:rPr>
        <w:t>11.承办上级人民政府交办的其他事项。</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二、机构设置及人员情况</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乌鲁木齐市米东区羊毛工镇人民政府2022年度，实有人数104人，其中：在职人员87人，离休人员0人，退休人员17人。</w:t>
      </w:r>
    </w:p>
    <w:p>
      <w:pPr>
        <w:shd w:val="clear" w:color="auto" w:fill="FFFFFF"/>
        <w:autoSpaceDE w:val="0"/>
        <w:autoSpaceDN w:val="0"/>
        <w:adjustRightInd w:val="0"/>
        <w:spacing w:beforeLines="0" w:afterLines="0" w:line="360" w:lineRule="auto"/>
        <w:ind w:firstLine="640"/>
        <w:rPr>
          <w:rFonts w:hint="cs" w:ascii="Times New Roman"/>
          <w:kern w:val="0"/>
          <w:sz w:val="24"/>
          <w:szCs w:val="24"/>
          <w:highlight w:val="none"/>
          <w:rtl/>
          <w:lang w:val="zh-CN" w:bidi="zh-CN"/>
        </w:rPr>
      </w:pPr>
      <w:r>
        <w:rPr>
          <w:rFonts w:hint="eastAsia" w:ascii="仿宋_GB2312" w:hAnsi="Times New Roman" w:eastAsia="仿宋_GB2312" w:cs="仿宋_GB2312"/>
          <w:kern w:val="0"/>
          <w:sz w:val="32"/>
          <w:szCs w:val="32"/>
        </w:rPr>
        <w:t>从部门决算单位构成看，乌鲁木齐市米东区羊毛工镇人民政府部门决算包括：乌鲁木齐市米东区羊毛工镇人民政府</w:t>
      </w:r>
      <w:r>
        <w:rPr>
          <w:rFonts w:hint="eastAsia" w:ascii="仿宋_GB2312" w:hAnsi="Times New Roman" w:eastAsia="仿宋_GB2312" w:cs="仿宋_GB2312"/>
          <w:kern w:val="0"/>
          <w:sz w:val="32"/>
          <w:szCs w:val="32"/>
          <w:lang w:val="zh-CN"/>
        </w:rPr>
        <w:t>决算。单位无下属预算单位，</w:t>
      </w:r>
      <w:r>
        <w:rPr>
          <w:rFonts w:hint="eastAsia" w:ascii="仿宋_GB2312" w:hAnsi="Times New Roman" w:eastAsia="仿宋_GB2312" w:cs="仿宋_GB2312"/>
          <w:kern w:val="0"/>
          <w:sz w:val="32"/>
          <w:szCs w:val="32"/>
          <w:highlight w:val="none"/>
          <w:lang w:val="zh-CN"/>
        </w:rPr>
        <w:t>下设</w:t>
      </w:r>
      <w:r>
        <w:rPr>
          <w:rFonts w:hint="eastAsia" w:ascii="仿宋_GB2312" w:hAnsi="Times New Roman" w:eastAsia="仿宋_GB2312" w:cs="仿宋_GB2312"/>
          <w:kern w:val="0"/>
          <w:sz w:val="32"/>
          <w:szCs w:val="32"/>
          <w:highlight w:val="none"/>
          <w:lang w:val="en-US" w:eastAsia="zh-CN"/>
        </w:rPr>
        <w:t>7</w:t>
      </w:r>
      <w:r>
        <w:rPr>
          <w:rFonts w:hint="eastAsia" w:ascii="仿宋_GB2312" w:hAnsi="Times New Roman" w:eastAsia="仿宋_GB2312" w:cs="仿宋_GB2312"/>
          <w:kern w:val="0"/>
          <w:sz w:val="32"/>
          <w:szCs w:val="32"/>
          <w:highlight w:val="none"/>
          <w:lang w:val="zh-CN"/>
        </w:rPr>
        <w:t>个科室，分别是：</w:t>
      </w:r>
      <w:r>
        <w:rPr>
          <w:rFonts w:hint="eastAsia" w:ascii="仿宋_GB2312" w:hAnsi="Times New Roman" w:eastAsia="仿宋_GB2312" w:cs="仿宋_GB2312"/>
          <w:kern w:val="0"/>
          <w:sz w:val="32"/>
          <w:szCs w:val="32"/>
          <w:highlight w:val="none"/>
        </w:rPr>
        <w:t>社会保障（民政）服务中心（退役军人服务站）、农业（畜牧业）发展服务中心、村镇规划建设发展中心（生态环境工作站）、文体广电旅游服务中心、农村合作经济（统计）发展中心（财政所）、防疫专员办公室（公共卫生服务指导中心）、综治中心（网格化服务中心）</w:t>
      </w:r>
      <w:r>
        <w:rPr>
          <w:rFonts w:hint="eastAsia" w:ascii="仿宋_GB2312" w:hAnsi="Times New Roman" w:eastAsia="仿宋_GB2312" w:cs="仿宋_GB2312"/>
          <w:kern w:val="0"/>
          <w:sz w:val="32"/>
          <w:szCs w:val="32"/>
          <w:highlight w:val="none"/>
          <w:lang w:val="zh-CN"/>
        </w:rPr>
        <w:t>。</w:t>
      </w:r>
    </w:p>
    <w:p>
      <w:pPr>
        <w:shd w:val="clear" w:color="auto" w:fill="FFFFFF"/>
        <w:autoSpaceDE w:val="0"/>
        <w:autoSpaceDN w:val="0"/>
        <w:adjustRightInd w:val="0"/>
        <w:spacing w:before="100" w:beforeLines="0" w:after="240" w:afterLines="0"/>
        <w:jc w:val="center"/>
        <w:rPr>
          <w:rFonts w:hint="cs" w:ascii="Times New Roman"/>
          <w:kern w:val="0"/>
          <w:sz w:val="28"/>
          <w:szCs w:val="28"/>
          <w:rtl/>
          <w:lang w:val="ar-SA"/>
        </w:rPr>
      </w:pPr>
      <w:r>
        <w:rPr>
          <w:rFonts w:hint="eastAsia" w:ascii="黑体" w:hAnsi="Times New Roman" w:eastAsia="黑体" w:cs="黑体"/>
          <w:kern w:val="0"/>
          <w:sz w:val="32"/>
          <w:szCs w:val="32"/>
        </w:rPr>
        <w:t>第二部分 部门决算情况说明</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一、收入支出决算总体情况说明</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kern w:val="0"/>
          <w:sz w:val="32"/>
          <w:szCs w:val="32"/>
        </w:rPr>
        <w:t>2022年度收入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4,471.98万元，</w:t>
      </w:r>
      <w:r>
        <w:rPr>
          <w:rFonts w:hint="eastAsia" w:ascii="仿宋_GB2312" w:hAnsi="Times New Roman" w:eastAsia="仿宋_GB2312" w:cs="仿宋_GB2312"/>
          <w:sz w:val="32"/>
          <w:szCs w:val="32"/>
        </w:rPr>
        <w:t>其中：本年收入合计</w:t>
      </w:r>
      <w:r>
        <w:rPr>
          <w:rFonts w:hint="eastAsia" w:ascii="仿宋_GB2312" w:hAnsi="Times New Roman" w:eastAsia="仿宋_GB2312" w:cs="仿宋_GB2312"/>
          <w:kern w:val="0"/>
          <w:sz w:val="32"/>
          <w:szCs w:val="32"/>
        </w:rPr>
        <w:t>4,236.95</w:t>
      </w:r>
      <w:r>
        <w:rPr>
          <w:rFonts w:hint="eastAsia" w:ascii="仿宋_GB2312" w:hAnsi="Times New Roman" w:eastAsia="仿宋_GB2312" w:cs="仿宋_GB2312"/>
          <w:sz w:val="32"/>
          <w:szCs w:val="32"/>
        </w:rPr>
        <w:t>万元，使用非财政拨款结余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万元，年初结转和结余</w:t>
      </w:r>
      <w:r>
        <w:rPr>
          <w:rFonts w:hint="eastAsia" w:ascii="仿宋_GB2312" w:hAnsi="Times New Roman" w:eastAsia="仿宋_GB2312" w:cs="仿宋_GB2312"/>
          <w:kern w:val="0"/>
          <w:sz w:val="32"/>
          <w:szCs w:val="32"/>
        </w:rPr>
        <w:t>235.03</w:t>
      </w:r>
      <w:r>
        <w:rPr>
          <w:rFonts w:hint="eastAsia" w:ascii="仿宋_GB2312" w:hAnsi="Times New Roman" w:eastAsia="仿宋_GB2312" w:cs="仿宋_GB2312"/>
          <w:sz w:val="32"/>
          <w:szCs w:val="32"/>
          <w:highlight w:val="none"/>
        </w:rPr>
        <w:t>万元。收入总计</w:t>
      </w:r>
      <w:r>
        <w:rPr>
          <w:rFonts w:hint="eastAsia" w:ascii="仿宋_GB2312" w:hAnsi="Times New Roman" w:eastAsia="仿宋_GB2312" w:cs="仿宋_GB2312"/>
          <w:kern w:val="0"/>
          <w:sz w:val="32"/>
          <w:szCs w:val="32"/>
          <w:highlight w:val="none"/>
        </w:rPr>
        <w:t>与上年相比，增加649.61万元，增长16.99%，主要原因是：</w:t>
      </w:r>
      <w:r>
        <w:rPr>
          <w:rFonts w:hint="eastAsia" w:ascii="仿宋_GB2312" w:hAnsi="Times New Roman" w:eastAsia="仿宋_GB2312" w:cs="仿宋_GB2312"/>
          <w:kern w:val="0"/>
          <w:sz w:val="32"/>
          <w:szCs w:val="32"/>
          <w:highlight w:val="none"/>
          <w:lang w:val="en-US" w:eastAsia="zh-CN"/>
        </w:rPr>
        <w:t>本年增加自治区财政衔接推进乡村振兴补助资金，收入增加</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sz w:val="32"/>
          <w:szCs w:val="32"/>
          <w:highlight w:val="none"/>
        </w:rPr>
        <w:t>本年支出总计</w:t>
      </w:r>
      <w:r>
        <w:rPr>
          <w:rFonts w:hint="eastAsia" w:ascii="仿宋_GB2312" w:hAnsi="Times New Roman" w:eastAsia="仿宋_GB2312" w:cs="仿宋_GB2312"/>
          <w:kern w:val="0"/>
          <w:sz w:val="32"/>
          <w:szCs w:val="32"/>
          <w:highlight w:val="none"/>
        </w:rPr>
        <w:t>4,471.98万元，</w:t>
      </w:r>
      <w:r>
        <w:rPr>
          <w:rFonts w:hint="eastAsia" w:ascii="仿宋_GB2312" w:hAnsi="Times New Roman" w:eastAsia="仿宋_GB2312" w:cs="仿宋_GB2312"/>
          <w:sz w:val="32"/>
          <w:szCs w:val="32"/>
          <w:highlight w:val="none"/>
        </w:rPr>
        <w:t>其中：本年支出合计</w:t>
      </w:r>
      <w:r>
        <w:rPr>
          <w:rFonts w:hint="eastAsia" w:ascii="仿宋_GB2312" w:hAnsi="Times New Roman" w:eastAsia="仿宋_GB2312" w:cs="仿宋_GB2312"/>
          <w:kern w:val="0"/>
          <w:sz w:val="32"/>
          <w:szCs w:val="32"/>
          <w:highlight w:val="none"/>
        </w:rPr>
        <w:t>4,236.95</w:t>
      </w:r>
      <w:r>
        <w:rPr>
          <w:rFonts w:hint="eastAsia" w:ascii="仿宋_GB2312" w:hAnsi="Times New Roman" w:eastAsia="仿宋_GB2312" w:cs="仿宋_GB2312"/>
          <w:sz w:val="32"/>
          <w:szCs w:val="32"/>
          <w:highlight w:val="none"/>
        </w:rPr>
        <w:t>万元，结余分配</w:t>
      </w:r>
      <w:r>
        <w:rPr>
          <w:rFonts w:hint="eastAsia" w:ascii="仿宋_GB2312" w:hAnsi="Times New Roman" w:eastAsia="仿宋_GB2312" w:cs="仿宋_GB2312"/>
          <w:kern w:val="0"/>
          <w:sz w:val="32"/>
          <w:szCs w:val="32"/>
          <w:highlight w:val="none"/>
        </w:rPr>
        <w:t>0.00</w:t>
      </w:r>
      <w:r>
        <w:rPr>
          <w:rFonts w:hint="eastAsia" w:ascii="仿宋_GB2312" w:hAnsi="Times New Roman" w:eastAsia="仿宋_GB2312" w:cs="仿宋_GB2312"/>
          <w:sz w:val="32"/>
          <w:szCs w:val="32"/>
          <w:highlight w:val="none"/>
        </w:rPr>
        <w:t>万元，年末结转和结余</w:t>
      </w:r>
      <w:r>
        <w:rPr>
          <w:rFonts w:hint="eastAsia" w:ascii="仿宋_GB2312" w:hAnsi="Times New Roman" w:eastAsia="仿宋_GB2312" w:cs="仿宋_GB2312"/>
          <w:kern w:val="0"/>
          <w:sz w:val="32"/>
          <w:szCs w:val="32"/>
          <w:highlight w:val="none"/>
        </w:rPr>
        <w:t>235.03</w:t>
      </w:r>
      <w:r>
        <w:rPr>
          <w:rFonts w:hint="eastAsia" w:ascii="仿宋_GB2312" w:hAnsi="Times New Roman" w:eastAsia="仿宋_GB2312" w:cs="仿宋_GB2312"/>
          <w:sz w:val="32"/>
          <w:szCs w:val="32"/>
          <w:highlight w:val="none"/>
        </w:rPr>
        <w:t>万元。支出总计</w:t>
      </w:r>
      <w:r>
        <w:rPr>
          <w:rFonts w:hint="eastAsia" w:ascii="仿宋_GB2312" w:hAnsi="Times New Roman" w:eastAsia="仿宋_GB2312" w:cs="仿宋_GB2312"/>
          <w:kern w:val="0"/>
          <w:sz w:val="32"/>
          <w:szCs w:val="32"/>
          <w:highlight w:val="none"/>
        </w:rPr>
        <w:t>与上年相比，增加649.61万元，增长16.99%，主要原因是：</w:t>
      </w:r>
      <w:r>
        <w:rPr>
          <w:rFonts w:hint="eastAsia" w:ascii="仿宋_GB2312" w:hAnsi="Times New Roman" w:eastAsia="仿宋_GB2312" w:cs="仿宋_GB2312"/>
          <w:kern w:val="0"/>
          <w:sz w:val="32"/>
          <w:szCs w:val="32"/>
          <w:highlight w:val="none"/>
          <w:lang w:val="en-US" w:eastAsia="zh-CN"/>
        </w:rPr>
        <w:t>本年增加自治区财政衔接推进乡村振兴补助资金，支出增加</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二、收入决算情况说明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收入4,236.95万元，其中：财政拨款收入4,236.95万元，占100.00%；上级补助收入0.00万元，占0.00%；事业收入0.00万元，占0.00%；经营收入0.00万元，占0.00%；附属单位上缴收入0.00万元，占0.00%；其他收入0.00万元，占0.00%。</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三、支出决算情况说明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2022年度本年支出4,236.95万元，其中：基本支出3,141.37万元，占74.14%；项目支出1,095.58万元，占25.86%；上缴上级支出0.00万元，占0.00%；经营支出0.00万元，占0.00%；对附属单位补助支出0.00万元，占0.00%。</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四、财政拨款收入支出决算总体情况说明</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kern w:val="0"/>
          <w:sz w:val="32"/>
          <w:szCs w:val="32"/>
        </w:rPr>
        <w:t>202</w:t>
      </w:r>
      <w:r>
        <w:rPr>
          <w:rFonts w:hint="eastAsia" w:ascii="仿宋_GB2312" w:hAnsi="Times New Roman" w:eastAsia="仿宋_GB2312" w:cs="仿宋_GB2312"/>
          <w:kern w:val="0"/>
          <w:sz w:val="32"/>
          <w:szCs w:val="32"/>
          <w:highlight w:val="none"/>
        </w:rPr>
        <w:t>2年度财政拨款收入</w:t>
      </w:r>
      <w:r>
        <w:rPr>
          <w:rFonts w:hint="eastAsia" w:ascii="仿宋_GB2312" w:hAnsi="Times New Roman" w:eastAsia="仿宋_GB2312" w:cs="仿宋_GB2312"/>
          <w:sz w:val="32"/>
          <w:szCs w:val="32"/>
          <w:highlight w:val="none"/>
        </w:rPr>
        <w:t>总计</w:t>
      </w:r>
      <w:r>
        <w:rPr>
          <w:rFonts w:hint="eastAsia" w:ascii="仿宋_GB2312" w:hAnsi="Times New Roman" w:eastAsia="仿宋_GB2312" w:cs="仿宋_GB2312"/>
          <w:kern w:val="0"/>
          <w:sz w:val="32"/>
          <w:szCs w:val="32"/>
          <w:highlight w:val="none"/>
        </w:rPr>
        <w:t>4,471.98万元，</w:t>
      </w:r>
      <w:r>
        <w:rPr>
          <w:rFonts w:hint="eastAsia" w:ascii="仿宋_GB2312" w:hAnsi="Times New Roman" w:eastAsia="仿宋_GB2312" w:cs="仿宋_GB2312"/>
          <w:sz w:val="32"/>
          <w:szCs w:val="32"/>
          <w:highlight w:val="none"/>
        </w:rPr>
        <w:t>其中：年初财政拨款结转和结余</w:t>
      </w:r>
      <w:r>
        <w:rPr>
          <w:rFonts w:hint="eastAsia" w:ascii="仿宋_GB2312" w:hAnsi="Times New Roman" w:eastAsia="仿宋_GB2312" w:cs="仿宋_GB2312"/>
          <w:kern w:val="0"/>
          <w:sz w:val="32"/>
          <w:szCs w:val="32"/>
          <w:highlight w:val="none"/>
        </w:rPr>
        <w:t>235.03</w:t>
      </w:r>
      <w:r>
        <w:rPr>
          <w:rFonts w:hint="eastAsia" w:ascii="仿宋_GB2312" w:hAnsi="Times New Roman" w:eastAsia="仿宋_GB2312" w:cs="仿宋_GB2312"/>
          <w:sz w:val="32"/>
          <w:szCs w:val="32"/>
          <w:highlight w:val="none"/>
        </w:rPr>
        <w:t>万元，财政拨款本年收入</w:t>
      </w:r>
      <w:r>
        <w:rPr>
          <w:rFonts w:hint="eastAsia" w:ascii="仿宋_GB2312" w:hAnsi="Times New Roman" w:eastAsia="仿宋_GB2312" w:cs="仿宋_GB2312"/>
          <w:kern w:val="0"/>
          <w:sz w:val="32"/>
          <w:szCs w:val="32"/>
          <w:highlight w:val="none"/>
        </w:rPr>
        <w:t>4,236.95</w:t>
      </w:r>
      <w:r>
        <w:rPr>
          <w:rFonts w:hint="eastAsia" w:ascii="仿宋_GB2312" w:hAnsi="Times New Roman" w:eastAsia="仿宋_GB2312" w:cs="仿宋_GB2312"/>
          <w:sz w:val="32"/>
          <w:szCs w:val="32"/>
          <w:highlight w:val="none"/>
        </w:rPr>
        <w:t>万元。财政拨款收入总计</w:t>
      </w:r>
      <w:r>
        <w:rPr>
          <w:rFonts w:hint="eastAsia" w:ascii="仿宋_GB2312" w:hAnsi="Times New Roman" w:eastAsia="仿宋_GB2312" w:cs="仿宋_GB2312"/>
          <w:kern w:val="0"/>
          <w:sz w:val="32"/>
          <w:szCs w:val="32"/>
          <w:highlight w:val="none"/>
        </w:rPr>
        <w:t>与上年相比，增加649.61万元，增长16.99%，主要原因是：</w:t>
      </w:r>
      <w:r>
        <w:rPr>
          <w:rFonts w:hint="eastAsia" w:ascii="仿宋_GB2312" w:hAnsi="Times New Roman" w:eastAsia="仿宋_GB2312" w:cs="仿宋_GB2312"/>
          <w:kern w:val="0"/>
          <w:sz w:val="32"/>
          <w:szCs w:val="32"/>
          <w:highlight w:val="none"/>
          <w:lang w:val="en-US" w:eastAsia="zh-CN"/>
        </w:rPr>
        <w:t>本年增加自治区财政衔接推进乡村振兴补助资金，收入增加</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财政拨款支出</w:t>
      </w:r>
      <w:r>
        <w:rPr>
          <w:rFonts w:hint="eastAsia" w:ascii="仿宋_GB2312" w:hAnsi="Times New Roman" w:eastAsia="仿宋_GB2312" w:cs="仿宋_GB2312"/>
          <w:sz w:val="32"/>
          <w:szCs w:val="32"/>
          <w:highlight w:val="none"/>
        </w:rPr>
        <w:t>总计</w:t>
      </w:r>
      <w:r>
        <w:rPr>
          <w:rFonts w:hint="eastAsia" w:ascii="仿宋_GB2312" w:hAnsi="Times New Roman" w:eastAsia="仿宋_GB2312" w:cs="仿宋_GB2312"/>
          <w:kern w:val="0"/>
          <w:sz w:val="32"/>
          <w:szCs w:val="32"/>
          <w:highlight w:val="none"/>
        </w:rPr>
        <w:t>4,471.98万元，</w:t>
      </w:r>
      <w:r>
        <w:rPr>
          <w:rFonts w:hint="eastAsia" w:ascii="仿宋_GB2312" w:hAnsi="Times New Roman" w:eastAsia="仿宋_GB2312" w:cs="仿宋_GB2312"/>
          <w:sz w:val="32"/>
          <w:szCs w:val="32"/>
          <w:highlight w:val="none"/>
        </w:rPr>
        <w:t>其中：年末财政拨款结转和结余</w:t>
      </w:r>
      <w:r>
        <w:rPr>
          <w:rFonts w:hint="eastAsia" w:ascii="仿宋_GB2312" w:hAnsi="Times New Roman" w:eastAsia="仿宋_GB2312" w:cs="仿宋_GB2312"/>
          <w:kern w:val="0"/>
          <w:sz w:val="32"/>
          <w:szCs w:val="32"/>
          <w:highlight w:val="none"/>
        </w:rPr>
        <w:t>235.03</w:t>
      </w:r>
      <w:r>
        <w:rPr>
          <w:rFonts w:hint="eastAsia" w:ascii="仿宋_GB2312" w:hAnsi="Times New Roman" w:eastAsia="仿宋_GB2312" w:cs="仿宋_GB2312"/>
          <w:sz w:val="32"/>
          <w:szCs w:val="32"/>
          <w:highlight w:val="none"/>
        </w:rPr>
        <w:t>万元，财政拨款本年支出</w:t>
      </w:r>
      <w:r>
        <w:rPr>
          <w:rFonts w:hint="eastAsia" w:ascii="仿宋_GB2312" w:hAnsi="Times New Roman" w:eastAsia="仿宋_GB2312" w:cs="仿宋_GB2312"/>
          <w:kern w:val="0"/>
          <w:sz w:val="32"/>
          <w:szCs w:val="32"/>
          <w:highlight w:val="none"/>
        </w:rPr>
        <w:t>4,236.95</w:t>
      </w:r>
      <w:r>
        <w:rPr>
          <w:rFonts w:hint="eastAsia" w:ascii="仿宋_GB2312" w:hAnsi="Times New Roman" w:eastAsia="仿宋_GB2312" w:cs="仿宋_GB2312"/>
          <w:sz w:val="32"/>
          <w:szCs w:val="32"/>
          <w:highlight w:val="none"/>
        </w:rPr>
        <w:t>万元。财政拨款支出总计</w:t>
      </w:r>
      <w:r>
        <w:rPr>
          <w:rFonts w:hint="eastAsia" w:ascii="仿宋_GB2312" w:hAnsi="Times New Roman" w:eastAsia="仿宋_GB2312" w:cs="仿宋_GB2312"/>
          <w:kern w:val="0"/>
          <w:sz w:val="32"/>
          <w:szCs w:val="32"/>
          <w:highlight w:val="none"/>
        </w:rPr>
        <w:t>与上年相比，增加649.61万元，增长16.99%，主要原因是：</w:t>
      </w:r>
      <w:r>
        <w:rPr>
          <w:rFonts w:hint="eastAsia" w:ascii="仿宋_GB2312" w:hAnsi="Times New Roman" w:eastAsia="仿宋_GB2312" w:cs="仿宋_GB2312"/>
          <w:kern w:val="0"/>
          <w:sz w:val="32"/>
          <w:szCs w:val="32"/>
          <w:highlight w:val="none"/>
          <w:lang w:val="en-US" w:eastAsia="zh-CN"/>
        </w:rPr>
        <w:t>本年增加自治区财政衔接推进乡村振兴补助资金，支出增加</w:t>
      </w:r>
      <w:r>
        <w:rPr>
          <w:rFonts w:hint="eastAsia" w:ascii="仿宋_GB2312" w:hAnsi="Times New Roman" w:eastAsia="仿宋_GB2312" w:cs="仿宋_GB2312"/>
          <w:kern w:val="0"/>
          <w:sz w:val="32"/>
          <w:szCs w:val="32"/>
          <w:highlight w:val="none"/>
        </w:rPr>
        <w:t>。</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与年初预算数相比情况：财政拨款收入</w:t>
      </w:r>
      <w:r>
        <w:rPr>
          <w:rFonts w:hint="eastAsia" w:ascii="仿宋_GB2312" w:hAnsi="Times New Roman" w:eastAsia="仿宋_GB2312" w:cs="仿宋_GB2312"/>
          <w:sz w:val="32"/>
          <w:szCs w:val="32"/>
          <w:highlight w:val="none"/>
        </w:rPr>
        <w:t>总计</w:t>
      </w:r>
      <w:r>
        <w:rPr>
          <w:rFonts w:hint="eastAsia" w:ascii="仿宋_GB2312" w:hAnsi="Times New Roman" w:eastAsia="仿宋_GB2312" w:cs="仿宋_GB2312"/>
          <w:kern w:val="0"/>
          <w:sz w:val="32"/>
          <w:szCs w:val="32"/>
          <w:highlight w:val="none"/>
        </w:rPr>
        <w:t>年初预算数4,160.66万元，决算数4,471.98万元，预决算差异率7.48%，主要原因是：</w:t>
      </w:r>
      <w:r>
        <w:rPr>
          <w:rFonts w:hint="eastAsia" w:ascii="仿宋_GB2312" w:hAnsi="Times New Roman" w:eastAsia="仿宋_GB2312" w:cs="仿宋_GB2312"/>
          <w:kern w:val="0"/>
          <w:sz w:val="32"/>
          <w:szCs w:val="32"/>
          <w:highlight w:val="none"/>
          <w:lang w:val="en-US" w:eastAsia="zh-CN"/>
        </w:rPr>
        <w:t>本年追加自治区财政衔接推进乡村振兴补助资金，收入增加，与预算相比，导致差异</w:t>
      </w:r>
      <w:r>
        <w:rPr>
          <w:rFonts w:hint="eastAsia" w:ascii="仿宋_GB2312" w:hAnsi="Times New Roman" w:eastAsia="仿宋_GB2312" w:cs="仿宋_GB2312"/>
          <w:kern w:val="0"/>
          <w:sz w:val="32"/>
          <w:szCs w:val="32"/>
          <w:highlight w:val="none"/>
        </w:rPr>
        <w:t>。财政拨款支出</w:t>
      </w:r>
      <w:r>
        <w:rPr>
          <w:rFonts w:hint="eastAsia" w:ascii="仿宋_GB2312" w:hAnsi="Times New Roman" w:eastAsia="仿宋_GB2312" w:cs="仿宋_GB2312"/>
          <w:sz w:val="32"/>
          <w:szCs w:val="32"/>
          <w:highlight w:val="none"/>
        </w:rPr>
        <w:t>总计</w:t>
      </w:r>
      <w:r>
        <w:rPr>
          <w:rFonts w:hint="eastAsia" w:ascii="仿宋_GB2312" w:hAnsi="Times New Roman" w:eastAsia="仿宋_GB2312" w:cs="仿宋_GB2312"/>
          <w:kern w:val="0"/>
          <w:sz w:val="32"/>
          <w:szCs w:val="32"/>
          <w:highlight w:val="none"/>
        </w:rPr>
        <w:t>年初预算数4,160.66万元，决算数4,471.98万元，预决算差异率7.48%，主要原因是：</w:t>
      </w:r>
      <w:r>
        <w:rPr>
          <w:rFonts w:hint="eastAsia" w:ascii="仿宋_GB2312" w:hAnsi="Times New Roman" w:eastAsia="仿宋_GB2312" w:cs="仿宋_GB2312"/>
          <w:kern w:val="0"/>
          <w:sz w:val="32"/>
          <w:szCs w:val="32"/>
          <w:highlight w:val="none"/>
          <w:lang w:val="en-US" w:eastAsia="zh-CN"/>
        </w:rPr>
        <w:t>本年增加自治区财政衔接推进乡村振兴补助资金，支出增加，与预算相比导致差异</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五、一般公共预算财政拨款支出决算情况说明</w:t>
      </w:r>
    </w:p>
    <w:p>
      <w:pPr>
        <w:autoSpaceDE w:val="0"/>
        <w:autoSpaceDN w:val="0"/>
        <w:adjustRightInd w:val="0"/>
        <w:spacing w:beforeLines="0" w:afterLines="0"/>
        <w:ind w:firstLine="640"/>
        <w:rPr>
          <w:rFonts w:hint="default" w:ascii="Times New Roman" w:hAnsi="Times New Roman" w:eastAsia="黑体"/>
          <w:sz w:val="32"/>
          <w:szCs w:val="32"/>
        </w:rPr>
      </w:pPr>
      <w:r>
        <w:rPr>
          <w:rFonts w:hint="eastAsia" w:ascii="黑体" w:hAnsi="Times New Roman" w:eastAsia="黑体" w:cs="黑体"/>
          <w:sz w:val="32"/>
          <w:szCs w:val="32"/>
        </w:rPr>
        <w:t>（一）一般公共预算财政拨款支出决算总体情况</w:t>
      </w:r>
    </w:p>
    <w:p>
      <w:pPr>
        <w:autoSpaceDE w:val="0"/>
        <w:autoSpaceDN w:val="0"/>
        <w:adjustRightInd w:val="0"/>
        <w:spacing w:beforeLines="0" w:afterLines="0" w:line="600" w:lineRule="exact"/>
        <w:ind w:firstLine="640"/>
        <w:rPr>
          <w:rFonts w:hint="eastAsia" w:ascii="仿宋_GB2312" w:hAnsi="Times New Roman" w:eastAsia="仿宋_GB2312" w:cs="仿宋_GB2312"/>
          <w:kern w:val="0"/>
          <w:sz w:val="32"/>
          <w:szCs w:val="32"/>
          <w:highlight w:val="none"/>
        </w:rPr>
      </w:pPr>
      <w:r>
        <w:rPr>
          <w:rFonts w:hint="eastAsia" w:ascii="仿宋_GB2312" w:hAnsi="Times New Roman" w:eastAsia="仿宋_GB2312" w:cs="仿宋_GB2312"/>
          <w:sz w:val="32"/>
          <w:szCs w:val="32"/>
        </w:rPr>
        <w:t>2022年度一般公共预算财政拨款支出</w:t>
      </w:r>
      <w:r>
        <w:rPr>
          <w:rFonts w:hint="eastAsia" w:ascii="仿宋_GB2312" w:hAnsi="Times New Roman" w:eastAsia="仿宋_GB2312" w:cs="仿宋_GB2312"/>
          <w:kern w:val="0"/>
          <w:sz w:val="32"/>
          <w:szCs w:val="32"/>
        </w:rPr>
        <w:t>4,236.95</w:t>
      </w:r>
      <w:r>
        <w:rPr>
          <w:rFonts w:hint="eastAsia" w:ascii="仿宋_GB2312" w:hAnsi="Times New Roman" w:eastAsia="仿宋_GB2312" w:cs="仿宋_GB2312"/>
          <w:sz w:val="32"/>
          <w:szCs w:val="32"/>
        </w:rPr>
        <w:t>万元，占本年支出合计的</w:t>
      </w:r>
      <w:r>
        <w:rPr>
          <w:rFonts w:hint="eastAsia" w:ascii="仿宋_GB2312" w:hAnsi="Times New Roman" w:eastAsia="仿宋_GB2312" w:cs="仿宋_GB2312"/>
          <w:kern w:val="0"/>
          <w:sz w:val="32"/>
          <w:szCs w:val="32"/>
        </w:rPr>
        <w:t>100.00%</w:t>
      </w:r>
      <w:r>
        <w:rPr>
          <w:rFonts w:hint="eastAsia" w:ascii="仿宋_GB2312" w:hAnsi="Times New Roman" w:eastAsia="仿宋_GB2312" w:cs="仿宋_GB2312"/>
          <w:sz w:val="32"/>
          <w:szCs w:val="32"/>
        </w:rPr>
        <w:t>，与上年相比，</w:t>
      </w:r>
      <w:r>
        <w:rPr>
          <w:rFonts w:hint="eastAsia" w:ascii="仿宋_GB2312" w:hAnsi="Times New Roman" w:eastAsia="仿宋_GB2312" w:cs="仿宋_GB2312"/>
          <w:kern w:val="0"/>
          <w:sz w:val="32"/>
          <w:szCs w:val="32"/>
        </w:rPr>
        <w:t>增加649.61万元，增长18.11%</w:t>
      </w:r>
      <w:r>
        <w:rPr>
          <w:rFonts w:hint="eastAsia" w:ascii="仿宋_GB2312" w:hAnsi="Times New Roman" w:eastAsia="仿宋_GB2312" w:cs="仿宋_GB2312"/>
          <w:kern w:val="0"/>
          <w:sz w:val="32"/>
          <w:szCs w:val="32"/>
          <w:highlight w:val="none"/>
        </w:rPr>
        <w:t>，主要原因是：</w:t>
      </w:r>
      <w:r>
        <w:rPr>
          <w:rFonts w:hint="eastAsia" w:ascii="仿宋_GB2312" w:hAnsi="Times New Roman" w:eastAsia="仿宋_GB2312" w:cs="仿宋_GB2312"/>
          <w:kern w:val="0"/>
          <w:sz w:val="32"/>
          <w:szCs w:val="32"/>
          <w:highlight w:val="none"/>
          <w:lang w:val="en-US" w:eastAsia="zh-CN"/>
        </w:rPr>
        <w:t>本年增加自治区财政衔接推进乡村振兴补助资金，支出增加</w:t>
      </w:r>
      <w:r>
        <w:rPr>
          <w:rFonts w:hint="eastAsia" w:ascii="仿宋_GB2312" w:hAnsi="Times New Roman" w:eastAsia="仿宋_GB2312" w:cs="仿宋_GB2312"/>
          <w:kern w:val="0"/>
          <w:sz w:val="32"/>
          <w:szCs w:val="32"/>
          <w:highlight w:val="none"/>
        </w:rPr>
        <w:t>。</w:t>
      </w:r>
    </w:p>
    <w:p>
      <w:pPr>
        <w:autoSpaceDE w:val="0"/>
        <w:autoSpaceDN w:val="0"/>
        <w:adjustRightInd w:val="0"/>
        <w:spacing w:beforeLines="0" w:afterLines="0"/>
        <w:ind w:firstLine="640"/>
        <w:rPr>
          <w:rFonts w:hint="default" w:ascii="Times New Roman" w:hAnsi="Times New Roman" w:eastAsia="黑体"/>
          <w:sz w:val="32"/>
          <w:szCs w:val="32"/>
        </w:rPr>
      </w:pPr>
      <w:r>
        <w:rPr>
          <w:rFonts w:hint="eastAsia" w:ascii="黑体" w:hAnsi="Times New Roman" w:eastAsia="黑体" w:cs="黑体"/>
          <w:sz w:val="32"/>
          <w:szCs w:val="32"/>
          <w:highlight w:val="none"/>
        </w:rPr>
        <w:t>（二）一般公共预算财政拨款支出</w:t>
      </w:r>
      <w:r>
        <w:rPr>
          <w:rFonts w:hint="eastAsia" w:ascii="黑体" w:hAnsi="Times New Roman" w:eastAsia="黑体" w:cs="黑体"/>
          <w:sz w:val="32"/>
          <w:szCs w:val="32"/>
        </w:rPr>
        <w:t>决算结构情况</w:t>
      </w:r>
    </w:p>
    <w:p>
      <w:pPr>
        <w:autoSpaceDE w:val="0"/>
        <w:autoSpaceDN w:val="0"/>
        <w:adjustRightInd w:val="0"/>
        <w:spacing w:beforeLines="0" w:afterLines="0"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1.一般公共服务支出（类）2,320.87万元，占54.78%；</w:t>
      </w:r>
    </w:p>
    <w:p>
      <w:pPr>
        <w:autoSpaceDE w:val="0"/>
        <w:autoSpaceDN w:val="0"/>
        <w:adjustRightInd w:val="0"/>
        <w:spacing w:beforeLines="0" w:afterLines="0"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2.社会保障和就业支出（类）129.83万元，占3.06%；</w:t>
      </w:r>
    </w:p>
    <w:p>
      <w:pPr>
        <w:autoSpaceDE w:val="0"/>
        <w:autoSpaceDN w:val="0"/>
        <w:adjustRightInd w:val="0"/>
        <w:spacing w:beforeLines="0" w:afterLines="0"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3.卫生健康支出（类）62.84万元，占1.48%；</w:t>
      </w:r>
    </w:p>
    <w:p>
      <w:pPr>
        <w:autoSpaceDE w:val="0"/>
        <w:autoSpaceDN w:val="0"/>
        <w:adjustRightInd w:val="0"/>
        <w:spacing w:beforeLines="0" w:afterLines="0"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4.农林水支出（类）1,723.41万元，占40.68%。</w:t>
      </w:r>
    </w:p>
    <w:p>
      <w:pPr>
        <w:autoSpaceDE w:val="0"/>
        <w:autoSpaceDN w:val="0"/>
        <w:adjustRightInd w:val="0"/>
        <w:spacing w:beforeLines="0" w:afterLines="0" w:line="60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（三）一般公共预算财政拨款支出决算具体情况</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1.一般公共服务支出（类）政府办公厅（室）及相关机构事务（款）行政运行（项）:支出决算数为2,320.87万元，比上年决算减少170.33</w:t>
      </w:r>
      <w:r>
        <w:rPr>
          <w:rFonts w:hint="eastAsia" w:ascii="仿宋_GB2312" w:hAnsi="Times New Roman" w:eastAsia="仿宋_GB2312" w:cs="仿宋_GB2312"/>
          <w:sz w:val="32"/>
          <w:szCs w:val="32"/>
          <w:highlight w:val="none"/>
        </w:rPr>
        <w:t>万元，下降6.84%，主要原因是：</w:t>
      </w:r>
      <w:r>
        <w:rPr>
          <w:rFonts w:hint="eastAsia" w:ascii="仿宋_GB2312" w:hAnsi="Times New Roman" w:eastAsia="仿宋_GB2312" w:cs="仿宋_GB2312"/>
          <w:sz w:val="32"/>
          <w:szCs w:val="32"/>
          <w:highlight w:val="none"/>
          <w:lang w:val="en-US" w:eastAsia="zh-CN"/>
        </w:rPr>
        <w:t>本年人员调出，工资薪金、津贴补贴等支出减少，此功能科目支出减少</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2.一般公共服务支出（类）政府办公厅（室）及相关机构事务（款）事业运行（项）:支出决算数为0.00万元，比上年决算减少121.54万元，下降100.00%，主要原因是：</w:t>
      </w:r>
      <w:r>
        <w:rPr>
          <w:rFonts w:hint="eastAsia" w:ascii="仿宋_GB2312" w:hAnsi="Times New Roman" w:eastAsia="仿宋_GB2312" w:cs="仿宋_GB2312"/>
          <w:sz w:val="32"/>
          <w:szCs w:val="32"/>
          <w:highlight w:val="none"/>
          <w:lang w:val="en-US" w:eastAsia="zh-CN"/>
        </w:rPr>
        <w:t>本年此功能科目未支出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3.文化旅游体育与传媒支出（类）文化和旅游（款）机关服务（项</w:t>
      </w:r>
      <w:r>
        <w:rPr>
          <w:rFonts w:hint="eastAsia" w:ascii="仿宋_GB2312" w:hAnsi="Times New Roman" w:eastAsia="仿宋_GB2312" w:cs="仿宋_GB2312"/>
          <w:sz w:val="32"/>
          <w:szCs w:val="32"/>
          <w:highlight w:val="none"/>
        </w:rPr>
        <w:t>）:支出决算数为0.00万元，比上年决算减少78.61万元，下降100.00%，主要原因是：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4.文化旅游体育与传媒支出（类）文化和旅游（款）其他文化和旅游支出（项）:支出决算数为0.00万元，比上年决算减少0.72万元，下降100.00%，主要原因是：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5.社会保障和就业支出（类）人力资源和社会保障管理事务（款）机关服务（项）:支出决算数为0.00万元，比上年决算减少134.12万元，下降100.00%，主要原因是：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6.社会保障和就业支出（类）民政管理事务（款）基层政权建设和社区治理（项）:支出决算数为0.00万元，比上年决算减少187.41万元，下降100.00%，主要原因是：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7.社会保障和就业支出（类）行政事业单位养老支出（款）机关事业单位基本养老保险缴费支出（项）:支出决算数为126.83万元，比上年决算增加44.85万元，增长54.71%，主要原因是：</w:t>
      </w:r>
      <w:r>
        <w:rPr>
          <w:rFonts w:hint="eastAsia" w:ascii="仿宋_GB2312" w:hAnsi="Times New Roman" w:eastAsia="仿宋_GB2312" w:cs="仿宋_GB2312"/>
          <w:sz w:val="32"/>
          <w:szCs w:val="32"/>
          <w:highlight w:val="none"/>
          <w:lang w:val="en-US" w:eastAsia="zh-CN"/>
        </w:rPr>
        <w:t>本年工资薪金、社保基数上调，养老保险缴费增加，此项支出增加</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8.社会保障和就业支出（类）其他生活救助（款）其他城市生活救助（项）:支出决算数为3.00万元，比上年决算增加3.00万元，增长100.00%，主要原因是：</w:t>
      </w:r>
      <w:r>
        <w:rPr>
          <w:rFonts w:hint="eastAsia" w:ascii="仿宋_GB2312" w:hAnsi="Times New Roman" w:eastAsia="仿宋_GB2312" w:cs="仿宋_GB2312"/>
          <w:sz w:val="32"/>
          <w:szCs w:val="32"/>
          <w:highlight w:val="none"/>
          <w:lang w:val="en-US" w:eastAsia="zh-CN"/>
        </w:rPr>
        <w:t>本年增加</w:t>
      </w:r>
      <w:r>
        <w:rPr>
          <w:rFonts w:hint="eastAsia" w:ascii="仿宋_GB2312" w:hAnsi="Times New Roman" w:eastAsia="仿宋_GB2312" w:cs="仿宋_GB2312"/>
          <w:sz w:val="32"/>
          <w:szCs w:val="32"/>
          <w:highlight w:val="none"/>
        </w:rPr>
        <w:t>2022受疫情影响生活困难人员救助金（第三批）</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此项支出增加</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9.卫生健康支出（类）公共卫生（款）其他专业公共卫生机构（项）:支出决算数为0.00万元，比上年决算减少23.33万元，下降100.00%，主要原因是：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10.卫生健康支出（类）公共卫生（款）突发公共卫生事件应急处理（项）:支出决算数为15.89万元，比上年决算增加15.89万元，增长100.00%，主要原因是：</w:t>
      </w:r>
      <w:r>
        <w:rPr>
          <w:rFonts w:hint="eastAsia" w:ascii="仿宋_GB2312" w:hAnsi="Times New Roman" w:eastAsia="仿宋_GB2312" w:cs="仿宋_GB2312"/>
          <w:sz w:val="32"/>
          <w:szCs w:val="32"/>
          <w:highlight w:val="none"/>
          <w:lang w:val="en-US" w:eastAsia="zh-CN"/>
        </w:rPr>
        <w:t>本年增加</w:t>
      </w:r>
      <w:r>
        <w:rPr>
          <w:rFonts w:hint="eastAsia" w:ascii="仿宋_GB2312" w:hAnsi="Times New Roman" w:eastAsia="仿宋_GB2312" w:cs="仿宋_GB2312"/>
          <w:sz w:val="32"/>
          <w:szCs w:val="32"/>
          <w:highlight w:val="none"/>
        </w:rPr>
        <w:t>乌财社【2022】311号关于拨付2022年第七十五批疫情防控补助资金【因疫情滞留】</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此项支出增加</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11.卫生健康支出（类）计划生育事务（款）计划生育服务（项）:支出决算数为46.95万元，比上年决算增加46.95万元，增长100.0</w:t>
      </w:r>
      <w:r>
        <w:rPr>
          <w:rFonts w:hint="eastAsia" w:ascii="仿宋_GB2312" w:hAnsi="Times New Roman" w:eastAsia="仿宋_GB2312" w:cs="仿宋_GB2312"/>
          <w:sz w:val="32"/>
          <w:szCs w:val="32"/>
          <w:highlight w:val="none"/>
        </w:rPr>
        <w:t>0%，主要原因是：本年事业编制干部工资福利津贴补贴等支出从行政运行调至此功能科目支出；</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12.城乡社区支出（类）城乡社区管理事务（款）其他城乡社区管理事务支出（项）:支出决算数为0.00万元，比上年决算减少10.00万元，下降100.00%，主要原因是：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13.农林水支出（类）农业农村（款）事业运行（项）:支出决算数为645.12万元，比上年决算增加418.28万元，增长184.39%，主要原因是：本年事业编制干部工资福利津贴补贴等支出从行政运行调至此功能科目支出；</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14.农林</w:t>
      </w:r>
      <w:r>
        <w:rPr>
          <w:rFonts w:hint="eastAsia" w:ascii="仿宋_GB2312" w:hAnsi="Times New Roman" w:eastAsia="仿宋_GB2312" w:cs="仿宋_GB2312"/>
          <w:sz w:val="32"/>
          <w:szCs w:val="32"/>
          <w:highlight w:val="none"/>
        </w:rPr>
        <w:t>水支出（类）农业农村（款）对高校毕业生到基层任职补助（项）:支出决算数为1.60万元，比上年决算增加1.60万元，增长100.00%，主要原因是：</w:t>
      </w:r>
      <w:r>
        <w:rPr>
          <w:rFonts w:hint="eastAsia" w:ascii="仿宋_GB2312" w:hAnsi="Times New Roman" w:eastAsia="仿宋_GB2312" w:cs="仿宋_GB2312"/>
          <w:sz w:val="32"/>
          <w:szCs w:val="32"/>
          <w:highlight w:val="none"/>
          <w:lang w:val="en-US" w:eastAsia="zh-CN"/>
        </w:rPr>
        <w:t>本年增加</w:t>
      </w:r>
      <w:r>
        <w:rPr>
          <w:rFonts w:hint="eastAsia" w:ascii="仿宋_GB2312" w:hAnsi="Times New Roman" w:eastAsia="仿宋_GB2312" w:cs="仿宋_GB2312"/>
          <w:sz w:val="32"/>
          <w:szCs w:val="32"/>
          <w:highlight w:val="none"/>
        </w:rPr>
        <w:t>乡镇巡逻队员补助</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此项支出增加</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w:t>
      </w:r>
      <w:r>
        <w:rPr>
          <w:rFonts w:hint="eastAsia" w:ascii="仿宋_GB2312" w:hAnsi="Times New Roman" w:eastAsia="仿宋_GB2312" w:cs="仿宋_GB2312"/>
          <w:sz w:val="32"/>
          <w:szCs w:val="32"/>
          <w:highlight w:val="none"/>
        </w:rPr>
        <w:t>5.农林水支出（类）农业农村（款）其他农业农村支出（项）:支出决算数为0.00万元，比上年决算减少33.78万元，下降100.00%，主要原因是：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rPr>
        <w:t>16.农林水支出（类）扶贫（款）生产发展（项）:支出决算数为1,076.69万元，比上年决算增加1,076.69万元，增长100.</w:t>
      </w:r>
      <w:r>
        <w:rPr>
          <w:rFonts w:hint="eastAsia" w:ascii="仿宋_GB2312" w:hAnsi="Times New Roman" w:eastAsia="仿宋_GB2312" w:cs="仿宋_GB2312"/>
          <w:sz w:val="32"/>
          <w:szCs w:val="32"/>
          <w:highlight w:val="none"/>
        </w:rPr>
        <w:t>00%，主要原因是：</w:t>
      </w:r>
      <w:r>
        <w:rPr>
          <w:rFonts w:hint="eastAsia" w:ascii="仿宋_GB2312" w:hAnsi="Times New Roman" w:eastAsia="仿宋_GB2312" w:cs="仿宋_GB2312"/>
          <w:sz w:val="32"/>
          <w:szCs w:val="32"/>
          <w:highlight w:val="none"/>
          <w:lang w:val="en-US" w:eastAsia="zh-CN"/>
        </w:rPr>
        <w:t>增加</w:t>
      </w:r>
      <w:r>
        <w:rPr>
          <w:rFonts w:hint="eastAsia" w:ascii="仿宋_GB2312" w:hAnsi="Times New Roman" w:eastAsia="仿宋_GB2312" w:cs="仿宋_GB2312"/>
          <w:sz w:val="32"/>
          <w:szCs w:val="32"/>
          <w:highlight w:val="none"/>
        </w:rPr>
        <w:t>自治区财政衔接推进乡村振兴补助资金</w:t>
      </w:r>
      <w:r>
        <w:rPr>
          <w:rFonts w:hint="eastAsia" w:ascii="仿宋_GB2312" w:hAnsi="Times New Roman" w:eastAsia="仿宋_GB2312" w:cs="仿宋_GB2312"/>
          <w:sz w:val="32"/>
          <w:szCs w:val="32"/>
          <w:highlight w:val="none"/>
          <w:lang w:eastAsia="zh-CN"/>
        </w:rPr>
        <w:t>，</w:t>
      </w:r>
      <w:r>
        <w:rPr>
          <w:rFonts w:hint="eastAsia" w:ascii="仿宋_GB2312" w:hAnsi="Times New Roman" w:eastAsia="仿宋_GB2312" w:cs="仿宋_GB2312"/>
          <w:sz w:val="32"/>
          <w:szCs w:val="32"/>
          <w:highlight w:val="none"/>
          <w:lang w:val="en-US" w:eastAsia="zh-CN"/>
        </w:rPr>
        <w:t>支出增加</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17.农林水支出（类）农村综合改革（款）对村级公益事业建设的补助（项）:支出决算数为0.00万元，比上年决算减少162.57万元，下降100.00%，主要原因是：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18.农林水支出（类）农村综合改革（款）对村民委员会和村党支部的补助（项）:支出决算数为0.00万元，比上年决算减少35.00万元，下降100.00%，主要原因是：</w:t>
      </w:r>
      <w:r>
        <w:rPr>
          <w:rFonts w:hint="eastAsia" w:ascii="仿宋_GB2312" w:hAnsi="Times New Roman" w:eastAsia="仿宋_GB2312" w:cs="仿宋_GB2312"/>
          <w:sz w:val="32"/>
          <w:szCs w:val="32"/>
          <w:highlight w:val="none"/>
          <w:lang w:val="en-US" w:eastAsia="zh-CN"/>
        </w:rPr>
        <w:t>本年单位无此项支出</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eastAsia" w:ascii="仿宋_GB2312" w:hAnsi="Times New Roman" w:eastAsia="仿宋_GB2312" w:cs="仿宋_GB2312"/>
          <w:sz w:val="32"/>
          <w:szCs w:val="32"/>
          <w:highlight w:val="none"/>
        </w:rPr>
      </w:pPr>
      <w:r>
        <w:rPr>
          <w:rFonts w:hint="eastAsia" w:ascii="仿宋_GB2312" w:hAnsi="Times New Roman" w:eastAsia="仿宋_GB2312" w:cs="仿宋_GB2312"/>
          <w:sz w:val="32"/>
          <w:szCs w:val="32"/>
          <w:highlight w:val="none"/>
        </w:rPr>
        <w:t>19.交通运输支出（类）邮政业支出（款）其他邮政业支出（项）:支出决算数为0.00万元，比上年决算减少0.24万元，下降100.00%，主要原因是：</w:t>
      </w:r>
      <w:r>
        <w:rPr>
          <w:rFonts w:hint="eastAsia" w:ascii="仿宋_GB2312" w:hAnsi="Times New Roman" w:eastAsia="仿宋_GB2312" w:cs="仿宋_GB2312"/>
          <w:sz w:val="32"/>
          <w:szCs w:val="32"/>
          <w:highlight w:val="none"/>
          <w:lang w:val="en-US" w:eastAsia="zh-CN"/>
        </w:rPr>
        <w:t>本年减少</w:t>
      </w:r>
      <w:r>
        <w:rPr>
          <w:rFonts w:hint="eastAsia" w:ascii="仿宋_GB2312" w:hAnsi="Times New Roman" w:eastAsia="仿宋_GB2312" w:cs="仿宋_GB2312"/>
          <w:sz w:val="32"/>
          <w:szCs w:val="32"/>
          <w:highlight w:val="none"/>
        </w:rPr>
        <w:t>农牧区投递员专项补贴资金</w:t>
      </w:r>
      <w:r>
        <w:rPr>
          <w:rFonts w:hint="eastAsia" w:ascii="仿宋_GB2312" w:hAnsi="Times New Roman" w:eastAsia="仿宋_GB2312" w:cs="仿宋_GB2312"/>
          <w:sz w:val="32"/>
          <w:szCs w:val="32"/>
          <w:highlight w:val="none"/>
          <w:lang w:val="en-US" w:eastAsia="zh-CN"/>
        </w:rPr>
        <w:t>，支出减少</w:t>
      </w:r>
      <w:r>
        <w:rPr>
          <w:rFonts w:hint="eastAsia" w:ascii="仿宋_GB2312" w:hAnsi="Times New Roman" w:eastAsia="仿宋_GB2312" w:cs="仿宋_GB2312"/>
          <w:sz w:val="32"/>
          <w:szCs w:val="32"/>
          <w:highlight w:val="none"/>
        </w:rPr>
        <w:t>。</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六、一般公共预算财政拨款基本支出决算情况说明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2022年度一般公共预算财政拨款基本支出3,141.37万元，其中：</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人员经费2,290.93万元，包括：基本工资、津贴补贴、机关事业单位基本养老保险缴费、职工基本医疗保险缴费、公务员医疗补助缴费、其他社会保障缴费、住房公积金、生活补助、奖励金。</w:t>
      </w:r>
    </w:p>
    <w:p>
      <w:pPr>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公用经费850.44万元，包括：办公费、电费、邮电费、取暖费、差旅费、租赁费、劳务费、公务用车运行维护费、其他商品和服务支出。</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lang w:val="zh-CN"/>
        </w:rPr>
        <w:t>七、财政拨款</w:t>
      </w:r>
      <w:r>
        <w:rPr>
          <w:rFonts w:hint="default" w:ascii="Times New Roman" w:hAnsi="Times New Roman" w:eastAsia="黑体" w:cs="黑体"/>
          <w:kern w:val="0"/>
          <w:sz w:val="32"/>
          <w:szCs w:val="32"/>
        </w:rPr>
        <w:t>“</w:t>
      </w:r>
      <w:r>
        <w:rPr>
          <w:rFonts w:hint="eastAsia" w:ascii="黑体" w:hAnsi="Times New Roman" w:eastAsia="黑体" w:cs="黑体"/>
          <w:kern w:val="0"/>
          <w:sz w:val="32"/>
          <w:szCs w:val="32"/>
        </w:rPr>
        <w:t>三公</w:t>
      </w:r>
      <w:r>
        <w:rPr>
          <w:rFonts w:hint="default" w:ascii="Times New Roman" w:hAnsi="Times New Roman" w:eastAsia="黑体" w:cs="黑体"/>
          <w:kern w:val="0"/>
          <w:sz w:val="32"/>
          <w:szCs w:val="32"/>
        </w:rPr>
        <w:t>”</w:t>
      </w:r>
      <w:r>
        <w:rPr>
          <w:rFonts w:hint="eastAsia" w:ascii="黑体" w:hAnsi="Times New Roman" w:eastAsia="黑体" w:cs="黑体"/>
          <w:sz w:val="32"/>
          <w:szCs w:val="32"/>
          <w:lang w:val="zh-CN"/>
        </w:rPr>
        <w:t>经费支出决算情况说明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2022年度</w:t>
      </w:r>
      <w:r>
        <w:rPr>
          <w:rFonts w:hint="eastAsia" w:ascii="仿宋_GB2312" w:hAnsi="Times New Roman" w:eastAsia="仿宋_GB2312" w:cs="仿宋_GB2312"/>
          <w:sz w:val="32"/>
          <w:szCs w:val="32"/>
          <w:highlight w:val="none"/>
        </w:rPr>
        <w:t>财政拨款</w:t>
      </w:r>
      <w:r>
        <w:rPr>
          <w:rFonts w:hint="default" w:ascii="Times New Roman" w:hAnsi="Times New Roman" w:eastAsia="仿宋_GB2312" w:cs="仿宋_GB2312"/>
          <w:kern w:val="0"/>
          <w:sz w:val="32"/>
          <w:szCs w:val="32"/>
          <w:highlight w:val="none"/>
        </w:rPr>
        <w:t>“</w:t>
      </w:r>
      <w:r>
        <w:rPr>
          <w:rFonts w:hint="eastAsia" w:ascii="仿宋_GB2312" w:hAnsi="Times New Roman" w:eastAsia="仿宋_GB2312" w:cs="仿宋_GB2312"/>
          <w:kern w:val="0"/>
          <w:sz w:val="32"/>
          <w:szCs w:val="32"/>
          <w:highlight w:val="none"/>
        </w:rPr>
        <w:t>三公</w:t>
      </w:r>
      <w:r>
        <w:rPr>
          <w:rFonts w:hint="default" w:ascii="Times New Roman" w:hAnsi="Times New Roman" w:eastAsia="仿宋_GB2312" w:cs="仿宋_GB2312"/>
          <w:kern w:val="0"/>
          <w:sz w:val="32"/>
          <w:szCs w:val="32"/>
          <w:highlight w:val="none"/>
        </w:rPr>
        <w:t>”</w:t>
      </w:r>
      <w:r>
        <w:rPr>
          <w:rFonts w:hint="eastAsia" w:ascii="仿宋_GB2312" w:hAnsi="Times New Roman" w:eastAsia="仿宋_GB2312" w:cs="仿宋_GB2312"/>
          <w:kern w:val="0"/>
          <w:sz w:val="32"/>
          <w:szCs w:val="32"/>
          <w:highlight w:val="none"/>
        </w:rPr>
        <w:t>经费支出决算14.10万元，比上年减少1.99万元，下降12.37%，主要原因是：</w:t>
      </w:r>
      <w:r>
        <w:rPr>
          <w:rFonts w:hint="eastAsia" w:ascii="仿宋_GB2312" w:hAnsi="Times New Roman" w:eastAsia="仿宋_GB2312" w:cs="仿宋_GB2312"/>
          <w:kern w:val="0"/>
          <w:sz w:val="32"/>
          <w:szCs w:val="32"/>
          <w:highlight w:val="none"/>
          <w:lang w:val="en-US" w:eastAsia="zh-CN"/>
        </w:rPr>
        <w:t>本年受疫情影响，车辆出行次数减少，维修维护费，燃油费减少</w:t>
      </w:r>
      <w:r>
        <w:rPr>
          <w:rFonts w:hint="eastAsia" w:ascii="仿宋_GB2312" w:hAnsi="Times New Roman" w:eastAsia="仿宋_GB2312" w:cs="仿宋_GB2312"/>
          <w:kern w:val="0"/>
          <w:sz w:val="32"/>
          <w:szCs w:val="32"/>
          <w:highlight w:val="none"/>
        </w:rPr>
        <w:t>。其中：因公出国（境）费支出0.00万元，占0.00%，比上年增加0.00万元，增长0.00%，主要原因是：本年单位无因公出国（境）费支出；公务用车购置及运行维护费支出14.10万元，占100.00%，比上年减少1.99万元，下降12.37%，主要原因是：本年受疫情影响，车辆出行次数减少，维修维护费，燃油费减少；公务接待费支出0.00万元，占0.00%，比上年增加0.00万元，增长0.00%，主要原因是：</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。具体情况如下：</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因公出国（境）费支出0.00万元，开支内容包括本年单位无因公出国（境）费支出。单位全年安排的因公出国（境）团组0个，因公出国（境）0人次。</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公务用车购置及运行维护费14.10万元，其中：公务用车购置费0.00万元，公务用车运行维护费14.10万元。公务用车运行维护费开支内容包括公务用车燃油费、车辆维修维护费、保险费、过路费等。公务用车购置数0辆，公务用车保有量23辆。</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公务接待费0.00万元，开支内容包括</w:t>
      </w:r>
      <w:r>
        <w:rPr>
          <w:rFonts w:hint="eastAsia" w:ascii="仿宋_GB2312" w:hAnsi="Times New Roman" w:eastAsia="仿宋_GB2312" w:cs="仿宋_GB2312"/>
          <w:kern w:val="0"/>
          <w:sz w:val="32"/>
          <w:szCs w:val="32"/>
          <w:highlight w:val="none"/>
          <w:lang w:val="en-US" w:eastAsia="zh-CN"/>
        </w:rPr>
        <w:t>本年单位无此项支出</w:t>
      </w:r>
      <w:r>
        <w:rPr>
          <w:rFonts w:hint="eastAsia" w:ascii="仿宋_GB2312" w:hAnsi="Times New Roman" w:eastAsia="仿宋_GB2312" w:cs="仿宋_GB2312"/>
          <w:kern w:val="0"/>
          <w:sz w:val="32"/>
          <w:szCs w:val="32"/>
          <w:highlight w:val="none"/>
        </w:rPr>
        <w:t>。单位全年安排的国内公务接待0批次，0人次。</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highlight w:val="none"/>
        </w:rPr>
        <w:t>与</w:t>
      </w:r>
      <w:r>
        <w:rPr>
          <w:rFonts w:hint="eastAsia" w:ascii="仿宋_GB2312" w:hAnsi="Times New Roman" w:eastAsia="仿宋_GB2312" w:cs="仿宋_GB2312"/>
          <w:sz w:val="32"/>
          <w:szCs w:val="32"/>
          <w:highlight w:val="none"/>
        </w:rPr>
        <w:t>全年</w:t>
      </w:r>
      <w:r>
        <w:rPr>
          <w:rFonts w:hint="eastAsia" w:ascii="仿宋_GB2312" w:hAnsi="Times New Roman" w:eastAsia="仿宋_GB2312" w:cs="仿宋_GB2312"/>
          <w:kern w:val="0"/>
          <w:sz w:val="32"/>
          <w:szCs w:val="32"/>
          <w:highlight w:val="none"/>
        </w:rPr>
        <w:t>预算</w:t>
      </w:r>
      <w:r>
        <w:rPr>
          <w:rFonts w:hint="eastAsia" w:ascii="仿宋_GB2312" w:hAnsi="Times New Roman" w:eastAsia="仿宋_GB2312" w:cs="仿宋_GB2312"/>
          <w:kern w:val="0"/>
          <w:sz w:val="32"/>
          <w:szCs w:val="32"/>
          <w:highlight w:val="none"/>
          <w:lang w:val="zh-CN"/>
        </w:rPr>
        <w:t>数</w:t>
      </w:r>
      <w:r>
        <w:rPr>
          <w:rFonts w:hint="eastAsia" w:ascii="仿宋_GB2312" w:hAnsi="Times New Roman" w:eastAsia="仿宋_GB2312" w:cs="仿宋_GB2312"/>
          <w:kern w:val="0"/>
          <w:sz w:val="32"/>
          <w:szCs w:val="32"/>
          <w:highlight w:val="none"/>
        </w:rPr>
        <w:t>相比情况</w:t>
      </w:r>
      <w:r>
        <w:rPr>
          <w:rFonts w:hint="eastAsia" w:ascii="仿宋_GB2312" w:hAnsi="Times New Roman" w:eastAsia="仿宋_GB2312" w:cs="仿宋_GB2312"/>
          <w:sz w:val="32"/>
          <w:szCs w:val="32"/>
          <w:highlight w:val="none"/>
        </w:rPr>
        <w:t>：</w:t>
      </w:r>
      <w:r>
        <w:rPr>
          <w:rFonts w:hint="default" w:ascii="Times New Roman" w:hAnsi="Times New Roman" w:eastAsia="仿宋_GB2312"/>
          <w:kern w:val="0"/>
          <w:sz w:val="32"/>
          <w:szCs w:val="32"/>
          <w:highlight w:val="none"/>
        </w:rPr>
        <w:t>“</w:t>
      </w:r>
      <w:r>
        <w:rPr>
          <w:rFonts w:hint="eastAsia" w:ascii="仿宋_GB2312" w:hAnsi="Times New Roman" w:eastAsia="仿宋_GB2312" w:cs="仿宋_GB2312"/>
          <w:kern w:val="0"/>
          <w:sz w:val="32"/>
          <w:szCs w:val="32"/>
          <w:highlight w:val="none"/>
        </w:rPr>
        <w:t>三公</w:t>
      </w:r>
      <w:r>
        <w:rPr>
          <w:rFonts w:hint="default" w:ascii="Times New Roman" w:hAnsi="Times New Roman" w:eastAsia="仿宋_GB2312"/>
          <w:kern w:val="0"/>
          <w:sz w:val="32"/>
          <w:szCs w:val="32"/>
          <w:highlight w:val="none"/>
        </w:rPr>
        <w:t>”</w:t>
      </w:r>
      <w:r>
        <w:rPr>
          <w:rFonts w:hint="eastAsia" w:ascii="仿宋_GB2312" w:hAnsi="Times New Roman" w:eastAsia="仿宋_GB2312" w:cs="仿宋_GB2312"/>
          <w:kern w:val="0"/>
          <w:sz w:val="32"/>
          <w:szCs w:val="32"/>
          <w:highlight w:val="none"/>
        </w:rPr>
        <w:t>经费支出</w:t>
      </w:r>
      <w:r>
        <w:rPr>
          <w:rFonts w:hint="eastAsia" w:ascii="仿宋_GB2312" w:hAnsi="Times New Roman" w:eastAsia="仿宋_GB2312" w:cs="仿宋_GB2312"/>
          <w:sz w:val="32"/>
          <w:szCs w:val="32"/>
          <w:highlight w:val="none"/>
        </w:rPr>
        <w:t>全年预算数</w:t>
      </w:r>
      <w:r>
        <w:rPr>
          <w:rFonts w:hint="eastAsia" w:ascii="仿宋_GB2312" w:hAnsi="Times New Roman" w:eastAsia="仿宋_GB2312" w:cs="仿宋_GB2312"/>
          <w:kern w:val="0"/>
          <w:sz w:val="32"/>
          <w:szCs w:val="32"/>
          <w:highlight w:val="none"/>
        </w:rPr>
        <w:t>14.10万元，决算数14.10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14.10万元，决算数14.10万元，预决算差异率0.00%，主要原因是：单位严格执行“三公”经费支出标准，未超预算。；公务接待费全年预算数0.00万元，决算数0.00万元，预决算差异率0.00%，主要原因是：本年单位无此项支出。</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八、政府性基金预算财政拨款收入支出决算情况说明</w:t>
      </w:r>
    </w:p>
    <w:p>
      <w:pPr>
        <w:shd w:val="clear" w:color="auto" w:fill="FFFFFF"/>
        <w:autoSpaceDE w:val="0"/>
        <w:autoSpaceDN w:val="0"/>
        <w:adjustRightInd w:val="0"/>
        <w:spacing w:beforeLines="0" w:afterLines="0" w:line="360" w:lineRule="auto"/>
        <w:ind w:firstLine="640"/>
        <w:rPr>
          <w:rFonts w:hint="eastAsia" w:ascii="仿宋_GB2312" w:hAnsi="Times New Roman" w:eastAsia="仿宋_GB2312" w:cs="仿宋_GB2312"/>
          <w:kern w:val="0"/>
          <w:sz w:val="32"/>
          <w:szCs w:val="32"/>
          <w:highlight w:val="yellow"/>
        </w:rPr>
      </w:pPr>
      <w:r>
        <w:rPr>
          <w:rFonts w:hint="eastAsia" w:ascii="仿宋_GB2312" w:hAnsi="Times New Roman" w:eastAsia="仿宋_GB2312" w:cs="仿宋_GB2312"/>
          <w:kern w:val="0"/>
          <w:sz w:val="32"/>
          <w:szCs w:val="32"/>
        </w:rPr>
        <w:t>我单位本年度无政府性基金预算财政拨款收入、支出及结转和结余，政府性基金预算财政拨款收入支出决算表为空表。</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九、国有资本经营预算财政拨款收入支出决算情况说明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我单位本年度无国有资本经营预算财政拨款收入、支出及结转和结余，国有资本经营预算财政拨款收入支出决算表为空表。</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十、其他重要事项的情况说明</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 xml:space="preserve">（一）机关运行经费支出情况 </w:t>
      </w:r>
    </w:p>
    <w:p>
      <w:pPr>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lang w:val="en-US" w:eastAsia="zh-CN"/>
        </w:rPr>
      </w:pPr>
      <w:r>
        <w:rPr>
          <w:rFonts w:hint="eastAsia" w:ascii="仿宋_GB2312" w:hAnsi="Times New Roman" w:eastAsia="仿宋_GB2312" w:cs="仿宋_GB2312"/>
          <w:kern w:val="0"/>
          <w:sz w:val="32"/>
          <w:szCs w:val="32"/>
        </w:rPr>
        <w:t>2022年度乌鲁木齐市米东区羊毛工镇人民政府单位机关运</w:t>
      </w:r>
      <w:r>
        <w:rPr>
          <w:rFonts w:hint="eastAsia" w:ascii="仿宋_GB2312" w:hAnsi="Times New Roman" w:eastAsia="仿宋_GB2312" w:cs="仿宋_GB2312"/>
          <w:kern w:val="0"/>
          <w:sz w:val="32"/>
          <w:szCs w:val="32"/>
          <w:highlight w:val="none"/>
        </w:rPr>
        <w:t>行经费支出850.46万元，比上年减少1,039.85万元，下降55.01%，主要原因是：本年疫情影响办公减少</w:t>
      </w:r>
      <w:r>
        <w:rPr>
          <w:rFonts w:hint="eastAsia" w:ascii="仿宋_GB2312" w:hAnsi="Times New Roman" w:eastAsia="仿宋_GB2312" w:cs="仿宋_GB2312"/>
          <w:kern w:val="0"/>
          <w:sz w:val="32"/>
          <w:szCs w:val="32"/>
          <w:highlight w:val="none"/>
          <w:lang w:eastAsia="zh-CN"/>
        </w:rPr>
        <w:t>、</w:t>
      </w:r>
      <w:r>
        <w:rPr>
          <w:rFonts w:hint="eastAsia" w:ascii="仿宋_GB2312" w:hAnsi="Times New Roman" w:eastAsia="仿宋_GB2312" w:cs="仿宋_GB2312"/>
          <w:kern w:val="0"/>
          <w:sz w:val="32"/>
          <w:szCs w:val="32"/>
          <w:highlight w:val="none"/>
          <w:lang w:val="en-US" w:eastAsia="zh-CN"/>
        </w:rPr>
        <w:t>相关办公经费减少，临聘人员劳务费较上年大幅减少。</w:t>
      </w:r>
    </w:p>
    <w:p>
      <w:pPr>
        <w:autoSpaceDE w:val="0"/>
        <w:autoSpaceDN w:val="0"/>
        <w:adjustRightInd w:val="0"/>
        <w:spacing w:beforeLines="0" w:afterLines="0" w:line="360" w:lineRule="auto"/>
        <w:ind w:firstLine="640"/>
        <w:rPr>
          <w:rFonts w:hint="default" w:ascii="Times New Roman" w:hAnsi="Times New Roman" w:eastAsia="黑体"/>
          <w:sz w:val="32"/>
          <w:szCs w:val="32"/>
        </w:rPr>
      </w:pPr>
      <w:r>
        <w:rPr>
          <w:rFonts w:hint="eastAsia" w:ascii="黑体" w:hAnsi="Times New Roman" w:eastAsia="黑体" w:cs="黑体"/>
          <w:sz w:val="32"/>
          <w:szCs w:val="32"/>
        </w:rPr>
        <w:t>（</w:t>
      </w:r>
      <w:r>
        <w:rPr>
          <w:rFonts w:hint="eastAsia" w:ascii="黑体" w:hAnsi="Times New Roman" w:eastAsia="黑体" w:cs="黑体"/>
          <w:sz w:val="32"/>
          <w:szCs w:val="32"/>
          <w:lang w:val="zh-CN"/>
        </w:rPr>
        <w:t>二</w:t>
      </w:r>
      <w:r>
        <w:rPr>
          <w:rFonts w:hint="eastAsia" w:ascii="黑体" w:hAnsi="Times New Roman" w:eastAsia="黑体" w:cs="黑体"/>
          <w:sz w:val="32"/>
          <w:szCs w:val="32"/>
        </w:rPr>
        <w:t>）</w:t>
      </w:r>
      <w:r>
        <w:rPr>
          <w:rFonts w:hint="eastAsia" w:ascii="黑体" w:hAnsi="Times New Roman" w:eastAsia="黑体" w:cs="黑体"/>
          <w:sz w:val="32"/>
          <w:szCs w:val="32"/>
          <w:lang w:val="zh-CN"/>
        </w:rPr>
        <w:t>政府采购情况</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2022年度政府采购支出总额10.07万元，其中：政府采购货物支出10.07万元、政府采购工程支出0.00万元、政府采购服务支出0.00万元。</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授予中小企业合同金额10.07万元，占政府采购支出总额的100.00%，其中：授予小微企业合同金额10.07万元，占政府采购支出总额的100.00%。</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（三）国有资产占用情况说明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截止2022年12月31日，</w:t>
      </w:r>
      <w:r>
        <w:rPr>
          <w:rFonts w:hint="eastAsia" w:ascii="仿宋_GB2312" w:hAnsi="Times New Roman" w:eastAsia="仿宋_GB2312" w:cs="仿宋_GB2312"/>
          <w:sz w:val="32"/>
          <w:szCs w:val="32"/>
        </w:rPr>
        <w:t>固定资产原值</w:t>
      </w:r>
      <w:r>
        <w:rPr>
          <w:rFonts w:hint="eastAsia" w:ascii="仿宋_GB2312" w:hAnsi="Times New Roman" w:eastAsia="仿宋_GB2312" w:cs="仿宋_GB2312"/>
          <w:kern w:val="0"/>
          <w:sz w:val="32"/>
          <w:szCs w:val="32"/>
        </w:rPr>
        <w:t>1,041.05</w:t>
      </w:r>
      <w:r>
        <w:rPr>
          <w:rFonts w:hint="eastAsia" w:ascii="仿宋_GB2312" w:hAnsi="Times New Roman" w:eastAsia="仿宋_GB2312" w:cs="仿宋_GB2312"/>
          <w:sz w:val="32"/>
          <w:szCs w:val="32"/>
        </w:rPr>
        <w:t>万元，</w:t>
      </w:r>
      <w:r>
        <w:rPr>
          <w:rFonts w:hint="eastAsia" w:ascii="仿宋_GB2312" w:hAnsi="Times New Roman" w:eastAsia="仿宋_GB2312" w:cs="仿宋_GB2312"/>
          <w:kern w:val="0"/>
          <w:sz w:val="32"/>
          <w:szCs w:val="32"/>
        </w:rPr>
        <w:t>房屋5,136.36平方米，价值316.00万元。车辆23辆，价值398.94万元，其中：副部（省）级及以上领导用车0辆、主要领导干部用车0辆、机要通信用车0辆、应急保障用车0辆、执法执勤用车1辆、特种专业技术用车3辆、离退休干部用车0辆、其他用车19辆，</w:t>
      </w:r>
      <w:r>
        <w:rPr>
          <w:rFonts w:hint="eastAsia" w:ascii="仿宋_GB2312" w:hAnsi="Times New Roman" w:eastAsia="仿宋_GB2312" w:cs="仿宋_GB2312"/>
          <w:kern w:val="0"/>
          <w:sz w:val="32"/>
          <w:szCs w:val="32"/>
          <w:highlight w:val="none"/>
        </w:rPr>
        <w:t>其他用车主要是：用于保障会务、下村、外出办事等工作车辆；</w:t>
      </w:r>
      <w:r>
        <w:rPr>
          <w:rFonts w:hint="eastAsia" w:ascii="仿宋_GB2312" w:hAnsi="Times New Roman" w:eastAsia="仿宋_GB2312" w:cs="仿宋_GB2312"/>
          <w:kern w:val="0"/>
          <w:sz w:val="32"/>
          <w:szCs w:val="32"/>
        </w:rPr>
        <w:t>单价100</w:t>
      </w:r>
      <w:r>
        <w:rPr>
          <w:rFonts w:hint="eastAsia" w:ascii="仿宋_GB2312" w:hAnsi="Times New Roman" w:eastAsia="仿宋_GB2312" w:cs="仿宋_GB2312"/>
          <w:sz w:val="32"/>
          <w:szCs w:val="32"/>
        </w:rPr>
        <w:t>万元（含）以上设备（不含车辆）</w:t>
      </w:r>
      <w:r>
        <w:rPr>
          <w:rFonts w:hint="eastAsia" w:ascii="仿宋_GB2312" w:hAnsi="Times New Roman" w:eastAsia="仿宋_GB2312" w:cs="仿宋_GB2312"/>
          <w:kern w:val="0"/>
          <w:sz w:val="32"/>
          <w:szCs w:val="32"/>
        </w:rPr>
        <w:t>0台（套）。</w:t>
      </w:r>
    </w:p>
    <w:p>
      <w:pPr>
        <w:autoSpaceDE w:val="0"/>
        <w:autoSpaceDN w:val="0"/>
        <w:adjustRightInd w:val="0"/>
        <w:spacing w:beforeLines="0" w:afterLines="0" w:line="360" w:lineRule="auto"/>
        <w:ind w:firstLine="640"/>
        <w:rPr>
          <w:rFonts w:hint="default" w:ascii="Times New Roman" w:hAnsi="Times New Roman" w:eastAsia="黑体"/>
          <w:sz w:val="32"/>
          <w:szCs w:val="32"/>
          <w:lang w:val="zh-CN"/>
        </w:rPr>
      </w:pPr>
      <w:r>
        <w:rPr>
          <w:rFonts w:hint="eastAsia" w:ascii="黑体" w:hAnsi="Times New Roman" w:eastAsia="黑体" w:cs="黑体"/>
          <w:sz w:val="32"/>
          <w:szCs w:val="32"/>
          <w:lang w:val="zh-CN"/>
        </w:rPr>
        <w:t>十一、预算绩效的情况说明</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highlight w:val="none"/>
        </w:rPr>
      </w:pPr>
      <w:r>
        <w:rPr>
          <w:rFonts w:hint="eastAsia" w:ascii="仿宋_GB2312" w:hAnsi="Times New Roman" w:eastAsia="仿宋_GB2312" w:cs="仿宋_GB2312"/>
          <w:kern w:val="0"/>
          <w:sz w:val="32"/>
          <w:szCs w:val="32"/>
        </w:rPr>
        <w:t>根据预算绩效管理要求，我单位2022年度开展预算绩效评价项目</w:t>
      </w:r>
      <w:r>
        <w:rPr>
          <w:rFonts w:hint="eastAsia" w:ascii="仿宋_GB2312" w:hAnsi="Times New Roman" w:eastAsia="仿宋_GB2312" w:cs="仿宋_GB2312"/>
          <w:kern w:val="0"/>
          <w:sz w:val="32"/>
          <w:szCs w:val="32"/>
          <w:highlight w:val="none"/>
        </w:rPr>
        <w:t>2个，</w:t>
      </w:r>
      <w:r>
        <w:rPr>
          <w:rFonts w:hint="eastAsia" w:ascii="仿宋_GB2312" w:hAnsi="Times New Roman" w:eastAsia="仿宋_GB2312" w:cs="仿宋_GB2312"/>
          <w:sz w:val="32"/>
          <w:szCs w:val="32"/>
          <w:highlight w:val="none"/>
        </w:rPr>
        <w:t>全年预算数</w:t>
      </w:r>
      <w:r>
        <w:rPr>
          <w:rFonts w:hint="eastAsia" w:ascii="仿宋_GB2312" w:hAnsi="Times New Roman" w:eastAsia="仿宋_GB2312" w:cs="仿宋_GB2312"/>
          <w:kern w:val="0"/>
          <w:sz w:val="32"/>
          <w:szCs w:val="32"/>
          <w:highlight w:val="none"/>
        </w:rPr>
        <w:t>18.89</w:t>
      </w:r>
      <w:r>
        <w:rPr>
          <w:rFonts w:hint="eastAsia" w:ascii="仿宋_GB2312" w:hAnsi="Times New Roman" w:eastAsia="仿宋_GB2312" w:cs="仿宋_GB2312"/>
          <w:sz w:val="32"/>
          <w:szCs w:val="32"/>
          <w:highlight w:val="none"/>
        </w:rPr>
        <w:t>万元，全年执行数</w:t>
      </w:r>
      <w:r>
        <w:rPr>
          <w:rFonts w:hint="eastAsia" w:ascii="仿宋_GB2312" w:hAnsi="Times New Roman" w:eastAsia="仿宋_GB2312" w:cs="仿宋_GB2312"/>
          <w:kern w:val="0"/>
          <w:sz w:val="32"/>
          <w:szCs w:val="32"/>
          <w:highlight w:val="none"/>
        </w:rPr>
        <w:t>3</w:t>
      </w:r>
      <w:r>
        <w:rPr>
          <w:rFonts w:hint="eastAsia" w:ascii="仿宋_GB2312" w:hAnsi="Times New Roman" w:eastAsia="仿宋_GB2312" w:cs="仿宋_GB2312"/>
          <w:sz w:val="32"/>
          <w:szCs w:val="32"/>
        </w:rPr>
        <w:t>万元。</w:t>
      </w:r>
      <w:r>
        <w:rPr>
          <w:rFonts w:hint="eastAsia" w:ascii="仿宋_GB2312" w:hAnsi="Times New Roman" w:eastAsia="仿宋_GB2312" w:cs="仿宋_GB2312"/>
          <w:kern w:val="0"/>
          <w:sz w:val="32"/>
          <w:szCs w:val="32"/>
        </w:rPr>
        <w:t>预算绩效管理取得的成效：一是确保了城市环境面貌持续改善、降低疫情跨区域传播风险、亮化美化我镇各条巷道、我镇良好的人居环境、改善乡镇的环境卫生</w:t>
      </w:r>
      <w:r>
        <w:rPr>
          <w:rFonts w:hint="eastAsia" w:ascii="仿宋_GB2312" w:hAnsi="Times New Roman" w:eastAsia="仿宋_GB2312" w:cs="仿宋_GB2312"/>
          <w:kern w:val="0"/>
          <w:sz w:val="32"/>
          <w:szCs w:val="32"/>
          <w:lang w:eastAsia="zh-CN"/>
        </w:rPr>
        <w:t>；</w:t>
      </w:r>
      <w:r>
        <w:rPr>
          <w:rFonts w:hint="eastAsia" w:ascii="仿宋_GB2312" w:hAnsi="Times New Roman" w:eastAsia="仿宋_GB2312" w:cs="仿宋_GB2312"/>
          <w:kern w:val="0"/>
          <w:sz w:val="32"/>
          <w:szCs w:val="32"/>
        </w:rPr>
        <w:t>二是切实做好受疫情影响困难群体帮扶工作，保障民生底线，本着对人民群众高度负责的精神，把做好困难群体的帮扶救助。发现的问题及原因：一是部门职能不明确，个别工作分工不清晰，且人员培训和绩效考核制度不够完善，考核方案部分内容和人员名单更新滞后；二是是预算编制科学性的问题。首先预算编制之合理性相对不足，主要表现在预算调整数较大，年度目标与长期规划衔接的紧密程度需要增强。下一步改进措施：</w:t>
      </w:r>
      <w:r>
        <w:rPr>
          <w:rFonts w:hint="eastAsia" w:ascii="仿宋_GB2312" w:hAnsi="Times New Roman" w:eastAsia="仿宋_GB2312" w:cs="仿宋_GB2312"/>
          <w:kern w:val="0"/>
          <w:sz w:val="32"/>
          <w:szCs w:val="32"/>
          <w:highlight w:val="none"/>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要加强部门内部绩效评价人员的培训，提高其指标设计和绩效评价的专业技能；二是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w:t>
      </w:r>
      <w:bookmarkStart w:id="0" w:name="_GoBack"/>
      <w:bookmarkEnd w:id="0"/>
      <w:r>
        <w:rPr>
          <w:rFonts w:hint="eastAsia" w:ascii="仿宋_GB2312" w:hAnsi="Times New Roman" w:eastAsia="仿宋_GB2312" w:cs="仿宋_GB2312"/>
          <w:kern w:val="0"/>
          <w:sz w:val="32"/>
          <w:szCs w:val="32"/>
          <w:highlight w:val="none"/>
        </w:rPr>
        <w:t>合性原则。对于整体工作的反映，尽量采用综合性指标；对于具体项目的反映，尽量采用有代表性的重要指标</w:t>
      </w:r>
      <w:r>
        <w:rPr>
          <w:rFonts w:hint="eastAsia" w:ascii="仿宋_GB2312" w:hAnsi="Times New Roman" w:eastAsia="仿宋_GB2312" w:cs="仿宋_GB2312"/>
          <w:kern w:val="0"/>
          <w:sz w:val="32"/>
          <w:szCs w:val="32"/>
          <w:highlight w:val="none"/>
          <w:lang w:eastAsia="zh-CN"/>
        </w:rPr>
        <w:t>；</w:t>
      </w:r>
      <w:r>
        <w:rPr>
          <w:rFonts w:hint="eastAsia" w:ascii="仿宋_GB2312" w:hAnsi="Times New Roman" w:eastAsia="仿宋_GB2312" w:cs="仿宋_GB2312"/>
          <w:kern w:val="0"/>
          <w:sz w:val="32"/>
          <w:szCs w:val="32"/>
          <w:highlight w:val="none"/>
          <w:lang w:val="en-US" w:eastAsia="zh-CN"/>
        </w:rPr>
        <w:t>三</w:t>
      </w:r>
      <w:r>
        <w:rPr>
          <w:rFonts w:hint="eastAsia" w:ascii="仿宋_GB2312" w:hAnsi="Times New Roman" w:eastAsia="仿宋_GB2312" w:cs="仿宋_GB2312"/>
          <w:kern w:val="0"/>
          <w:sz w:val="32"/>
          <w:szCs w:val="32"/>
          <w:highlight w:val="none"/>
        </w:rPr>
        <w:t>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附项目支出绩效自评表。</w:t>
      </w:r>
    </w:p>
    <w:tbl>
      <w:tblPr>
        <w:tblStyle w:val="2"/>
        <w:tblW w:w="487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7"/>
        <w:gridCol w:w="80"/>
        <w:gridCol w:w="931"/>
        <w:gridCol w:w="136"/>
        <w:gridCol w:w="848"/>
        <w:gridCol w:w="205"/>
        <w:gridCol w:w="759"/>
        <w:gridCol w:w="188"/>
        <w:gridCol w:w="631"/>
        <w:gridCol w:w="209"/>
        <w:gridCol w:w="767"/>
        <w:gridCol w:w="11"/>
        <w:gridCol w:w="602"/>
        <w:gridCol w:w="40"/>
        <w:gridCol w:w="913"/>
        <w:gridCol w:w="160"/>
        <w:gridCol w:w="8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30" w:type="dxa"/>
            <w:gridSpan w:val="17"/>
            <w:tcBorders>
              <w:top w:val="nil"/>
              <w:left w:val="nil"/>
              <w:bottom w:val="nil"/>
              <w:right w:val="nil"/>
              <w:tl2br w:val="nil"/>
              <w:tr2bl w:val="nil"/>
            </w:tcBorders>
            <w:noWrap w:val="0"/>
            <w:vAlign w:val="center"/>
          </w:tcPr>
          <w:p>
            <w:pPr>
              <w:widowControl/>
              <w:spacing w:beforeLines="0" w:afterLines="0"/>
              <w:jc w:val="center"/>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630" w:type="dxa"/>
            <w:gridSpan w:val="17"/>
            <w:tcBorders>
              <w:top w:val="nil"/>
              <w:left w:val="nil"/>
              <w:bottom w:val="single" w:color="auto" w:sz="4" w:space="0"/>
              <w:right w:val="nil"/>
              <w:tl2br w:val="nil"/>
              <w:tr2bl w:val="nil"/>
            </w:tcBorders>
            <w:noWrap w:val="0"/>
            <w:vAlign w:val="center"/>
          </w:tcPr>
          <w:p>
            <w:pPr>
              <w:widowControl/>
              <w:spacing w:beforeLines="0" w:afterLines="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302" w:type="dxa"/>
            <w:gridSpan w:val="14"/>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2022年疫情影响生活困难人员救助金（第三批）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2767" w:type="dxa"/>
            <w:gridSpan w:val="6"/>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米东区羊毛工镇政府</w:t>
            </w:r>
          </w:p>
        </w:tc>
        <w:tc>
          <w:tcPr>
            <w:tcW w:w="987"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548" w:type="dxa"/>
            <w:gridSpan w:val="5"/>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米东区羊毛工镇政府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项目资金</w:t>
            </w:r>
          </w:p>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98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6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19"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987"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64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107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8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96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819"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987"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64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7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8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96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819"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987"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64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7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年结转资金</w:t>
            </w:r>
          </w:p>
        </w:tc>
        <w:tc>
          <w:tcPr>
            <w:tcW w:w="96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19"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987"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64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7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328" w:type="dxa"/>
            <w:gridSpan w:val="3"/>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964"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19"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987" w:type="dxa"/>
            <w:gridSpan w:val="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64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7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3778" w:type="dxa"/>
            <w:gridSpan w:val="8"/>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535" w:type="dxa"/>
            <w:gridSpan w:val="8"/>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3778"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切实做好受疫情影响困难群体帮扶工作，进一步兜牢基本民生保障底线，本着对人民群众高度负责的精神，把做好困难群体的帮扶救助工作做为当前的重中之重。实地核查，确保全覆盖，确保帮扶救助资金发放到位。</w:t>
            </w:r>
          </w:p>
        </w:tc>
        <w:tc>
          <w:tcPr>
            <w:tcW w:w="3535"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做好困难群体的帮扶救助工作做为当前的重中之重。每村研判符合发放标准的人员，确保全覆盖，帮扶救助资金已全部发放到位。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1"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984"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964"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19"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987" w:type="dxa"/>
            <w:gridSpan w:val="3"/>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642"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1073"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83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64"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19"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7" w:type="dxa"/>
            <w:gridSpan w:val="3"/>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642"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73"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3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1011"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救助人数</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=100人</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100人</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救助金发放合规率</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救助金发放及时率</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救助标准</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&lt;=300元/人</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300元/人</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为困难群众解决难题</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有效解决</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改善民生</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有效救助</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1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1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84"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64"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群众满意度</w:t>
            </w:r>
          </w:p>
        </w:tc>
        <w:tc>
          <w:tcPr>
            <w:tcW w:w="81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987"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64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7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33"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6082" w:type="dxa"/>
            <w:gridSpan w:val="1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4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07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100.00分</w:t>
            </w:r>
          </w:p>
        </w:tc>
        <w:tc>
          <w:tcPr>
            <w:tcW w:w="833"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30" w:type="dxa"/>
            <w:gridSpan w:val="17"/>
            <w:tcBorders>
              <w:top w:val="nil"/>
              <w:left w:val="nil"/>
              <w:bottom w:val="nil"/>
              <w:right w:val="nil"/>
              <w:tl2br w:val="nil"/>
              <w:tr2bl w:val="nil"/>
            </w:tcBorders>
            <w:noWrap w:val="0"/>
            <w:vAlign w:val="center"/>
          </w:tcPr>
          <w:p>
            <w:pPr>
              <w:widowControl/>
              <w:spacing w:beforeLines="0" w:afterLines="0"/>
              <w:jc w:val="center"/>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630" w:type="dxa"/>
            <w:gridSpan w:val="17"/>
            <w:tcBorders>
              <w:top w:val="nil"/>
              <w:left w:val="nil"/>
              <w:bottom w:val="single" w:color="auto" w:sz="4" w:space="0"/>
              <w:right w:val="nil"/>
              <w:tl2br w:val="nil"/>
              <w:tr2bl w:val="nil"/>
            </w:tcBorders>
            <w:noWrap w:val="0"/>
            <w:vAlign w:val="center"/>
          </w:tcPr>
          <w:p>
            <w:pPr>
              <w:widowControl/>
              <w:spacing w:beforeLines="0" w:afterLines="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6166" w:type="dxa"/>
            <w:gridSpan w:val="13"/>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乌财社【2022】311号关于拨付2022年第七十五批疫情防控补助资金【因疫情滞留】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2840" w:type="dxa"/>
            <w:gridSpan w:val="6"/>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米东区羊毛工镇政府</w:t>
            </w:r>
          </w:p>
        </w:tc>
        <w:tc>
          <w:tcPr>
            <w:tcW w:w="767"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559" w:type="dxa"/>
            <w:gridSpan w:val="6"/>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米东区羊毛工镇政府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项目资金</w:t>
            </w:r>
          </w:p>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10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4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767"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61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99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94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15.89</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15.89</w:t>
            </w:r>
          </w:p>
        </w:tc>
        <w:tc>
          <w:tcPr>
            <w:tcW w:w="767"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61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99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94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15.89</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15.89</w:t>
            </w:r>
          </w:p>
        </w:tc>
        <w:tc>
          <w:tcPr>
            <w:tcW w:w="767"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61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9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94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67"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61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9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2464" w:type="dxa"/>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947"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67" w:type="dxa"/>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61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9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3907" w:type="dxa"/>
            <w:gridSpan w:val="8"/>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326" w:type="dxa"/>
            <w:gridSpan w:val="7"/>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3907"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本项目资金主要用于为227名受疫情影响人员发放补助，本项目的实施有效解决受疫情影响滞留人员的实际困难，推动疫情防控工作正常开展。</w:t>
            </w:r>
          </w:p>
        </w:tc>
        <w:tc>
          <w:tcPr>
            <w:tcW w:w="3326"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本项目实际发放补助人数为227人，本项目有效解决受疫情影响滞留人员的实际困难.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6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053"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94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840"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767"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613"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953"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993"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4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840"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76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613"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53"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993"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106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发放补助人数</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=227人</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227人</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补助覆盖率</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&gt;=90%</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补助资金发放及时率</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&gt;=100%</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补助资金标准</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=700元</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700元</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提升困难群众生活水平情况</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有效提升</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推动疫情防控工作正常开展</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有效推动</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397"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p>
        </w:tc>
        <w:tc>
          <w:tcPr>
            <w:tcW w:w="106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0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47" w:type="dxa"/>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受补助人员满意度</w:t>
            </w:r>
          </w:p>
        </w:tc>
        <w:tc>
          <w:tcPr>
            <w:tcW w:w="84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767"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61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5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9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6071" w:type="dxa"/>
            <w:gridSpan w:val="11"/>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1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5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90.00分</w:t>
            </w:r>
          </w:p>
        </w:tc>
        <w:tc>
          <w:tcPr>
            <w:tcW w:w="993"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pacing w:beforeLines="0" w:afterLines="0"/>
        <w:rPr>
          <w:rFonts w:hint="eastAsia"/>
          <w:sz w:val="18"/>
          <w:szCs w:val="18"/>
        </w:rPr>
      </w:pPr>
    </w:p>
    <w:p>
      <w:pPr>
        <w:shd w:val="clear" w:color="auto" w:fill="FFFFFF"/>
        <w:autoSpaceDE w:val="0"/>
        <w:autoSpaceDN w:val="0"/>
        <w:adjustRightInd w:val="0"/>
        <w:spacing w:before="100" w:beforeLines="0" w:after="240" w:afterLines="0"/>
        <w:jc w:val="center"/>
        <w:rPr>
          <w:rFonts w:hint="default" w:ascii="Times New Roman" w:hAnsi="Times New Roman" w:eastAsia="黑体"/>
          <w:b/>
          <w:kern w:val="0"/>
          <w:sz w:val="28"/>
          <w:szCs w:val="28"/>
        </w:rPr>
      </w:pPr>
      <w:r>
        <w:rPr>
          <w:rFonts w:hint="eastAsia" w:ascii="黑体" w:hAnsi="Times New Roman" w:eastAsia="黑体" w:cs="黑体"/>
          <w:kern w:val="0"/>
          <w:sz w:val="32"/>
          <w:szCs w:val="32"/>
        </w:rPr>
        <w:t>第三部分 专业名词解释</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财政拨款收入：指同级财政当年拨付的资金。</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上级补助收入：指事业单位从主管部门和上级单位取得的非财政补助收入。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事业收入：指事业单位开展专业业务活动及其辅助活动所取得的收入。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经营收入：指事业单位在专业业务活动及其辅助活动之外开展非独立核算经营活动取得的收入。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附属单位上缴收入：指事业单位附属的独立核算单位按有关规定上缴的收入。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其他收入：指除上述</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财政拨款收入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事业收入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经营收入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附属单位上缴收入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等之外取得的收入。</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基本支出：指为保障机构正常运转、完成日常工作任务而发生的人员支出和公用支出。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项目支出：指在基本支出之外为完成特定行政任务和事业发展目标所发生的支出。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经营支出：指事业单位在专业业务活动及其辅助活动之外开展非独立核算经营活动发生的支出。</w:t>
      </w:r>
    </w:p>
    <w:p>
      <w:pPr>
        <w:shd w:val="clear" w:color="auto" w:fill="FFFFFF"/>
        <w:autoSpaceDE w:val="0"/>
        <w:autoSpaceDN w:val="0"/>
        <w:adjustRightInd w:val="0"/>
        <w:spacing w:beforeLines="0" w:afterLines="0"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对附属单位补助支出：指事业单位发生的用非财政预算资金对附属单位的补助支出。</w:t>
      </w:r>
    </w:p>
    <w:p>
      <w:pPr>
        <w:autoSpaceDE w:val="0"/>
        <w:autoSpaceDN w:val="0"/>
        <w:adjustRightInd w:val="0"/>
        <w:spacing w:beforeLines="0" w:afterLines="0" w:line="360" w:lineRule="auto"/>
        <w:ind w:firstLine="640"/>
        <w:rPr>
          <w:rFonts w:hint="default" w:ascii="Times New Roman" w:hAnsi="Times New Roman" w:eastAsia="仿宋_GB2312"/>
          <w:sz w:val="32"/>
          <w:szCs w:val="32"/>
        </w:rPr>
      </w:pP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adjustRightInd w:val="0"/>
        <w:spacing w:beforeLines="0" w:afterLines="0" w:line="360" w:lineRule="auto"/>
        <w:ind w:firstLine="640"/>
        <w:rPr>
          <w:rFonts w:hint="default" w:ascii="Times New Roman" w:hAnsi="Times New Roman" w:eastAsia="仿宋_GB2312"/>
          <w:sz w:val="32"/>
          <w:szCs w:val="32"/>
        </w:rPr>
      </w:pPr>
      <w:r>
        <w:rPr>
          <w:rFonts w:hint="eastAsia" w:ascii="仿宋_GB2312" w:hAnsi="Times New Roman" w:eastAsia="仿宋_GB2312" w:cs="仿宋_GB2312"/>
          <w:sz w:val="32"/>
          <w:szCs w:val="32"/>
        </w:rPr>
        <w:t>机关运行经费：行政单位和参照公务员法管理的事业单位财政拨款基本支出中的公用经费支出。</w:t>
      </w:r>
    </w:p>
    <w:p>
      <w:pPr>
        <w:shd w:val="clear" w:color="auto" w:fill="FFFFFF"/>
        <w:autoSpaceDE w:val="0"/>
        <w:autoSpaceDN w:val="0"/>
        <w:adjustRightInd w:val="0"/>
        <w:spacing w:before="100" w:beforeLines="0" w:after="240" w:afterLines="0"/>
        <w:jc w:val="center"/>
        <w:rPr>
          <w:rFonts w:hint="default" w:ascii="Times New Roman" w:hAnsi="Times New Roman" w:eastAsia="黑体"/>
          <w:kern w:val="0"/>
          <w:sz w:val="32"/>
          <w:szCs w:val="32"/>
        </w:rPr>
      </w:pPr>
      <w:r>
        <w:rPr>
          <w:rFonts w:hint="eastAsia" w:ascii="黑体" w:hAnsi="Times New Roman" w:eastAsia="黑体" w:cs="黑体"/>
          <w:kern w:val="0"/>
          <w:sz w:val="32"/>
          <w:szCs w:val="32"/>
        </w:rPr>
        <w:t>第四部分 部门决算报表（见附表）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一、《收入支出决算总表》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二、《收入决算表》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三、《支出决算表》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四、《财政拨款收入支出决算总表》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五、《一般公共预算财政拨款支出决算表》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六、《一般公共预算财政拨款基本支出决算表》</w:t>
      </w:r>
    </w:p>
    <w:p>
      <w:pPr>
        <w:autoSpaceDE w:val="0"/>
        <w:autoSpaceDN w:val="0"/>
        <w:adjustRightInd w:val="0"/>
        <w:spacing w:beforeLines="0" w:afterLines="0"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七、《财政拨款</w:t>
      </w:r>
      <w:r>
        <w:rPr>
          <w:rFonts w:hint="default" w:ascii="Times New Roman" w:hAnsi="Times New Roman" w:eastAsia="黑体" w:cs="黑体"/>
          <w:sz w:val="32"/>
          <w:szCs w:val="32"/>
        </w:rPr>
        <w:t>“</w:t>
      </w:r>
      <w:r>
        <w:rPr>
          <w:rFonts w:hint="eastAsia" w:ascii="黑体" w:hAnsi="Times New Roman" w:eastAsia="黑体" w:cs="黑体"/>
          <w:sz w:val="32"/>
          <w:szCs w:val="32"/>
        </w:rPr>
        <w:t>三公</w:t>
      </w:r>
      <w:r>
        <w:rPr>
          <w:rFonts w:hint="default" w:ascii="Times New Roman" w:hAnsi="Times New Roman" w:eastAsia="黑体" w:cs="黑体"/>
          <w:sz w:val="32"/>
          <w:szCs w:val="32"/>
        </w:rPr>
        <w:t>”</w:t>
      </w:r>
      <w:r>
        <w:rPr>
          <w:rFonts w:hint="eastAsia" w:ascii="黑体" w:hAnsi="Times New Roman" w:eastAsia="黑体" w:cs="黑体"/>
          <w:sz w:val="32"/>
          <w:szCs w:val="32"/>
        </w:rPr>
        <w:t>经费支出决算表》</w:t>
      </w:r>
    </w:p>
    <w:p>
      <w:pPr>
        <w:autoSpaceDE w:val="0"/>
        <w:autoSpaceDN w:val="0"/>
        <w:adjustRightInd w:val="0"/>
        <w:spacing w:beforeLines="0" w:afterLines="0"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rPr>
        <w:t>八、《政府性基金预算财政拨款收入支出决算表》</w:t>
      </w:r>
    </w:p>
    <w:p>
      <w:pPr>
        <w:autoSpaceDE w:val="0"/>
        <w:autoSpaceDN w:val="0"/>
        <w:adjustRightInd w:val="0"/>
        <w:spacing w:beforeLines="0" w:afterLines="0"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lang w:val="zh-CN"/>
        </w:rPr>
        <w:t>九</w:t>
      </w:r>
      <w:r>
        <w:rPr>
          <w:rFonts w:hint="eastAsia" w:ascii="黑体" w:hAnsi="Times New Roman" w:eastAsia="黑体" w:cs="黑体"/>
          <w:sz w:val="32"/>
          <w:szCs w:val="32"/>
        </w:rPr>
        <w:t>、《国有资本经营预算财政拨款收入支出决算表》</w:t>
      </w:r>
    </w:p>
    <w:p>
      <w:pPr>
        <w:autoSpaceDE w:val="0"/>
        <w:autoSpaceDN w:val="0"/>
        <w:adjustRightInd w:val="0"/>
        <w:spacing w:beforeLines="0" w:afterLines="0"/>
        <w:jc w:val="left"/>
        <w:rPr>
          <w:rFonts w:hint="default" w:ascii="Times New Roman" w:hAnsi="Times New Roman" w:eastAsia="黑体"/>
          <w:kern w:val="36"/>
          <w:sz w:val="40"/>
          <w:szCs w:val="40"/>
          <w:lang w:val="zh-CN"/>
        </w:rPr>
      </w:pPr>
    </w:p>
    <w:p>
      <w:pPr>
        <w:autoSpaceDE w:val="0"/>
        <w:autoSpaceDN w:val="0"/>
        <w:adjustRightInd w:val="0"/>
        <w:spacing w:beforeLines="0" w:afterLines="0"/>
        <w:jc w:val="left"/>
        <w:rPr>
          <w:rFonts w:hint="default" w:ascii="Times New Roman" w:hAnsi="Times New Roman" w:eastAsia="黑体"/>
          <w:kern w:val="36"/>
          <w:sz w:val="40"/>
          <w:szCs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3C5C5E08"/>
    <w:rsid w:val="44014D01"/>
    <w:rsid w:val="49CE2A32"/>
    <w:rsid w:val="55A272CF"/>
    <w:rsid w:val="6E0877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3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eastAsia" w:ascii="等线" w:hAnsi="等线" w:eastAsia="等线" w:cs="Times New Roman"/>
      <w:kern w:val="2"/>
      <w:sz w:val="21"/>
      <w:szCs w:val="22"/>
      <w:lang w:val="en-US" w:eastAsia="zh-CN" w:bidi="ar-SA"/>
    </w:rPr>
  </w:style>
  <w:style w:type="character" w:default="1" w:styleId="3">
    <w:name w:val="Default Paragraph Font"/>
    <w:unhideWhenUsed/>
    <w:uiPriority w:val="1"/>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8296</Words>
  <Characters>9406</Characters>
  <TotalTime>15</TotalTime>
  <ScaleCrop>false</ScaleCrop>
  <LinksUpToDate>false</LinksUpToDate>
  <CharactersWithSpaces>9467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2023-08-22T09:01:00Z</dcterms:created>
  <dc:creator>asus</dc:creator>
  <cp:lastModifiedBy>逐梦令</cp:lastModifiedBy>
  <dcterms:modified xsi:type="dcterms:W3CDTF">2023-08-30T13:17:29Z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9A36EAD0E6D84E89A8766C52968900C6_13</vt:lpwstr>
  </property>
</Properties>
</file>