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hd w:val="clear" w:color="auto" w:fill="FFFFFF"/>
        <w:autoSpaceDE w:val="0"/>
        <w:autoSpaceDN w:val="0"/>
        <w:adjustRightInd w:val="0"/>
        <w:spacing w:before="240" w:after="240"/>
        <w:jc w:val="center"/>
        <w:rPr>
          <w:rFonts w:hint="default" w:ascii="Times New Roman"/>
          <w:kern w:val="36"/>
          <w:sz w:val="40"/>
          <w:szCs w:val="40"/>
        </w:rPr>
      </w:pPr>
      <w:r>
        <w:rPr>
          <w:rFonts w:ascii="Times New Roman"/>
          <w:kern w:val="36"/>
          <w:sz w:val="40"/>
          <w:szCs w:val="40"/>
        </w:rPr>
        <w:t>+</w:t>
      </w:r>
    </w:p>
    <w:p>
      <w:pPr>
        <w:shd w:val="clear" w:color="auto" w:fill="FFFFFF"/>
        <w:autoSpaceDE w:val="0"/>
        <w:autoSpaceDN w:val="0"/>
        <w:adjustRightInd w:val="0"/>
        <w:spacing w:before="240" w:after="240"/>
        <w:jc w:val="center"/>
        <w:rPr>
          <w:rFonts w:hint="default" w:ascii="Times New Roman"/>
          <w:kern w:val="36"/>
          <w:sz w:val="40"/>
          <w:szCs w:val="40"/>
          <w:lang w:val="zh-CN"/>
        </w:rPr>
      </w:pPr>
    </w:p>
    <w:p>
      <w:pPr>
        <w:autoSpaceDE w:val="0"/>
        <w:autoSpaceDN w:val="0"/>
        <w:adjustRightInd w:val="0"/>
        <w:jc w:val="center"/>
        <w:rPr>
          <w:rFonts w:hint="default" w:ascii="方正小标宋_GBK" w:hAnsi="Times New Roman" w:eastAsia="方正小标宋_GBK" w:cs="方正小标宋_GBK"/>
          <w:sz w:val="44"/>
          <w:szCs w:val="44"/>
        </w:rPr>
      </w:pPr>
      <w:r>
        <w:rPr>
          <w:rFonts w:ascii="方正小标宋_GBK" w:hAnsi="Times New Roman" w:eastAsia="方正小标宋_GBK" w:cs="方正小标宋_GBK"/>
          <w:sz w:val="44"/>
          <w:szCs w:val="44"/>
        </w:rPr>
        <w:t>乌鲁木齐市米东区职业中等专业学校</w:t>
      </w:r>
    </w:p>
    <w:p>
      <w:pPr>
        <w:autoSpaceDE w:val="0"/>
        <w:autoSpaceDN w:val="0"/>
        <w:adjustRightInd w:val="0"/>
        <w:jc w:val="center"/>
        <w:rPr>
          <w:rFonts w:hint="default" w:ascii="Times New Roman" w:hAnsi="Times New Roman" w:eastAsia="方正小标宋_GBK"/>
          <w:kern w:val="36"/>
          <w:sz w:val="40"/>
          <w:szCs w:val="40"/>
          <w:lang w:val="zh-CN"/>
        </w:rPr>
      </w:pPr>
      <w:r>
        <w:rPr>
          <w:rFonts w:ascii="方正小标宋_GBK" w:hAnsi="Times New Roman" w:eastAsia="方正小标宋_GBK" w:cs="方正小标宋_GBK"/>
          <w:sz w:val="44"/>
          <w:szCs w:val="44"/>
        </w:rPr>
        <w:t>2022年度部门决算公开说明</w:t>
      </w:r>
    </w:p>
    <w:p>
      <w:pPr>
        <w:shd w:val="clear" w:color="auto" w:fill="FFFFFF"/>
        <w:autoSpaceDE w:val="0"/>
        <w:autoSpaceDN w:val="0"/>
        <w:adjustRightInd w:val="0"/>
        <w:spacing w:before="240" w:after="240"/>
        <w:jc w:val="center"/>
        <w:rPr>
          <w:rFonts w:hint="default" w:ascii="Times New Roman" w:hAnsi="Times New Roman" w:eastAsia="宋体"/>
          <w:kern w:val="36"/>
          <w:sz w:val="40"/>
          <w:szCs w:val="40"/>
          <w:lang w:val="zh-CN"/>
        </w:rPr>
      </w:pPr>
    </w:p>
    <w:p>
      <w:pPr>
        <w:autoSpaceDE w:val="0"/>
        <w:autoSpaceDN w:val="0"/>
        <w:adjustRightInd w:val="0"/>
        <w:spacing w:line="540" w:lineRule="exact"/>
        <w:jc w:val="center"/>
        <w:rPr>
          <w:rFonts w:hint="default" w:ascii="Times New Roman" w:hAnsi="Times New Roman" w:eastAsia="仿宋_GB2312"/>
          <w:b/>
          <w:kern w:val="0"/>
          <w:sz w:val="24"/>
          <w:szCs w:val="24"/>
        </w:rPr>
      </w:pPr>
      <w:r>
        <w:rPr>
          <w:rFonts w:hint="default" w:ascii="Times New Roman" w:hAnsi="Times New Roman" w:eastAsia="宋体"/>
          <w:b/>
          <w:kern w:val="36"/>
          <w:sz w:val="36"/>
          <w:szCs w:val="36"/>
        </w:rPr>
        <w:br w:type="page"/>
      </w:r>
      <w:r>
        <w:rPr>
          <w:rFonts w:ascii="仿宋_GB2312" w:hAnsi="Times New Roman" w:eastAsia="仿宋_GB2312" w:cs="仿宋_GB2312"/>
          <w:b/>
          <w:kern w:val="0"/>
          <w:sz w:val="36"/>
          <w:szCs w:val="36"/>
        </w:rPr>
        <w:t>目  录</w:t>
      </w:r>
    </w:p>
    <w:p>
      <w:pPr>
        <w:autoSpaceDE w:val="0"/>
        <w:autoSpaceDN w:val="0"/>
        <w:adjustRightInd w:val="0"/>
        <w:spacing w:line="540" w:lineRule="exact"/>
        <w:rPr>
          <w:rFonts w:hint="default" w:ascii="Times New Roman" w:hAnsi="Times New Roman" w:eastAsia="仿宋_GB2312"/>
          <w:kern w:val="0"/>
          <w:sz w:val="32"/>
          <w:szCs w:val="32"/>
        </w:rPr>
      </w:pPr>
      <w:r>
        <w:rPr>
          <w:rFonts w:ascii="仿宋_GB2312" w:hAnsi="Times New Roman" w:eastAsia="仿宋_GB2312" w:cs="仿宋_GB2312"/>
          <w:b/>
          <w:kern w:val="0"/>
          <w:sz w:val="32"/>
          <w:szCs w:val="32"/>
        </w:rPr>
        <w:t>第一部分 单位概况</w:t>
      </w:r>
    </w:p>
    <w:p>
      <w:pPr>
        <w:autoSpaceDE w:val="0"/>
        <w:autoSpaceDN w:val="0"/>
        <w:adjustRightInd w:val="0"/>
        <w:spacing w:line="540" w:lineRule="exact"/>
        <w:rPr>
          <w:rFonts w:hint="default" w:ascii="Times New Roman" w:hAnsi="Times New Roman" w:eastAsia="仿宋_GB2312"/>
          <w:kern w:val="0"/>
          <w:sz w:val="32"/>
          <w:szCs w:val="32"/>
        </w:rPr>
      </w:pPr>
      <w:r>
        <w:rPr>
          <w:rFonts w:ascii="仿宋_GB2312" w:hAnsi="Times New Roman" w:eastAsia="仿宋_GB2312" w:cs="仿宋_GB2312"/>
          <w:kern w:val="0"/>
          <w:sz w:val="32"/>
          <w:szCs w:val="32"/>
        </w:rPr>
        <w:t>一、主要职能</w:t>
      </w:r>
    </w:p>
    <w:p>
      <w:pPr>
        <w:autoSpaceDE w:val="0"/>
        <w:autoSpaceDN w:val="0"/>
        <w:adjustRightInd w:val="0"/>
        <w:spacing w:line="540" w:lineRule="exact"/>
        <w:rPr>
          <w:rFonts w:hint="default" w:ascii="Times New Roman" w:hAnsi="Times New Roman" w:eastAsia="仿宋_GB2312"/>
          <w:kern w:val="0"/>
          <w:sz w:val="32"/>
          <w:szCs w:val="32"/>
        </w:rPr>
      </w:pPr>
      <w:r>
        <w:rPr>
          <w:rFonts w:ascii="仿宋_GB2312" w:hAnsi="Times New Roman" w:eastAsia="仿宋_GB2312" w:cs="仿宋_GB2312"/>
          <w:kern w:val="0"/>
          <w:sz w:val="32"/>
          <w:szCs w:val="32"/>
        </w:rPr>
        <w:t>二、</w:t>
      </w:r>
      <w:r>
        <w:rPr>
          <w:rFonts w:ascii="仿宋_GB2312" w:hAnsi="Times New Roman" w:eastAsia="仿宋_GB2312" w:cs="仿宋_GB2312"/>
          <w:sz w:val="32"/>
          <w:szCs w:val="32"/>
        </w:rPr>
        <w:t>机构设置及人员情况</w:t>
      </w:r>
    </w:p>
    <w:p>
      <w:pPr>
        <w:autoSpaceDE w:val="0"/>
        <w:autoSpaceDN w:val="0"/>
        <w:adjustRightInd w:val="0"/>
        <w:spacing w:line="540" w:lineRule="exact"/>
        <w:rPr>
          <w:rFonts w:hint="default" w:ascii="Times New Roman" w:hAnsi="Times New Roman" w:eastAsia="仿宋_GB2312"/>
          <w:kern w:val="0"/>
          <w:sz w:val="32"/>
          <w:szCs w:val="32"/>
        </w:rPr>
      </w:pPr>
      <w:r>
        <w:rPr>
          <w:rFonts w:ascii="仿宋_GB2312" w:hAnsi="Times New Roman" w:eastAsia="仿宋_GB2312" w:cs="仿宋_GB2312"/>
          <w:b/>
          <w:kern w:val="0"/>
          <w:sz w:val="32"/>
          <w:szCs w:val="32"/>
        </w:rPr>
        <w:t>第二部分 部门决算情况说明</w:t>
      </w:r>
    </w:p>
    <w:p>
      <w:pPr>
        <w:autoSpaceDE w:val="0"/>
        <w:autoSpaceDN w:val="0"/>
        <w:adjustRightInd w:val="0"/>
        <w:spacing w:line="540" w:lineRule="exact"/>
        <w:rPr>
          <w:rFonts w:hint="default" w:ascii="Times New Roman" w:hAnsi="Times New Roman" w:eastAsia="仿宋_GB2312"/>
          <w:sz w:val="32"/>
          <w:szCs w:val="32"/>
        </w:rPr>
      </w:pPr>
      <w:r>
        <w:rPr>
          <w:rFonts w:ascii="仿宋_GB2312" w:hAnsi="Times New Roman" w:eastAsia="仿宋_GB2312" w:cs="仿宋_GB2312"/>
          <w:sz w:val="32"/>
          <w:szCs w:val="32"/>
        </w:rPr>
        <w:t>一、收入支出决算总体情况说明</w:t>
      </w:r>
    </w:p>
    <w:p>
      <w:pPr>
        <w:autoSpaceDE w:val="0"/>
        <w:autoSpaceDN w:val="0"/>
        <w:adjustRightInd w:val="0"/>
        <w:spacing w:line="540" w:lineRule="exact"/>
        <w:rPr>
          <w:rFonts w:hint="default" w:ascii="Times New Roman" w:hAnsi="Times New Roman" w:eastAsia="仿宋_GB2312"/>
          <w:sz w:val="32"/>
          <w:szCs w:val="32"/>
        </w:rPr>
      </w:pPr>
      <w:r>
        <w:rPr>
          <w:rFonts w:ascii="仿宋_GB2312" w:hAnsi="Times New Roman" w:eastAsia="仿宋_GB2312" w:cs="仿宋_GB2312"/>
          <w:sz w:val="32"/>
          <w:szCs w:val="32"/>
        </w:rPr>
        <w:t>二、收入决算情况说明</w:t>
      </w:r>
    </w:p>
    <w:p>
      <w:pPr>
        <w:autoSpaceDE w:val="0"/>
        <w:autoSpaceDN w:val="0"/>
        <w:adjustRightInd w:val="0"/>
        <w:spacing w:line="540" w:lineRule="exact"/>
        <w:rPr>
          <w:rFonts w:hint="default" w:ascii="Times New Roman" w:hAnsi="Times New Roman" w:eastAsia="仿宋_GB2312"/>
          <w:sz w:val="32"/>
          <w:szCs w:val="32"/>
        </w:rPr>
      </w:pPr>
      <w:r>
        <w:rPr>
          <w:rFonts w:ascii="仿宋_GB2312" w:hAnsi="Times New Roman" w:eastAsia="仿宋_GB2312" w:cs="仿宋_GB2312"/>
          <w:sz w:val="32"/>
          <w:szCs w:val="32"/>
        </w:rPr>
        <w:t>三、支出决算情况说明</w:t>
      </w:r>
    </w:p>
    <w:p>
      <w:pPr>
        <w:autoSpaceDE w:val="0"/>
        <w:autoSpaceDN w:val="0"/>
        <w:adjustRightInd w:val="0"/>
        <w:spacing w:line="540" w:lineRule="exact"/>
        <w:rPr>
          <w:rFonts w:hint="default" w:ascii="Times New Roman" w:hAnsi="Times New Roman" w:eastAsia="仿宋_GB2312"/>
          <w:sz w:val="32"/>
          <w:szCs w:val="32"/>
        </w:rPr>
      </w:pPr>
      <w:r>
        <w:rPr>
          <w:rFonts w:ascii="仿宋_GB2312" w:hAnsi="Times New Roman" w:eastAsia="仿宋_GB2312" w:cs="仿宋_GB2312"/>
          <w:sz w:val="32"/>
          <w:szCs w:val="32"/>
        </w:rPr>
        <w:t>四、财政拨款收入支出决算总体情况说明</w:t>
      </w:r>
    </w:p>
    <w:p>
      <w:pPr>
        <w:autoSpaceDE w:val="0"/>
        <w:autoSpaceDN w:val="0"/>
        <w:adjustRightInd w:val="0"/>
        <w:spacing w:line="540" w:lineRule="exact"/>
        <w:rPr>
          <w:rFonts w:hint="default" w:ascii="Times New Roman" w:hAnsi="Times New Roman" w:eastAsia="仿宋_GB2312"/>
          <w:sz w:val="32"/>
          <w:szCs w:val="32"/>
        </w:rPr>
      </w:pPr>
      <w:r>
        <w:rPr>
          <w:rFonts w:ascii="仿宋_GB2312" w:hAnsi="Times New Roman" w:eastAsia="仿宋_GB2312" w:cs="仿宋_GB2312"/>
          <w:sz w:val="32"/>
          <w:szCs w:val="32"/>
        </w:rPr>
        <w:t>五、一般公共预算财政拨款支出决算情况说明</w:t>
      </w:r>
    </w:p>
    <w:p>
      <w:pPr>
        <w:autoSpaceDE w:val="0"/>
        <w:autoSpaceDN w:val="0"/>
        <w:adjustRightInd w:val="0"/>
        <w:spacing w:line="540" w:lineRule="exact"/>
        <w:rPr>
          <w:rFonts w:hint="default" w:ascii="Times New Roman" w:hAnsi="Times New Roman" w:eastAsia="仿宋_GB2312"/>
          <w:sz w:val="32"/>
          <w:szCs w:val="32"/>
        </w:rPr>
      </w:pPr>
      <w:r>
        <w:rPr>
          <w:rFonts w:ascii="仿宋_GB2312" w:hAnsi="Times New Roman" w:eastAsia="仿宋_GB2312" w:cs="仿宋_GB2312"/>
          <w:sz w:val="32"/>
          <w:szCs w:val="32"/>
        </w:rPr>
        <w:t>六、一般公共预算财政拨款基本支出决算情况说明</w:t>
      </w:r>
    </w:p>
    <w:p>
      <w:pPr>
        <w:autoSpaceDE w:val="0"/>
        <w:autoSpaceDN w:val="0"/>
        <w:adjustRightInd w:val="0"/>
        <w:spacing w:line="540" w:lineRule="exact"/>
        <w:rPr>
          <w:rFonts w:hint="default" w:ascii="Times New Roman" w:hAnsi="Times New Roman" w:eastAsia="仿宋_GB2312"/>
          <w:sz w:val="32"/>
          <w:szCs w:val="32"/>
        </w:rPr>
      </w:pPr>
      <w:r>
        <w:rPr>
          <w:rFonts w:ascii="仿宋_GB2312" w:hAnsi="Times New Roman" w:eastAsia="仿宋_GB2312" w:cs="仿宋_GB2312"/>
          <w:sz w:val="32"/>
          <w:szCs w:val="32"/>
        </w:rPr>
        <w:t>七、财政拨款</w:t>
      </w:r>
      <w:r>
        <w:rPr>
          <w:rFonts w:hint="default" w:ascii="Times New Roman" w:hAnsi="Times New Roman" w:eastAsia="仿宋_GB2312" w:cs="仿宋_GB2312"/>
          <w:sz w:val="32"/>
          <w:szCs w:val="32"/>
        </w:rPr>
        <w:t>“</w:t>
      </w:r>
      <w:r>
        <w:rPr>
          <w:rFonts w:ascii="仿宋_GB2312" w:hAnsi="Times New Roman" w:eastAsia="仿宋_GB2312" w:cs="仿宋_GB2312"/>
          <w:sz w:val="32"/>
          <w:szCs w:val="32"/>
        </w:rPr>
        <w:t>三公</w:t>
      </w:r>
      <w:r>
        <w:rPr>
          <w:rFonts w:hint="default" w:ascii="Times New Roman" w:hAnsi="Times New Roman" w:eastAsia="仿宋_GB2312" w:cs="仿宋_GB2312"/>
          <w:sz w:val="32"/>
          <w:szCs w:val="32"/>
        </w:rPr>
        <w:t>”</w:t>
      </w:r>
      <w:r>
        <w:rPr>
          <w:rFonts w:ascii="仿宋_GB2312" w:hAnsi="Times New Roman" w:eastAsia="仿宋_GB2312" w:cs="仿宋_GB2312"/>
          <w:sz w:val="32"/>
          <w:szCs w:val="32"/>
        </w:rPr>
        <w:t>经费支出决算情况说明</w:t>
      </w:r>
    </w:p>
    <w:p>
      <w:pPr>
        <w:autoSpaceDE w:val="0"/>
        <w:autoSpaceDN w:val="0"/>
        <w:adjustRightInd w:val="0"/>
        <w:spacing w:line="540" w:lineRule="exact"/>
        <w:rPr>
          <w:rFonts w:hint="default" w:ascii="Times New Roman" w:hAnsi="Times New Roman" w:eastAsia="仿宋_GB2312"/>
          <w:sz w:val="32"/>
          <w:szCs w:val="32"/>
        </w:rPr>
      </w:pPr>
      <w:r>
        <w:rPr>
          <w:rFonts w:ascii="仿宋_GB2312" w:hAnsi="Times New Roman" w:eastAsia="仿宋_GB2312" w:cs="仿宋_GB2312"/>
          <w:sz w:val="32"/>
          <w:szCs w:val="32"/>
        </w:rPr>
        <w:t>八、政府性基金预算</w:t>
      </w:r>
      <w:r>
        <w:rPr>
          <w:rFonts w:ascii="仿宋_GB2312" w:hAnsi="Times New Roman" w:eastAsia="仿宋_GB2312" w:cs="仿宋_GB2312"/>
          <w:sz w:val="32"/>
          <w:szCs w:val="32"/>
          <w:lang w:val="zh-CN"/>
        </w:rPr>
        <w:t>财政拨款</w:t>
      </w:r>
      <w:r>
        <w:rPr>
          <w:rFonts w:ascii="仿宋_GB2312" w:hAnsi="Times New Roman" w:eastAsia="仿宋_GB2312" w:cs="仿宋_GB2312"/>
          <w:sz w:val="32"/>
          <w:szCs w:val="32"/>
        </w:rPr>
        <w:t>收入支出决算情况说明</w:t>
      </w:r>
    </w:p>
    <w:p>
      <w:pPr>
        <w:autoSpaceDE w:val="0"/>
        <w:autoSpaceDN w:val="0"/>
        <w:adjustRightInd w:val="0"/>
        <w:spacing w:line="540" w:lineRule="exact"/>
        <w:rPr>
          <w:rFonts w:hint="default" w:ascii="Times New Roman" w:hAnsi="Times New Roman" w:eastAsia="仿宋_GB2312"/>
          <w:sz w:val="32"/>
          <w:szCs w:val="32"/>
        </w:rPr>
      </w:pPr>
      <w:r>
        <w:rPr>
          <w:rFonts w:ascii="仿宋_GB2312" w:hAnsi="Times New Roman" w:eastAsia="仿宋_GB2312" w:cs="仿宋_GB2312"/>
          <w:sz w:val="32"/>
          <w:szCs w:val="32"/>
        </w:rPr>
        <w:t>九、国有资本经营预算财政拨款收入支出决算情况说明</w:t>
      </w:r>
    </w:p>
    <w:p>
      <w:pPr>
        <w:autoSpaceDE w:val="0"/>
        <w:autoSpaceDN w:val="0"/>
        <w:adjustRightInd w:val="0"/>
        <w:spacing w:line="540" w:lineRule="exact"/>
        <w:rPr>
          <w:rFonts w:hint="default" w:ascii="Times New Roman" w:hAnsi="Times New Roman" w:eastAsia="仿宋_GB2312"/>
          <w:sz w:val="32"/>
          <w:szCs w:val="32"/>
        </w:rPr>
      </w:pPr>
      <w:r>
        <w:rPr>
          <w:rFonts w:ascii="仿宋_GB2312" w:hAnsi="Times New Roman" w:eastAsia="仿宋_GB2312" w:cs="仿宋_GB2312"/>
          <w:sz w:val="32"/>
          <w:szCs w:val="32"/>
        </w:rPr>
        <w:t>十、其他重要事项的情况说明</w:t>
      </w:r>
    </w:p>
    <w:p>
      <w:pPr>
        <w:autoSpaceDE w:val="0"/>
        <w:autoSpaceDN w:val="0"/>
        <w:adjustRightInd w:val="0"/>
        <w:spacing w:line="540" w:lineRule="exact"/>
        <w:rPr>
          <w:rFonts w:hint="default" w:ascii="Times New Roman" w:hAnsi="Times New Roman" w:eastAsia="仿宋_GB2312"/>
          <w:sz w:val="32"/>
          <w:szCs w:val="32"/>
        </w:rPr>
      </w:pPr>
      <w:r>
        <w:rPr>
          <w:rFonts w:ascii="仿宋_GB2312" w:hAnsi="Times New Roman" w:eastAsia="仿宋_GB2312" w:cs="仿宋_GB2312"/>
          <w:sz w:val="32"/>
          <w:szCs w:val="32"/>
        </w:rPr>
        <w:t>（一）机关运行经费支出情况</w:t>
      </w:r>
    </w:p>
    <w:p>
      <w:pPr>
        <w:autoSpaceDE w:val="0"/>
        <w:autoSpaceDN w:val="0"/>
        <w:adjustRightInd w:val="0"/>
        <w:spacing w:line="540" w:lineRule="exact"/>
        <w:rPr>
          <w:rFonts w:hint="default" w:ascii="Times New Roman" w:hAnsi="Times New Roman" w:eastAsia="仿宋_GB2312"/>
          <w:sz w:val="32"/>
          <w:szCs w:val="32"/>
        </w:rPr>
      </w:pPr>
      <w:r>
        <w:rPr>
          <w:rFonts w:ascii="仿宋_GB2312" w:hAnsi="Times New Roman" w:eastAsia="仿宋_GB2312" w:cs="仿宋_GB2312"/>
          <w:sz w:val="32"/>
          <w:szCs w:val="32"/>
        </w:rPr>
        <w:t>（二）政府采购情况</w:t>
      </w:r>
    </w:p>
    <w:p>
      <w:pPr>
        <w:autoSpaceDE w:val="0"/>
        <w:autoSpaceDN w:val="0"/>
        <w:adjustRightInd w:val="0"/>
        <w:spacing w:line="540" w:lineRule="exact"/>
        <w:rPr>
          <w:rFonts w:hint="default" w:ascii="Times New Roman" w:hAnsi="Times New Roman" w:eastAsia="仿宋_GB2312"/>
          <w:sz w:val="32"/>
          <w:szCs w:val="32"/>
        </w:rPr>
      </w:pPr>
      <w:r>
        <w:rPr>
          <w:rFonts w:ascii="仿宋_GB2312" w:hAnsi="Times New Roman" w:eastAsia="仿宋_GB2312" w:cs="仿宋_GB2312"/>
          <w:sz w:val="32"/>
          <w:szCs w:val="32"/>
        </w:rPr>
        <w:t>（三）国有资产占用情况说明</w:t>
      </w:r>
    </w:p>
    <w:p>
      <w:pPr>
        <w:autoSpaceDE w:val="0"/>
        <w:autoSpaceDN w:val="0"/>
        <w:adjustRightInd w:val="0"/>
        <w:spacing w:line="540" w:lineRule="exact"/>
        <w:rPr>
          <w:rFonts w:hint="default" w:ascii="Times New Roman" w:hAnsi="Times New Roman" w:eastAsia="仿宋_GB2312"/>
          <w:sz w:val="32"/>
          <w:szCs w:val="32"/>
        </w:rPr>
      </w:pPr>
      <w:r>
        <w:rPr>
          <w:rFonts w:ascii="仿宋_GB2312" w:hAnsi="Times New Roman" w:eastAsia="仿宋_GB2312" w:cs="仿宋_GB2312"/>
          <w:sz w:val="32"/>
          <w:szCs w:val="32"/>
        </w:rPr>
        <w:t>十</w:t>
      </w:r>
      <w:r>
        <w:rPr>
          <w:rFonts w:ascii="仿宋_GB2312" w:hAnsi="Times New Roman" w:eastAsia="仿宋_GB2312" w:cs="仿宋_GB2312"/>
          <w:sz w:val="32"/>
          <w:szCs w:val="32"/>
          <w:lang w:val="zh-CN"/>
        </w:rPr>
        <w:t>一</w:t>
      </w:r>
      <w:r>
        <w:rPr>
          <w:rFonts w:ascii="仿宋_GB2312" w:hAnsi="Times New Roman" w:eastAsia="仿宋_GB2312" w:cs="仿宋_GB2312"/>
          <w:sz w:val="32"/>
          <w:szCs w:val="32"/>
        </w:rPr>
        <w:t>、预算绩效的情况说明</w:t>
      </w:r>
    </w:p>
    <w:p>
      <w:pPr>
        <w:autoSpaceDE w:val="0"/>
        <w:autoSpaceDN w:val="0"/>
        <w:adjustRightInd w:val="0"/>
        <w:spacing w:line="540" w:lineRule="exact"/>
        <w:rPr>
          <w:rFonts w:hint="default" w:ascii="Times New Roman" w:hAnsi="Times New Roman" w:eastAsia="仿宋_GB2312"/>
          <w:b/>
          <w:kern w:val="0"/>
          <w:sz w:val="32"/>
          <w:szCs w:val="32"/>
        </w:rPr>
      </w:pPr>
      <w:r>
        <w:rPr>
          <w:rFonts w:ascii="仿宋_GB2312" w:hAnsi="Times New Roman" w:eastAsia="仿宋_GB2312" w:cs="仿宋_GB2312"/>
          <w:b/>
          <w:kern w:val="0"/>
          <w:sz w:val="32"/>
          <w:szCs w:val="32"/>
        </w:rPr>
        <w:t>第三部分 专业名词解释</w:t>
      </w:r>
    </w:p>
    <w:p>
      <w:pPr>
        <w:autoSpaceDE w:val="0"/>
        <w:autoSpaceDN w:val="0"/>
        <w:adjustRightInd w:val="0"/>
        <w:spacing w:line="540" w:lineRule="exact"/>
        <w:rPr>
          <w:rFonts w:hint="default" w:ascii="Times New Roman" w:hAnsi="Times New Roman" w:eastAsia="仿宋_GB2312"/>
          <w:b/>
          <w:kern w:val="0"/>
          <w:sz w:val="32"/>
          <w:szCs w:val="32"/>
        </w:rPr>
      </w:pPr>
      <w:r>
        <w:rPr>
          <w:rFonts w:ascii="仿宋_GB2312" w:hAnsi="Times New Roman" w:eastAsia="仿宋_GB2312" w:cs="仿宋_GB2312"/>
          <w:b/>
          <w:kern w:val="0"/>
          <w:sz w:val="32"/>
          <w:szCs w:val="32"/>
        </w:rPr>
        <w:t>第四部分 部</w:t>
      </w:r>
      <w:r>
        <w:rPr>
          <w:rFonts w:ascii="仿宋_GB2312" w:hAnsi="Times New Roman" w:eastAsia="仿宋_GB2312" w:cs="仿宋_GB2312"/>
          <w:b/>
          <w:sz w:val="32"/>
          <w:szCs w:val="32"/>
        </w:rPr>
        <w:t>门决算报表（见附表）</w:t>
      </w:r>
    </w:p>
    <w:p>
      <w:pPr>
        <w:autoSpaceDE w:val="0"/>
        <w:autoSpaceDN w:val="0"/>
        <w:adjustRightInd w:val="0"/>
        <w:spacing w:line="540" w:lineRule="exact"/>
        <w:rPr>
          <w:rFonts w:hint="default" w:ascii="Times New Roman" w:hAnsi="Times New Roman" w:eastAsia="仿宋_GB2312"/>
          <w:sz w:val="32"/>
          <w:szCs w:val="32"/>
        </w:rPr>
      </w:pPr>
      <w:r>
        <w:rPr>
          <w:rFonts w:ascii="仿宋_GB2312" w:hAnsi="Times New Roman" w:eastAsia="仿宋_GB2312" w:cs="仿宋_GB2312"/>
          <w:sz w:val="32"/>
          <w:szCs w:val="32"/>
        </w:rPr>
        <w:t>一、《收入支出决算总表》</w:t>
      </w:r>
    </w:p>
    <w:p>
      <w:pPr>
        <w:autoSpaceDE w:val="0"/>
        <w:autoSpaceDN w:val="0"/>
        <w:adjustRightInd w:val="0"/>
        <w:spacing w:line="540" w:lineRule="exact"/>
        <w:rPr>
          <w:rFonts w:hint="default" w:ascii="Times New Roman" w:hAnsi="Times New Roman" w:eastAsia="仿宋_GB2312"/>
          <w:sz w:val="32"/>
          <w:szCs w:val="32"/>
        </w:rPr>
      </w:pPr>
      <w:r>
        <w:rPr>
          <w:rFonts w:ascii="仿宋_GB2312" w:hAnsi="Times New Roman" w:eastAsia="仿宋_GB2312" w:cs="仿宋_GB2312"/>
          <w:sz w:val="32"/>
          <w:szCs w:val="32"/>
        </w:rPr>
        <w:t>二、《收入决算表》</w:t>
      </w:r>
    </w:p>
    <w:p>
      <w:pPr>
        <w:autoSpaceDE w:val="0"/>
        <w:autoSpaceDN w:val="0"/>
        <w:adjustRightInd w:val="0"/>
        <w:spacing w:line="540" w:lineRule="exact"/>
        <w:rPr>
          <w:rFonts w:hint="default" w:ascii="Times New Roman" w:hAnsi="Times New Roman" w:eastAsia="仿宋_GB2312"/>
          <w:sz w:val="32"/>
          <w:szCs w:val="32"/>
        </w:rPr>
      </w:pPr>
      <w:r>
        <w:rPr>
          <w:rFonts w:ascii="仿宋_GB2312" w:hAnsi="Times New Roman" w:eastAsia="仿宋_GB2312" w:cs="仿宋_GB2312"/>
          <w:sz w:val="32"/>
          <w:szCs w:val="32"/>
        </w:rPr>
        <w:t>三、《支出决算表》</w:t>
      </w:r>
    </w:p>
    <w:p>
      <w:pPr>
        <w:autoSpaceDE w:val="0"/>
        <w:autoSpaceDN w:val="0"/>
        <w:adjustRightInd w:val="0"/>
        <w:spacing w:line="540" w:lineRule="exact"/>
        <w:rPr>
          <w:rFonts w:hint="default" w:ascii="Times New Roman" w:hAnsi="Times New Roman" w:eastAsia="仿宋_GB2312"/>
          <w:sz w:val="32"/>
          <w:szCs w:val="32"/>
        </w:rPr>
      </w:pPr>
      <w:r>
        <w:rPr>
          <w:rFonts w:ascii="仿宋_GB2312" w:hAnsi="Times New Roman" w:eastAsia="仿宋_GB2312" w:cs="仿宋_GB2312"/>
          <w:sz w:val="32"/>
          <w:szCs w:val="32"/>
        </w:rPr>
        <w:t>四、《财政拨款收入支出决算总表》</w:t>
      </w:r>
    </w:p>
    <w:p>
      <w:pPr>
        <w:autoSpaceDE w:val="0"/>
        <w:autoSpaceDN w:val="0"/>
        <w:adjustRightInd w:val="0"/>
        <w:spacing w:line="540" w:lineRule="exact"/>
        <w:rPr>
          <w:rFonts w:hint="default" w:ascii="Times New Roman" w:hAnsi="Times New Roman" w:eastAsia="仿宋_GB2312"/>
          <w:sz w:val="32"/>
          <w:szCs w:val="32"/>
        </w:rPr>
      </w:pPr>
      <w:r>
        <w:rPr>
          <w:rFonts w:ascii="仿宋_GB2312" w:hAnsi="Times New Roman" w:eastAsia="仿宋_GB2312" w:cs="仿宋_GB2312"/>
          <w:sz w:val="32"/>
          <w:szCs w:val="32"/>
        </w:rPr>
        <w:t>五、《一般公共预算财政拨款支出决算表》</w:t>
      </w:r>
    </w:p>
    <w:p>
      <w:pPr>
        <w:autoSpaceDE w:val="0"/>
        <w:autoSpaceDN w:val="0"/>
        <w:adjustRightInd w:val="0"/>
        <w:spacing w:line="540" w:lineRule="exact"/>
        <w:rPr>
          <w:rFonts w:hint="default" w:ascii="Times New Roman" w:hAnsi="Times New Roman" w:eastAsia="仿宋_GB2312"/>
          <w:sz w:val="32"/>
          <w:szCs w:val="32"/>
        </w:rPr>
      </w:pPr>
      <w:r>
        <w:rPr>
          <w:rFonts w:ascii="仿宋_GB2312" w:hAnsi="Times New Roman" w:eastAsia="仿宋_GB2312" w:cs="仿宋_GB2312"/>
          <w:sz w:val="32"/>
          <w:szCs w:val="32"/>
        </w:rPr>
        <w:t>六、《一般公共预算财政拨款基本支出决算表》</w:t>
      </w:r>
    </w:p>
    <w:p>
      <w:pPr>
        <w:autoSpaceDE w:val="0"/>
        <w:autoSpaceDN w:val="0"/>
        <w:adjustRightInd w:val="0"/>
        <w:spacing w:line="540" w:lineRule="exact"/>
        <w:rPr>
          <w:rFonts w:hint="default" w:ascii="Times New Roman" w:hAnsi="Times New Roman" w:eastAsia="仿宋_GB2312"/>
          <w:sz w:val="32"/>
          <w:szCs w:val="32"/>
        </w:rPr>
      </w:pPr>
      <w:r>
        <w:rPr>
          <w:rFonts w:ascii="仿宋_GB2312" w:hAnsi="Times New Roman" w:eastAsia="仿宋_GB2312" w:cs="仿宋_GB2312"/>
          <w:sz w:val="32"/>
          <w:szCs w:val="32"/>
        </w:rPr>
        <w:t>七、《财政拨款</w:t>
      </w:r>
      <w:r>
        <w:rPr>
          <w:rFonts w:hint="default" w:ascii="Times New Roman" w:hAnsi="Times New Roman" w:eastAsia="仿宋_GB2312" w:cs="仿宋_GB2312"/>
          <w:sz w:val="32"/>
          <w:szCs w:val="32"/>
        </w:rPr>
        <w:t>“</w:t>
      </w:r>
      <w:r>
        <w:rPr>
          <w:rFonts w:ascii="仿宋_GB2312" w:hAnsi="Times New Roman" w:eastAsia="仿宋_GB2312" w:cs="仿宋_GB2312"/>
          <w:sz w:val="32"/>
          <w:szCs w:val="32"/>
        </w:rPr>
        <w:t>三公</w:t>
      </w:r>
      <w:r>
        <w:rPr>
          <w:rFonts w:hint="default" w:ascii="Times New Roman" w:hAnsi="Times New Roman" w:eastAsia="仿宋_GB2312" w:cs="仿宋_GB2312"/>
          <w:sz w:val="32"/>
          <w:szCs w:val="32"/>
        </w:rPr>
        <w:t>”</w:t>
      </w:r>
      <w:r>
        <w:rPr>
          <w:rFonts w:ascii="仿宋_GB2312" w:hAnsi="Times New Roman" w:eastAsia="仿宋_GB2312" w:cs="仿宋_GB2312"/>
          <w:sz w:val="32"/>
          <w:szCs w:val="32"/>
        </w:rPr>
        <w:t>经费支出决算表》</w:t>
      </w:r>
    </w:p>
    <w:p>
      <w:pPr>
        <w:autoSpaceDE w:val="0"/>
        <w:autoSpaceDN w:val="0"/>
        <w:adjustRightInd w:val="0"/>
        <w:spacing w:line="540" w:lineRule="exact"/>
        <w:rPr>
          <w:rFonts w:hint="default" w:ascii="Times New Roman" w:hAnsi="Times New Roman" w:eastAsia="仿宋_GB2312"/>
          <w:sz w:val="32"/>
          <w:szCs w:val="32"/>
        </w:rPr>
      </w:pPr>
      <w:r>
        <w:rPr>
          <w:rFonts w:ascii="仿宋_GB2312" w:hAnsi="Times New Roman" w:eastAsia="仿宋_GB2312" w:cs="仿宋_GB2312"/>
          <w:sz w:val="32"/>
          <w:szCs w:val="32"/>
        </w:rPr>
        <w:t>八、《政府性基金预算财政拨款收入支出决算表》</w:t>
      </w:r>
    </w:p>
    <w:p>
      <w:pPr>
        <w:autoSpaceDE w:val="0"/>
        <w:autoSpaceDN w:val="0"/>
        <w:adjustRightInd w:val="0"/>
        <w:spacing w:line="540" w:lineRule="exact"/>
        <w:rPr>
          <w:rFonts w:hint="default" w:ascii="Times New Roman" w:hAnsi="Times New Roman" w:eastAsia="仿宋_GB2312"/>
          <w:sz w:val="32"/>
          <w:szCs w:val="32"/>
        </w:rPr>
      </w:pPr>
      <w:r>
        <w:rPr>
          <w:rFonts w:ascii="仿宋_GB2312" w:hAnsi="Times New Roman" w:eastAsia="仿宋_GB2312" w:cs="仿宋_GB2312"/>
          <w:sz w:val="32"/>
          <w:szCs w:val="32"/>
        </w:rPr>
        <w:t>九、《国有资本经营预算财政拨款收入支出决算表》</w:t>
      </w:r>
    </w:p>
    <w:p>
      <w:pPr>
        <w:autoSpaceDE w:val="0"/>
        <w:autoSpaceDN w:val="0"/>
        <w:adjustRightInd w:val="0"/>
        <w:spacing w:line="540" w:lineRule="exact"/>
        <w:ind w:firstLine="640"/>
        <w:rPr>
          <w:rFonts w:hint="default" w:ascii="Times New Roman" w:hAnsi="Times New Roman" w:eastAsia="仿宋_GB2312"/>
          <w:b/>
          <w:kern w:val="0"/>
          <w:sz w:val="28"/>
          <w:szCs w:val="28"/>
        </w:rPr>
      </w:pPr>
    </w:p>
    <w:p>
      <w:pPr>
        <w:shd w:val="clear" w:color="auto" w:fill="FFFFFF"/>
        <w:autoSpaceDE w:val="0"/>
        <w:autoSpaceDN w:val="0"/>
        <w:adjustRightInd w:val="0"/>
        <w:spacing w:line="360" w:lineRule="auto"/>
        <w:jc w:val="center"/>
        <w:rPr>
          <w:rFonts w:hint="default" w:ascii="Times New Roman" w:hAnsi="Times New Roman" w:eastAsia="仿宋_GB2312"/>
          <w:kern w:val="0"/>
          <w:sz w:val="32"/>
          <w:szCs w:val="32"/>
        </w:rPr>
      </w:pPr>
    </w:p>
    <w:p>
      <w:pPr>
        <w:shd w:val="clear" w:color="auto" w:fill="FFFFFF"/>
        <w:autoSpaceDE w:val="0"/>
        <w:autoSpaceDN w:val="0"/>
        <w:adjustRightInd w:val="0"/>
        <w:spacing w:line="360" w:lineRule="auto"/>
        <w:jc w:val="center"/>
        <w:rPr>
          <w:rFonts w:hint="default" w:eastAsia="黑体" w:cs="黑体"/>
          <w:kern w:val="0"/>
          <w:sz w:val="32"/>
          <w:szCs w:val="32"/>
          <w:rtl/>
          <w:lang w:val="ar-SA"/>
        </w:rPr>
      </w:pPr>
      <w:r>
        <w:rPr>
          <w:rFonts w:hint="default" w:ascii="Times New Roman" w:hAnsi="Times New Roman" w:eastAsia="仿宋_GB2312"/>
          <w:kern w:val="0"/>
          <w:sz w:val="32"/>
          <w:szCs w:val="32"/>
        </w:rPr>
        <w:br w:type="page"/>
      </w:r>
      <w:r>
        <w:rPr>
          <w:rFonts w:ascii="黑体" w:hAnsi="Times New Roman" w:eastAsia="黑体" w:cs="黑体"/>
          <w:kern w:val="0"/>
          <w:sz w:val="32"/>
          <w:szCs w:val="32"/>
        </w:rPr>
        <w:t>第一部分 单位概况</w:t>
      </w:r>
    </w:p>
    <w:p>
      <w:pPr>
        <w:autoSpaceDE w:val="0"/>
        <w:autoSpaceDN w:val="0"/>
        <w:adjustRightInd w:val="0"/>
        <w:spacing w:line="360" w:lineRule="auto"/>
        <w:ind w:firstLine="640"/>
        <w:rPr>
          <w:rFonts w:hint="default" w:ascii="Times New Roman" w:hAnsi="Times New Roman" w:eastAsia="黑体"/>
          <w:sz w:val="32"/>
          <w:szCs w:val="32"/>
          <w:lang w:val="zh-CN"/>
        </w:rPr>
      </w:pPr>
      <w:r>
        <w:rPr>
          <w:rFonts w:ascii="黑体" w:hAnsi="Times New Roman" w:eastAsia="黑体" w:cs="黑体"/>
          <w:sz w:val="32"/>
          <w:szCs w:val="32"/>
          <w:lang w:val="zh-CN"/>
        </w:rPr>
        <w:t>一、主要职能</w:t>
      </w:r>
    </w:p>
    <w:p>
      <w:pPr>
        <w:shd w:val="clear" w:color="auto" w:fill="FFFFFF"/>
        <w:autoSpaceDE w:val="0"/>
        <w:autoSpaceDN w:val="0"/>
        <w:adjustRightInd w:val="0"/>
        <w:spacing w:line="360" w:lineRule="auto"/>
        <w:ind w:firstLine="640"/>
        <w:rPr>
          <w:rFonts w:hint="default" w:ascii="仿宋_GB2312" w:hAnsi="Times New Roman" w:eastAsia="仿宋_GB2312" w:cs="仿宋_GB2312"/>
          <w:kern w:val="0"/>
          <w:sz w:val="32"/>
          <w:szCs w:val="32"/>
        </w:rPr>
      </w:pPr>
      <w:r>
        <w:rPr>
          <w:rFonts w:ascii="仿宋_GB2312" w:hAnsi="Times New Roman" w:eastAsia="仿宋_GB2312" w:cs="仿宋_GB2312"/>
          <w:kern w:val="0"/>
          <w:sz w:val="32"/>
          <w:szCs w:val="32"/>
        </w:rPr>
        <w:t>米东区职业中等专业学校是一所中等职业专业学校。学校主要培养中等技术人才，提高社会职业素质；制定职业教育发展规划并组织实施开展职业教育教学、教法研究和优秀成果的推广应用；负责各级各类职业技能培训和继续教育工作；组织开展中等职业教育教学工作；负责电大远程教育服务网络建设和远程教育教学工作；负责职业教育各项数据的统计及监督管理教育经费的使用；负责农业广播电视教学工作。</w:t>
      </w:r>
    </w:p>
    <w:p>
      <w:pPr>
        <w:autoSpaceDE w:val="0"/>
        <w:autoSpaceDN w:val="0"/>
        <w:adjustRightInd w:val="0"/>
        <w:spacing w:line="360" w:lineRule="auto"/>
        <w:ind w:firstLine="640"/>
        <w:rPr>
          <w:rFonts w:hint="default" w:ascii="Times New Roman" w:hAnsi="Times New Roman" w:eastAsia="黑体"/>
          <w:sz w:val="32"/>
          <w:szCs w:val="32"/>
          <w:lang w:val="zh-CN"/>
        </w:rPr>
      </w:pPr>
      <w:r>
        <w:rPr>
          <w:rFonts w:ascii="黑体" w:hAnsi="Times New Roman" w:eastAsia="黑体" w:cs="黑体"/>
          <w:sz w:val="32"/>
          <w:szCs w:val="32"/>
          <w:lang w:val="zh-CN"/>
        </w:rPr>
        <w:t>二、机构设置及人员情况</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ascii="仿宋_GB2312" w:hAnsi="Times New Roman" w:eastAsia="仿宋_GB2312" w:cs="仿宋_GB2312"/>
          <w:kern w:val="0"/>
          <w:sz w:val="32"/>
          <w:szCs w:val="32"/>
        </w:rPr>
        <w:t>乌鲁木齐市米东区职业中等专业学校2022年度，实有人数114人，其中：在职人员59人，离休人员0人，退休人员55人。</w:t>
      </w:r>
    </w:p>
    <w:p>
      <w:pPr>
        <w:shd w:val="clear" w:color="auto" w:fill="FFFFFF"/>
        <w:autoSpaceDE w:val="0"/>
        <w:autoSpaceDN w:val="0"/>
        <w:adjustRightInd w:val="0"/>
        <w:spacing w:line="360" w:lineRule="auto"/>
        <w:ind w:firstLine="640"/>
        <w:rPr>
          <w:rFonts w:hint="default" w:ascii="Times New Roman"/>
          <w:kern w:val="0"/>
          <w:sz w:val="24"/>
          <w:szCs w:val="24"/>
          <w:rtl/>
          <w:lang w:val="zh-CN" w:bidi="zh-CN"/>
        </w:rPr>
      </w:pPr>
      <w:r>
        <w:rPr>
          <w:rFonts w:ascii="仿宋_GB2312" w:hAnsi="Times New Roman" w:eastAsia="仿宋_GB2312" w:cs="仿宋_GB2312"/>
          <w:kern w:val="0"/>
          <w:sz w:val="32"/>
          <w:szCs w:val="32"/>
        </w:rPr>
        <w:t>从部门决算单位构成看，乌鲁木齐市米东区职业中等专业学校部门决算包括：乌鲁木齐市米东区职业中等专业学校</w:t>
      </w:r>
      <w:r>
        <w:rPr>
          <w:rFonts w:ascii="仿宋_GB2312" w:hAnsi="Times New Roman" w:eastAsia="仿宋_GB2312" w:cs="仿宋_GB2312"/>
          <w:kern w:val="0"/>
          <w:sz w:val="32"/>
          <w:szCs w:val="32"/>
          <w:lang w:val="zh-CN"/>
        </w:rPr>
        <w:t>决算。单位无下属预算单位，下设</w:t>
      </w:r>
      <w:r>
        <w:rPr>
          <w:rFonts w:ascii="仿宋_GB2312" w:hAnsi="Times New Roman" w:eastAsia="仿宋_GB2312" w:cs="仿宋_GB2312"/>
          <w:kern w:val="0"/>
          <w:sz w:val="32"/>
          <w:szCs w:val="32"/>
        </w:rPr>
        <w:t>6</w:t>
      </w:r>
      <w:r>
        <w:rPr>
          <w:rFonts w:ascii="仿宋_GB2312" w:hAnsi="Times New Roman" w:eastAsia="仿宋_GB2312" w:cs="仿宋_GB2312"/>
          <w:kern w:val="0"/>
          <w:sz w:val="32"/>
          <w:szCs w:val="32"/>
          <w:lang w:val="zh-CN"/>
        </w:rPr>
        <w:t>个科室，分别是：</w:t>
      </w:r>
      <w:r>
        <w:rPr>
          <w:rFonts w:ascii="仿宋_GB2312" w:hAnsi="Times New Roman" w:eastAsia="仿宋_GB2312" w:cs="仿宋_GB2312"/>
          <w:kern w:val="0"/>
          <w:sz w:val="32"/>
          <w:szCs w:val="32"/>
        </w:rPr>
        <w:t>办公室、总务科、招生就业培训处、保卫科、总务科、德育处</w:t>
      </w:r>
      <w:r>
        <w:rPr>
          <w:rFonts w:ascii="仿宋_GB2312" w:hAnsi="Times New Roman" w:eastAsia="仿宋_GB2312" w:cs="仿宋_GB2312"/>
          <w:kern w:val="0"/>
          <w:sz w:val="32"/>
          <w:szCs w:val="32"/>
          <w:lang w:val="zh-CN"/>
        </w:rPr>
        <w:t>。</w:t>
      </w:r>
    </w:p>
    <w:p>
      <w:pPr>
        <w:shd w:val="clear" w:color="auto" w:fill="FFFFFF"/>
        <w:autoSpaceDE w:val="0"/>
        <w:autoSpaceDN w:val="0"/>
        <w:adjustRightInd w:val="0"/>
        <w:spacing w:before="100" w:after="240"/>
        <w:jc w:val="center"/>
        <w:rPr>
          <w:rFonts w:hint="default" w:ascii="Times New Roman"/>
          <w:kern w:val="0"/>
          <w:sz w:val="28"/>
          <w:szCs w:val="28"/>
          <w:rtl/>
          <w:lang w:val="ar-SA"/>
        </w:rPr>
      </w:pPr>
      <w:r>
        <w:rPr>
          <w:rFonts w:ascii="黑体" w:hAnsi="Times New Roman" w:eastAsia="黑体" w:cs="黑体"/>
          <w:kern w:val="0"/>
          <w:sz w:val="32"/>
          <w:szCs w:val="32"/>
        </w:rPr>
        <w:t>第二部分 部门决算情况说明</w:t>
      </w:r>
    </w:p>
    <w:p>
      <w:pPr>
        <w:autoSpaceDE w:val="0"/>
        <w:autoSpaceDN w:val="0"/>
        <w:adjustRightInd w:val="0"/>
        <w:spacing w:line="360" w:lineRule="auto"/>
        <w:ind w:firstLine="640"/>
        <w:rPr>
          <w:rFonts w:hint="default" w:ascii="Times New Roman" w:hAnsi="Times New Roman" w:eastAsia="黑体"/>
          <w:sz w:val="32"/>
          <w:szCs w:val="32"/>
          <w:lang w:val="zh-CN"/>
        </w:rPr>
      </w:pPr>
      <w:r>
        <w:rPr>
          <w:rFonts w:ascii="黑体" w:hAnsi="Times New Roman" w:eastAsia="黑体" w:cs="黑体"/>
          <w:sz w:val="32"/>
          <w:szCs w:val="32"/>
          <w:lang w:val="zh-CN"/>
        </w:rPr>
        <w:t>一、收入支出决算总体情况说明</w:t>
      </w:r>
    </w:p>
    <w:p>
      <w:pPr>
        <w:shd w:val="clear" w:color="auto" w:fill="FFFFFF"/>
        <w:autoSpaceDE w:val="0"/>
        <w:autoSpaceDN w:val="0"/>
        <w:adjustRightInd w:val="0"/>
        <w:spacing w:line="360" w:lineRule="auto"/>
        <w:ind w:firstLine="640"/>
        <w:rPr>
          <w:rFonts w:hint="default" w:ascii="仿宋_GB2312" w:hAnsi="Times New Roman" w:eastAsia="仿宋_GB2312" w:cs="仿宋_GB2312"/>
          <w:kern w:val="0"/>
          <w:sz w:val="32"/>
          <w:szCs w:val="32"/>
        </w:rPr>
      </w:pPr>
      <w:r>
        <w:rPr>
          <w:rFonts w:ascii="仿宋_GB2312" w:hAnsi="Times New Roman" w:eastAsia="仿宋_GB2312" w:cs="仿宋_GB2312"/>
          <w:kern w:val="0"/>
          <w:sz w:val="32"/>
          <w:szCs w:val="32"/>
        </w:rPr>
        <w:t>2022年度收入</w:t>
      </w:r>
      <w:r>
        <w:rPr>
          <w:rFonts w:ascii="仿宋_GB2312" w:hAnsi="Times New Roman" w:eastAsia="仿宋_GB2312" w:cs="仿宋_GB2312"/>
          <w:sz w:val="32"/>
          <w:szCs w:val="32"/>
        </w:rPr>
        <w:t>总计</w:t>
      </w:r>
      <w:r>
        <w:rPr>
          <w:rFonts w:ascii="仿宋_GB2312" w:hAnsi="Times New Roman" w:eastAsia="仿宋_GB2312" w:cs="仿宋_GB2312"/>
          <w:kern w:val="0"/>
          <w:sz w:val="32"/>
          <w:szCs w:val="32"/>
        </w:rPr>
        <w:t>1,522.74万元，</w:t>
      </w:r>
      <w:r>
        <w:rPr>
          <w:rFonts w:ascii="仿宋_GB2312" w:hAnsi="Times New Roman" w:eastAsia="仿宋_GB2312" w:cs="仿宋_GB2312"/>
          <w:sz w:val="32"/>
          <w:szCs w:val="32"/>
        </w:rPr>
        <w:t>其中：本年收入合计</w:t>
      </w:r>
      <w:r>
        <w:rPr>
          <w:rFonts w:ascii="仿宋_GB2312" w:hAnsi="Times New Roman" w:eastAsia="仿宋_GB2312" w:cs="仿宋_GB2312"/>
          <w:kern w:val="0"/>
          <w:sz w:val="32"/>
          <w:szCs w:val="32"/>
        </w:rPr>
        <w:t>1,522.64</w:t>
      </w:r>
      <w:r>
        <w:rPr>
          <w:rFonts w:ascii="仿宋_GB2312" w:hAnsi="Times New Roman" w:eastAsia="仿宋_GB2312" w:cs="仿宋_GB2312"/>
          <w:sz w:val="32"/>
          <w:szCs w:val="32"/>
        </w:rPr>
        <w:t>万元，使用非财政拨款结余</w:t>
      </w:r>
      <w:r>
        <w:rPr>
          <w:rFonts w:ascii="仿宋_GB2312" w:hAnsi="Times New Roman" w:eastAsia="仿宋_GB2312" w:cs="仿宋_GB2312"/>
          <w:kern w:val="0"/>
          <w:sz w:val="32"/>
          <w:szCs w:val="32"/>
        </w:rPr>
        <w:t>0.00</w:t>
      </w:r>
      <w:r>
        <w:rPr>
          <w:rFonts w:ascii="仿宋_GB2312" w:hAnsi="Times New Roman" w:eastAsia="仿宋_GB2312" w:cs="仿宋_GB2312"/>
          <w:sz w:val="32"/>
          <w:szCs w:val="32"/>
        </w:rPr>
        <w:t>万元，年初结转和结余</w:t>
      </w:r>
      <w:r>
        <w:rPr>
          <w:rFonts w:ascii="仿宋_GB2312" w:hAnsi="Times New Roman" w:eastAsia="仿宋_GB2312" w:cs="仿宋_GB2312"/>
          <w:kern w:val="0"/>
          <w:sz w:val="32"/>
          <w:szCs w:val="32"/>
        </w:rPr>
        <w:t>0.10</w:t>
      </w:r>
      <w:r>
        <w:rPr>
          <w:rFonts w:ascii="仿宋_GB2312" w:hAnsi="Times New Roman" w:eastAsia="仿宋_GB2312" w:cs="仿宋_GB2312"/>
          <w:sz w:val="32"/>
          <w:szCs w:val="32"/>
        </w:rPr>
        <w:t>万元。收入总计</w:t>
      </w:r>
      <w:r>
        <w:rPr>
          <w:rFonts w:ascii="仿宋_GB2312" w:hAnsi="Times New Roman" w:eastAsia="仿宋_GB2312" w:cs="仿宋_GB2312"/>
          <w:kern w:val="0"/>
          <w:sz w:val="32"/>
          <w:szCs w:val="32"/>
        </w:rPr>
        <w:t>与上年相比，减少380.62万元，下降20.00%，主要原因是：本年无</w:t>
      </w:r>
      <w:r>
        <w:rPr>
          <w:rFonts w:ascii="仿宋_GB2312" w:hAnsi="仿宋_GB2312" w:eastAsia="仿宋_GB2312"/>
          <w:kern w:val="0"/>
          <w:sz w:val="32"/>
          <w:szCs w:val="24"/>
        </w:rPr>
        <w:t>实训楼和食堂综合楼工程项目收入；</w:t>
      </w:r>
      <w:r>
        <w:rPr>
          <w:rFonts w:ascii="仿宋_GB2312" w:hAnsi="Times New Roman" w:eastAsia="仿宋_GB2312" w:cs="仿宋_GB2312"/>
          <w:kern w:val="0"/>
          <w:sz w:val="32"/>
          <w:szCs w:val="32"/>
        </w:rPr>
        <w:t>水费、电话费等公用经费收入减少，故收入较上年下降。</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ascii="仿宋_GB2312" w:hAnsi="Times New Roman" w:eastAsia="仿宋_GB2312" w:cs="仿宋_GB2312"/>
          <w:sz w:val="32"/>
          <w:szCs w:val="32"/>
        </w:rPr>
        <w:t>本年支出总计</w:t>
      </w:r>
      <w:r>
        <w:rPr>
          <w:rFonts w:ascii="仿宋_GB2312" w:hAnsi="Times New Roman" w:eastAsia="仿宋_GB2312" w:cs="仿宋_GB2312"/>
          <w:kern w:val="0"/>
          <w:sz w:val="32"/>
          <w:szCs w:val="32"/>
        </w:rPr>
        <w:t>1,522.74万元，</w:t>
      </w:r>
      <w:r>
        <w:rPr>
          <w:rFonts w:ascii="仿宋_GB2312" w:hAnsi="Times New Roman" w:eastAsia="仿宋_GB2312" w:cs="仿宋_GB2312"/>
          <w:sz w:val="32"/>
          <w:szCs w:val="32"/>
        </w:rPr>
        <w:t>其中：本年支出合计</w:t>
      </w:r>
      <w:r>
        <w:rPr>
          <w:rFonts w:ascii="仿宋_GB2312" w:hAnsi="Times New Roman" w:eastAsia="仿宋_GB2312" w:cs="仿宋_GB2312"/>
          <w:kern w:val="0"/>
          <w:sz w:val="32"/>
          <w:szCs w:val="32"/>
        </w:rPr>
        <w:t>1,518.02</w:t>
      </w:r>
      <w:r>
        <w:rPr>
          <w:rFonts w:ascii="仿宋_GB2312" w:hAnsi="Times New Roman" w:eastAsia="仿宋_GB2312" w:cs="仿宋_GB2312"/>
          <w:sz w:val="32"/>
          <w:szCs w:val="32"/>
        </w:rPr>
        <w:t>万元，结余分配</w:t>
      </w:r>
      <w:r>
        <w:rPr>
          <w:rFonts w:ascii="仿宋_GB2312" w:hAnsi="Times New Roman" w:eastAsia="仿宋_GB2312" w:cs="仿宋_GB2312"/>
          <w:kern w:val="0"/>
          <w:sz w:val="32"/>
          <w:szCs w:val="32"/>
        </w:rPr>
        <w:t>0.00</w:t>
      </w:r>
      <w:r>
        <w:rPr>
          <w:rFonts w:ascii="仿宋_GB2312" w:hAnsi="Times New Roman" w:eastAsia="仿宋_GB2312" w:cs="仿宋_GB2312"/>
          <w:sz w:val="32"/>
          <w:szCs w:val="32"/>
        </w:rPr>
        <w:t>万元，年末结转和结余</w:t>
      </w:r>
      <w:r>
        <w:rPr>
          <w:rFonts w:ascii="仿宋_GB2312" w:hAnsi="Times New Roman" w:eastAsia="仿宋_GB2312" w:cs="仿宋_GB2312"/>
          <w:kern w:val="0"/>
          <w:sz w:val="32"/>
          <w:szCs w:val="32"/>
        </w:rPr>
        <w:t>4.72</w:t>
      </w:r>
      <w:r>
        <w:rPr>
          <w:rFonts w:ascii="仿宋_GB2312" w:hAnsi="Times New Roman" w:eastAsia="仿宋_GB2312" w:cs="仿宋_GB2312"/>
          <w:sz w:val="32"/>
          <w:szCs w:val="32"/>
        </w:rPr>
        <w:t>万元。支出总计</w:t>
      </w:r>
      <w:r>
        <w:rPr>
          <w:rFonts w:ascii="仿宋_GB2312" w:hAnsi="Times New Roman" w:eastAsia="仿宋_GB2312" w:cs="仿宋_GB2312"/>
          <w:kern w:val="0"/>
          <w:sz w:val="32"/>
          <w:szCs w:val="32"/>
        </w:rPr>
        <w:t>与上年相比，减少380.62万元，下降20.00%，主要原因是：本年无</w:t>
      </w:r>
      <w:r>
        <w:rPr>
          <w:rFonts w:ascii="仿宋_GB2312" w:hAnsi="仿宋_GB2312" w:eastAsia="仿宋_GB2312"/>
          <w:kern w:val="0"/>
          <w:sz w:val="32"/>
          <w:szCs w:val="24"/>
        </w:rPr>
        <w:t>实训楼和食堂综合楼工程项目支出；</w:t>
      </w:r>
      <w:r>
        <w:rPr>
          <w:rFonts w:ascii="仿宋_GB2312" w:hAnsi="Times New Roman" w:eastAsia="仿宋_GB2312" w:cs="仿宋_GB2312"/>
          <w:kern w:val="0"/>
          <w:sz w:val="32"/>
          <w:szCs w:val="32"/>
        </w:rPr>
        <w:t>水费、电话费等公用经费支出减少，故支出较上年下降。</w:t>
      </w:r>
    </w:p>
    <w:p>
      <w:pPr>
        <w:autoSpaceDE w:val="0"/>
        <w:autoSpaceDN w:val="0"/>
        <w:adjustRightInd w:val="0"/>
        <w:spacing w:line="360" w:lineRule="auto"/>
        <w:ind w:firstLine="640"/>
        <w:rPr>
          <w:rFonts w:hint="default" w:ascii="Times New Roman" w:hAnsi="Times New Roman" w:eastAsia="黑体"/>
          <w:sz w:val="32"/>
          <w:szCs w:val="32"/>
        </w:rPr>
      </w:pPr>
      <w:r>
        <w:rPr>
          <w:rFonts w:ascii="黑体" w:hAnsi="Times New Roman" w:eastAsia="黑体" w:cs="黑体"/>
          <w:sz w:val="32"/>
          <w:szCs w:val="32"/>
          <w:lang w:val="zh-CN"/>
        </w:rPr>
        <w:t>二、收入决算情况说明</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ascii="仿宋_GB2312" w:hAnsi="Times New Roman" w:eastAsia="仿宋_GB2312" w:cs="仿宋_GB2312"/>
          <w:kern w:val="0"/>
          <w:sz w:val="32"/>
          <w:szCs w:val="32"/>
        </w:rPr>
        <w:t>2022年度本年收入1,522.64万元，其中：财政拨款收入1,522.64万元，占100.00%；上级补助收入0.00万元，占0.00%；事业收入0.00万元，占0.00%；经营收入0.00万元，占0.00%；附属单位上缴收入0.00万元，占0.00%；其他收入0.00万元，占0.00%。</w:t>
      </w:r>
    </w:p>
    <w:p>
      <w:pPr>
        <w:autoSpaceDE w:val="0"/>
        <w:autoSpaceDN w:val="0"/>
        <w:adjustRightInd w:val="0"/>
        <w:spacing w:line="360" w:lineRule="auto"/>
        <w:ind w:firstLine="640"/>
        <w:rPr>
          <w:rFonts w:hint="default" w:ascii="Times New Roman" w:hAnsi="Times New Roman" w:eastAsia="黑体"/>
          <w:sz w:val="32"/>
          <w:szCs w:val="32"/>
        </w:rPr>
      </w:pPr>
      <w:r>
        <w:rPr>
          <w:rFonts w:ascii="黑体" w:hAnsi="Times New Roman" w:eastAsia="黑体" w:cs="黑体"/>
          <w:sz w:val="32"/>
          <w:szCs w:val="32"/>
          <w:lang w:val="zh-CN"/>
        </w:rPr>
        <w:t>三、支出决算情况说明</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ascii="仿宋_GB2312" w:hAnsi="Times New Roman" w:eastAsia="仿宋_GB2312" w:cs="仿宋_GB2312"/>
          <w:kern w:val="0"/>
          <w:sz w:val="32"/>
          <w:szCs w:val="32"/>
        </w:rPr>
        <w:t>2022年度本年支出1,518.02万元，其中：基本支出1,419.87万元，占93.53%；项目支出98.15万元，占6.47%；上缴上级支出0.00万元，占0.00%；经营支出0.00万元，占0.00%；对附属单位补助支出0.00万元，占0.00%。</w:t>
      </w:r>
    </w:p>
    <w:p>
      <w:pPr>
        <w:autoSpaceDE w:val="0"/>
        <w:autoSpaceDN w:val="0"/>
        <w:adjustRightInd w:val="0"/>
        <w:spacing w:line="360" w:lineRule="auto"/>
        <w:ind w:firstLine="640"/>
        <w:rPr>
          <w:rFonts w:hint="default" w:ascii="Times New Roman" w:hAnsi="Times New Roman" w:eastAsia="黑体"/>
          <w:sz w:val="32"/>
          <w:szCs w:val="32"/>
          <w:lang w:val="zh-CN"/>
        </w:rPr>
      </w:pPr>
      <w:r>
        <w:rPr>
          <w:rFonts w:ascii="黑体" w:hAnsi="Times New Roman" w:eastAsia="黑体" w:cs="黑体"/>
          <w:sz w:val="32"/>
          <w:szCs w:val="32"/>
          <w:lang w:val="zh-CN"/>
        </w:rPr>
        <w:t>四、财政拨款收入支出决算总体情况说明</w:t>
      </w:r>
    </w:p>
    <w:p>
      <w:pPr>
        <w:shd w:val="clear" w:color="auto" w:fill="FFFFFF"/>
        <w:autoSpaceDE w:val="0"/>
        <w:autoSpaceDN w:val="0"/>
        <w:adjustRightInd w:val="0"/>
        <w:spacing w:line="360" w:lineRule="auto"/>
        <w:ind w:firstLine="640"/>
        <w:rPr>
          <w:rFonts w:hint="default" w:ascii="仿宋_GB2312" w:hAnsi="Times New Roman" w:eastAsia="仿宋_GB2312" w:cs="仿宋_GB2312"/>
          <w:kern w:val="0"/>
          <w:sz w:val="32"/>
          <w:szCs w:val="32"/>
        </w:rPr>
      </w:pPr>
      <w:r>
        <w:rPr>
          <w:rFonts w:ascii="仿宋_GB2312" w:hAnsi="Times New Roman" w:eastAsia="仿宋_GB2312" w:cs="仿宋_GB2312"/>
          <w:kern w:val="0"/>
          <w:sz w:val="32"/>
          <w:szCs w:val="32"/>
        </w:rPr>
        <w:t>2022年度财政拨款收入</w:t>
      </w:r>
      <w:r>
        <w:rPr>
          <w:rFonts w:ascii="仿宋_GB2312" w:hAnsi="Times New Roman" w:eastAsia="仿宋_GB2312" w:cs="仿宋_GB2312"/>
          <w:sz w:val="32"/>
          <w:szCs w:val="32"/>
        </w:rPr>
        <w:t>总计</w:t>
      </w:r>
      <w:r>
        <w:rPr>
          <w:rFonts w:ascii="仿宋_GB2312" w:hAnsi="Times New Roman" w:eastAsia="仿宋_GB2312" w:cs="仿宋_GB2312"/>
          <w:kern w:val="0"/>
          <w:sz w:val="32"/>
          <w:szCs w:val="32"/>
        </w:rPr>
        <w:t>1,522.74万元，</w:t>
      </w:r>
      <w:r>
        <w:rPr>
          <w:rFonts w:ascii="仿宋_GB2312" w:hAnsi="Times New Roman" w:eastAsia="仿宋_GB2312" w:cs="仿宋_GB2312"/>
          <w:sz w:val="32"/>
          <w:szCs w:val="32"/>
        </w:rPr>
        <w:t>其中：年初财政拨款结转和结余</w:t>
      </w:r>
      <w:r>
        <w:rPr>
          <w:rFonts w:ascii="仿宋_GB2312" w:hAnsi="Times New Roman" w:eastAsia="仿宋_GB2312" w:cs="仿宋_GB2312"/>
          <w:kern w:val="0"/>
          <w:sz w:val="32"/>
          <w:szCs w:val="32"/>
        </w:rPr>
        <w:t>0.10</w:t>
      </w:r>
      <w:r>
        <w:rPr>
          <w:rFonts w:ascii="仿宋_GB2312" w:hAnsi="Times New Roman" w:eastAsia="仿宋_GB2312" w:cs="仿宋_GB2312"/>
          <w:sz w:val="32"/>
          <w:szCs w:val="32"/>
        </w:rPr>
        <w:t>万元，财政拨款本年收入</w:t>
      </w:r>
      <w:r>
        <w:rPr>
          <w:rFonts w:ascii="仿宋_GB2312" w:hAnsi="Times New Roman" w:eastAsia="仿宋_GB2312" w:cs="仿宋_GB2312"/>
          <w:kern w:val="0"/>
          <w:sz w:val="32"/>
          <w:szCs w:val="32"/>
        </w:rPr>
        <w:t>1,522.64</w:t>
      </w:r>
      <w:r>
        <w:rPr>
          <w:rFonts w:ascii="仿宋_GB2312" w:hAnsi="Times New Roman" w:eastAsia="仿宋_GB2312" w:cs="仿宋_GB2312"/>
          <w:sz w:val="32"/>
          <w:szCs w:val="32"/>
        </w:rPr>
        <w:t>万元。财政拨款收入总计</w:t>
      </w:r>
      <w:r>
        <w:rPr>
          <w:rFonts w:ascii="仿宋_GB2312" w:hAnsi="Times New Roman" w:eastAsia="仿宋_GB2312" w:cs="仿宋_GB2312"/>
          <w:kern w:val="0"/>
          <w:sz w:val="32"/>
          <w:szCs w:val="32"/>
        </w:rPr>
        <w:t>与上年相比，减少363.91万元，下降19.29%，主要原因是：本年无</w:t>
      </w:r>
      <w:r>
        <w:rPr>
          <w:rFonts w:ascii="仿宋_GB2312" w:hAnsi="仿宋_GB2312" w:eastAsia="仿宋_GB2312"/>
          <w:kern w:val="0"/>
          <w:sz w:val="32"/>
          <w:szCs w:val="24"/>
        </w:rPr>
        <w:t>实训楼和食堂综合楼工程项目收入；</w:t>
      </w:r>
      <w:r>
        <w:rPr>
          <w:rFonts w:ascii="仿宋_GB2312" w:hAnsi="Times New Roman" w:eastAsia="仿宋_GB2312" w:cs="仿宋_GB2312"/>
          <w:kern w:val="0"/>
          <w:sz w:val="32"/>
          <w:szCs w:val="32"/>
        </w:rPr>
        <w:t>水费、电话费等公用经费收入减少，故财政拨款收入较上年下降。</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ascii="仿宋_GB2312" w:hAnsi="Times New Roman" w:eastAsia="仿宋_GB2312" w:cs="仿宋_GB2312"/>
          <w:kern w:val="0"/>
          <w:sz w:val="32"/>
          <w:szCs w:val="32"/>
        </w:rPr>
        <w:t>财政拨款支出</w:t>
      </w:r>
      <w:r>
        <w:rPr>
          <w:rFonts w:ascii="仿宋_GB2312" w:hAnsi="Times New Roman" w:eastAsia="仿宋_GB2312" w:cs="仿宋_GB2312"/>
          <w:sz w:val="32"/>
          <w:szCs w:val="32"/>
        </w:rPr>
        <w:t>总计</w:t>
      </w:r>
      <w:r>
        <w:rPr>
          <w:rFonts w:ascii="仿宋_GB2312" w:hAnsi="Times New Roman" w:eastAsia="仿宋_GB2312" w:cs="仿宋_GB2312"/>
          <w:kern w:val="0"/>
          <w:sz w:val="32"/>
          <w:szCs w:val="32"/>
        </w:rPr>
        <w:t>1,522.74万元，</w:t>
      </w:r>
      <w:r>
        <w:rPr>
          <w:rFonts w:ascii="仿宋_GB2312" w:hAnsi="Times New Roman" w:eastAsia="仿宋_GB2312" w:cs="仿宋_GB2312"/>
          <w:sz w:val="32"/>
          <w:szCs w:val="32"/>
        </w:rPr>
        <w:t>其中：年末财政拨款结转和结余</w:t>
      </w:r>
      <w:r>
        <w:rPr>
          <w:rFonts w:ascii="仿宋_GB2312" w:hAnsi="Times New Roman" w:eastAsia="仿宋_GB2312" w:cs="仿宋_GB2312"/>
          <w:kern w:val="0"/>
          <w:sz w:val="32"/>
          <w:szCs w:val="32"/>
        </w:rPr>
        <w:t>4.72</w:t>
      </w:r>
      <w:r>
        <w:rPr>
          <w:rFonts w:ascii="仿宋_GB2312" w:hAnsi="Times New Roman" w:eastAsia="仿宋_GB2312" w:cs="仿宋_GB2312"/>
          <w:sz w:val="32"/>
          <w:szCs w:val="32"/>
        </w:rPr>
        <w:t>万元，财政拨款本年支出</w:t>
      </w:r>
      <w:r>
        <w:rPr>
          <w:rFonts w:ascii="仿宋_GB2312" w:hAnsi="Times New Roman" w:eastAsia="仿宋_GB2312" w:cs="仿宋_GB2312"/>
          <w:kern w:val="0"/>
          <w:sz w:val="32"/>
          <w:szCs w:val="32"/>
        </w:rPr>
        <w:t>1,518.02</w:t>
      </w:r>
      <w:r>
        <w:rPr>
          <w:rFonts w:ascii="仿宋_GB2312" w:hAnsi="Times New Roman" w:eastAsia="仿宋_GB2312" w:cs="仿宋_GB2312"/>
          <w:sz w:val="32"/>
          <w:szCs w:val="32"/>
        </w:rPr>
        <w:t>万元。财政拨款支出总计</w:t>
      </w:r>
      <w:r>
        <w:rPr>
          <w:rFonts w:ascii="仿宋_GB2312" w:hAnsi="Times New Roman" w:eastAsia="仿宋_GB2312" w:cs="仿宋_GB2312"/>
          <w:kern w:val="0"/>
          <w:sz w:val="32"/>
          <w:szCs w:val="32"/>
        </w:rPr>
        <w:t>与上年相比，减少363.91万元，下降19.29%，主要原因是：本年无</w:t>
      </w:r>
      <w:r>
        <w:rPr>
          <w:rFonts w:ascii="仿宋_GB2312" w:hAnsi="仿宋_GB2312" w:eastAsia="仿宋_GB2312"/>
          <w:kern w:val="0"/>
          <w:sz w:val="32"/>
          <w:szCs w:val="24"/>
        </w:rPr>
        <w:t>实训楼和食堂综合楼工程项目支出；</w:t>
      </w:r>
      <w:r>
        <w:rPr>
          <w:rFonts w:ascii="仿宋_GB2312" w:hAnsi="Times New Roman" w:eastAsia="仿宋_GB2312" w:cs="仿宋_GB2312"/>
          <w:kern w:val="0"/>
          <w:sz w:val="32"/>
          <w:szCs w:val="32"/>
        </w:rPr>
        <w:t>水费、电话费等公用经费支出减少，故财政拨款支出较上年下降。</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ascii="仿宋_GB2312" w:hAnsi="Times New Roman" w:eastAsia="仿宋_GB2312" w:cs="仿宋_GB2312"/>
          <w:kern w:val="0"/>
          <w:sz w:val="32"/>
          <w:szCs w:val="32"/>
        </w:rPr>
        <w:t>与年初预算数相比情况：财政拨款收入</w:t>
      </w:r>
      <w:r>
        <w:rPr>
          <w:rFonts w:ascii="仿宋_GB2312" w:hAnsi="Times New Roman" w:eastAsia="仿宋_GB2312" w:cs="仿宋_GB2312"/>
          <w:sz w:val="32"/>
          <w:szCs w:val="32"/>
        </w:rPr>
        <w:t>总计</w:t>
      </w:r>
      <w:r>
        <w:rPr>
          <w:rFonts w:ascii="仿宋_GB2312" w:hAnsi="Times New Roman" w:eastAsia="仿宋_GB2312" w:cs="仿宋_GB2312"/>
          <w:kern w:val="0"/>
          <w:sz w:val="32"/>
          <w:szCs w:val="32"/>
        </w:rPr>
        <w:t>年初预算数1,485.28万元，决算数1,522.74万元，预决算差异率2.52%，主要原因是：年中追加</w:t>
      </w:r>
      <w:r>
        <w:rPr>
          <w:rFonts w:ascii="仿宋_GB2312" w:hAnsi="仿宋_GB2312" w:eastAsia="仿宋_GB2312"/>
          <w:kern w:val="0"/>
          <w:sz w:val="32"/>
          <w:szCs w:val="24"/>
        </w:rPr>
        <w:t>免学费资金、助学金、奖学金及质量提升计划专项资金，故预决算产生差异</w:t>
      </w:r>
      <w:r>
        <w:rPr>
          <w:rFonts w:ascii="仿宋_GB2312" w:hAnsi="Times New Roman" w:eastAsia="仿宋_GB2312" w:cs="仿宋_GB2312"/>
          <w:kern w:val="0"/>
          <w:sz w:val="32"/>
          <w:szCs w:val="32"/>
        </w:rPr>
        <w:t>。财政拨款支出</w:t>
      </w:r>
      <w:r>
        <w:rPr>
          <w:rFonts w:ascii="仿宋_GB2312" w:hAnsi="Times New Roman" w:eastAsia="仿宋_GB2312" w:cs="仿宋_GB2312"/>
          <w:sz w:val="32"/>
          <w:szCs w:val="32"/>
        </w:rPr>
        <w:t>总计</w:t>
      </w:r>
      <w:r>
        <w:rPr>
          <w:rFonts w:ascii="仿宋_GB2312" w:hAnsi="Times New Roman" w:eastAsia="仿宋_GB2312" w:cs="仿宋_GB2312"/>
          <w:kern w:val="0"/>
          <w:sz w:val="32"/>
          <w:szCs w:val="32"/>
        </w:rPr>
        <w:t>年初预算数1,485.28万元，决算数1,522.74万元，预决算差异率2.52%，主要原因是：年中追加</w:t>
      </w:r>
      <w:r>
        <w:rPr>
          <w:rFonts w:ascii="仿宋_GB2312" w:hAnsi="仿宋_GB2312" w:eastAsia="仿宋_GB2312"/>
          <w:kern w:val="0"/>
          <w:sz w:val="32"/>
          <w:szCs w:val="24"/>
        </w:rPr>
        <w:t>免学费资金、助学金、奖学金及质量提升计划专项资金，故预决算产生差异</w:t>
      </w:r>
      <w:r>
        <w:rPr>
          <w:rFonts w:ascii="仿宋_GB2312" w:hAnsi="Times New Roman" w:eastAsia="仿宋_GB2312" w:cs="仿宋_GB2312"/>
          <w:kern w:val="0"/>
          <w:sz w:val="32"/>
          <w:szCs w:val="32"/>
        </w:rPr>
        <w:t>。</w:t>
      </w:r>
    </w:p>
    <w:p>
      <w:pPr>
        <w:autoSpaceDE w:val="0"/>
        <w:autoSpaceDN w:val="0"/>
        <w:adjustRightInd w:val="0"/>
        <w:spacing w:line="360" w:lineRule="auto"/>
        <w:ind w:firstLine="640"/>
        <w:rPr>
          <w:rFonts w:hint="default" w:ascii="Times New Roman" w:hAnsi="Times New Roman" w:eastAsia="黑体"/>
          <w:sz w:val="32"/>
          <w:szCs w:val="32"/>
          <w:lang w:val="zh-CN"/>
        </w:rPr>
      </w:pPr>
      <w:r>
        <w:rPr>
          <w:rFonts w:ascii="黑体" w:hAnsi="Times New Roman" w:eastAsia="黑体" w:cs="黑体"/>
          <w:sz w:val="32"/>
          <w:szCs w:val="32"/>
          <w:lang w:val="zh-CN"/>
        </w:rPr>
        <w:t>五、一般公共预算财政拨款支出决算情况说明</w:t>
      </w:r>
    </w:p>
    <w:p>
      <w:pPr>
        <w:autoSpaceDE w:val="0"/>
        <w:autoSpaceDN w:val="0"/>
        <w:adjustRightInd w:val="0"/>
        <w:ind w:firstLine="640"/>
        <w:rPr>
          <w:rFonts w:hint="default" w:ascii="Times New Roman" w:hAnsi="Times New Roman" w:eastAsia="黑体"/>
          <w:sz w:val="32"/>
          <w:szCs w:val="32"/>
        </w:rPr>
      </w:pPr>
      <w:r>
        <w:rPr>
          <w:rFonts w:ascii="黑体" w:hAnsi="Times New Roman" w:eastAsia="黑体" w:cs="黑体"/>
          <w:sz w:val="32"/>
          <w:szCs w:val="32"/>
        </w:rPr>
        <w:t>（一）一般公共预算财政拨款支出决算总体情况</w:t>
      </w:r>
    </w:p>
    <w:p>
      <w:pPr>
        <w:autoSpaceDE w:val="0"/>
        <w:autoSpaceDN w:val="0"/>
        <w:adjustRightInd w:val="0"/>
        <w:spacing w:line="600" w:lineRule="exact"/>
        <w:ind w:firstLine="640"/>
        <w:rPr>
          <w:rFonts w:hint="default" w:ascii="仿宋_GB2312" w:hAnsi="Times New Roman" w:eastAsia="仿宋_GB2312" w:cs="仿宋_GB2312"/>
          <w:kern w:val="0"/>
          <w:sz w:val="32"/>
          <w:szCs w:val="32"/>
        </w:rPr>
      </w:pPr>
      <w:r>
        <w:rPr>
          <w:rFonts w:ascii="仿宋_GB2312" w:hAnsi="Times New Roman" w:eastAsia="仿宋_GB2312" w:cs="仿宋_GB2312"/>
          <w:sz w:val="32"/>
          <w:szCs w:val="32"/>
        </w:rPr>
        <w:t>2022年度一般公共预算财政拨款支出</w:t>
      </w:r>
      <w:r>
        <w:rPr>
          <w:rFonts w:ascii="仿宋_GB2312" w:hAnsi="Times New Roman" w:eastAsia="仿宋_GB2312" w:cs="仿宋_GB2312"/>
          <w:kern w:val="0"/>
          <w:sz w:val="32"/>
          <w:szCs w:val="32"/>
        </w:rPr>
        <w:t>1,518.02</w:t>
      </w:r>
      <w:r>
        <w:rPr>
          <w:rFonts w:ascii="仿宋_GB2312" w:hAnsi="Times New Roman" w:eastAsia="仿宋_GB2312" w:cs="仿宋_GB2312"/>
          <w:sz w:val="32"/>
          <w:szCs w:val="32"/>
        </w:rPr>
        <w:t>万元，占本年支出合计的</w:t>
      </w:r>
      <w:r>
        <w:rPr>
          <w:rFonts w:ascii="仿宋_GB2312" w:hAnsi="Times New Roman" w:eastAsia="仿宋_GB2312" w:cs="仿宋_GB2312"/>
          <w:kern w:val="0"/>
          <w:sz w:val="32"/>
          <w:szCs w:val="32"/>
        </w:rPr>
        <w:t>100.00%</w:t>
      </w:r>
      <w:r>
        <w:rPr>
          <w:rFonts w:ascii="仿宋_GB2312" w:hAnsi="Times New Roman" w:eastAsia="仿宋_GB2312" w:cs="仿宋_GB2312"/>
          <w:sz w:val="32"/>
          <w:szCs w:val="32"/>
        </w:rPr>
        <w:t>，与上年相比，</w:t>
      </w:r>
      <w:r>
        <w:rPr>
          <w:rFonts w:ascii="仿宋_GB2312" w:hAnsi="Times New Roman" w:eastAsia="仿宋_GB2312" w:cs="仿宋_GB2312"/>
          <w:kern w:val="0"/>
          <w:sz w:val="32"/>
          <w:szCs w:val="32"/>
        </w:rPr>
        <w:t>减少368.53万元，下降19.53%，主要原因是：</w:t>
      </w:r>
      <w:bookmarkStart w:id="4" w:name="_GoBack"/>
      <w:bookmarkEnd w:id="4"/>
      <w:r>
        <w:rPr>
          <w:rFonts w:ascii="仿宋_GB2312" w:hAnsi="Times New Roman" w:eastAsia="仿宋_GB2312" w:cs="仿宋_GB2312"/>
          <w:kern w:val="0"/>
          <w:sz w:val="32"/>
          <w:szCs w:val="32"/>
        </w:rPr>
        <w:t>本年无</w:t>
      </w:r>
      <w:r>
        <w:rPr>
          <w:rFonts w:ascii="仿宋_GB2312" w:hAnsi="仿宋_GB2312" w:eastAsia="仿宋_GB2312"/>
          <w:kern w:val="0"/>
          <w:sz w:val="32"/>
          <w:szCs w:val="24"/>
        </w:rPr>
        <w:t>实训楼和食堂综合楼工程项目支出；</w:t>
      </w:r>
      <w:r>
        <w:rPr>
          <w:rFonts w:ascii="仿宋_GB2312" w:hAnsi="Times New Roman" w:eastAsia="仿宋_GB2312" w:cs="仿宋_GB2312"/>
          <w:kern w:val="0"/>
          <w:sz w:val="32"/>
          <w:szCs w:val="32"/>
        </w:rPr>
        <w:t>水费、电话费等公用经费支出减少，故一般公共预算财政拨款支出较上年下降。</w:t>
      </w:r>
    </w:p>
    <w:p>
      <w:pPr>
        <w:autoSpaceDE w:val="0"/>
        <w:autoSpaceDN w:val="0"/>
        <w:adjustRightInd w:val="0"/>
        <w:ind w:firstLine="640"/>
        <w:rPr>
          <w:rFonts w:hint="default" w:ascii="Times New Roman" w:hAnsi="Times New Roman" w:eastAsia="黑体"/>
          <w:sz w:val="32"/>
          <w:szCs w:val="32"/>
        </w:rPr>
      </w:pPr>
      <w:r>
        <w:rPr>
          <w:rFonts w:ascii="黑体" w:hAnsi="Times New Roman" w:eastAsia="黑体" w:cs="黑体"/>
          <w:sz w:val="32"/>
          <w:szCs w:val="32"/>
        </w:rPr>
        <w:t>（二）一般公共预算财政拨款支出决算结构情况</w:t>
      </w:r>
    </w:p>
    <w:p>
      <w:pPr>
        <w:autoSpaceDE w:val="0"/>
        <w:autoSpaceDN w:val="0"/>
        <w:adjustRightInd w:val="0"/>
        <w:spacing w:line="600" w:lineRule="exact"/>
        <w:ind w:firstLine="640"/>
        <w:rPr>
          <w:rFonts w:hint="default" w:ascii="Times New Roman" w:hAnsi="Times New Roman" w:eastAsia="仿宋_GB2312"/>
          <w:kern w:val="0"/>
          <w:sz w:val="32"/>
          <w:szCs w:val="32"/>
        </w:rPr>
      </w:pPr>
      <w:r>
        <w:rPr>
          <w:rFonts w:ascii="仿宋_GB2312" w:hAnsi="Times New Roman" w:eastAsia="仿宋_GB2312" w:cs="仿宋_GB2312"/>
          <w:sz w:val="32"/>
          <w:szCs w:val="32"/>
        </w:rPr>
        <w:t>1.教育支出（类）1,518.02万元，占100.00%；</w:t>
      </w:r>
    </w:p>
    <w:p>
      <w:pPr>
        <w:autoSpaceDE w:val="0"/>
        <w:autoSpaceDN w:val="0"/>
        <w:adjustRightInd w:val="0"/>
        <w:ind w:firstLine="640"/>
        <w:rPr>
          <w:rFonts w:hint="default" w:ascii="Times New Roman" w:hAnsi="Times New Roman" w:eastAsia="黑体"/>
          <w:sz w:val="32"/>
          <w:szCs w:val="32"/>
        </w:rPr>
      </w:pPr>
      <w:r>
        <w:rPr>
          <w:rFonts w:ascii="黑体" w:hAnsi="Times New Roman" w:eastAsia="黑体" w:cs="黑体"/>
          <w:sz w:val="32"/>
          <w:szCs w:val="32"/>
        </w:rPr>
        <w:t>（三）一般公共预算财政拨款支出决算具体情况</w:t>
      </w:r>
    </w:p>
    <w:p>
      <w:pPr>
        <w:autoSpaceDE w:val="0"/>
        <w:autoSpaceDN w:val="0"/>
        <w:adjustRightInd w:val="0"/>
        <w:spacing w:line="360" w:lineRule="auto"/>
        <w:ind w:firstLine="640"/>
        <w:rPr>
          <w:rFonts w:hint="default" w:ascii="仿宋_GB2312" w:hAnsi="Times New Roman" w:eastAsia="仿宋_GB2312" w:cs="仿宋_GB2312"/>
          <w:sz w:val="32"/>
          <w:szCs w:val="32"/>
        </w:rPr>
      </w:pPr>
      <w:r>
        <w:rPr>
          <w:rFonts w:ascii="仿宋_GB2312" w:hAnsi="Times New Roman" w:eastAsia="仿宋_GB2312" w:cs="仿宋_GB2312"/>
          <w:sz w:val="32"/>
          <w:szCs w:val="32"/>
        </w:rPr>
        <w:t>1.教育支出（类）普通教育（款）其他普通教育支出（项）:支出决算数为0.60万元，比上年决算减少218.77万元，下降99.73%，主要原因是：本年助学金及免学费资金2022年在中等职业教育项中支出，故支出较上年下降；</w:t>
      </w:r>
    </w:p>
    <w:p>
      <w:pPr>
        <w:autoSpaceDE w:val="0"/>
        <w:autoSpaceDN w:val="0"/>
        <w:adjustRightInd w:val="0"/>
        <w:spacing w:line="360" w:lineRule="auto"/>
        <w:ind w:firstLine="640"/>
        <w:rPr>
          <w:rFonts w:hint="default" w:ascii="仿宋_GB2312" w:hAnsi="Times New Roman" w:eastAsia="仿宋_GB2312" w:cs="仿宋_GB2312"/>
          <w:sz w:val="32"/>
          <w:szCs w:val="32"/>
        </w:rPr>
      </w:pPr>
      <w:r>
        <w:rPr>
          <w:rFonts w:ascii="仿宋_GB2312" w:hAnsi="Times New Roman" w:eastAsia="仿宋_GB2312" w:cs="仿宋_GB2312"/>
          <w:sz w:val="32"/>
          <w:szCs w:val="32"/>
        </w:rPr>
        <w:t>2.教育支出（类）职业教育（款）中等职业教育（项）:支出决算数为1,517.42万元，比上年决算减少65.44万元，下降4.13%，主要原因是：本年</w:t>
      </w:r>
      <w:r>
        <w:rPr>
          <w:rFonts w:ascii="仿宋_GB2312" w:hAnsi="Times New Roman" w:eastAsia="仿宋_GB2312" w:cs="仿宋_GB2312"/>
          <w:kern w:val="0"/>
          <w:sz w:val="32"/>
          <w:szCs w:val="32"/>
        </w:rPr>
        <w:t>水费、电话费等公用经费支出减少，</w:t>
      </w:r>
      <w:r>
        <w:rPr>
          <w:rFonts w:ascii="仿宋_GB2312" w:hAnsi="Times New Roman" w:eastAsia="仿宋_GB2312" w:cs="仿宋_GB2312"/>
          <w:sz w:val="32"/>
          <w:szCs w:val="32"/>
        </w:rPr>
        <w:t>故支出较上年下降；</w:t>
      </w:r>
    </w:p>
    <w:p>
      <w:pPr>
        <w:autoSpaceDE w:val="0"/>
        <w:autoSpaceDN w:val="0"/>
        <w:adjustRightInd w:val="0"/>
        <w:spacing w:line="360" w:lineRule="auto"/>
        <w:ind w:firstLine="640"/>
        <w:rPr>
          <w:rFonts w:hint="default" w:ascii="仿宋_GB2312" w:hAnsi="Times New Roman" w:eastAsia="仿宋_GB2312" w:cs="仿宋_GB2312"/>
          <w:sz w:val="32"/>
          <w:szCs w:val="32"/>
        </w:rPr>
      </w:pPr>
      <w:r>
        <w:rPr>
          <w:rFonts w:ascii="仿宋_GB2312" w:hAnsi="Times New Roman" w:eastAsia="仿宋_GB2312" w:cs="仿宋_GB2312"/>
          <w:sz w:val="32"/>
          <w:szCs w:val="32"/>
        </w:rPr>
        <w:t>3.教育支出（类）职业教育（款）其他职业教育支出（项）:支出决算数为0.00万元，比上年决算减少20.00万元，下降100.00%，主要原因是：</w:t>
      </w:r>
      <w:bookmarkStart w:id="0" w:name="_Hlk143783239"/>
      <w:r>
        <w:rPr>
          <w:rFonts w:ascii="仿宋_GB2312" w:hAnsi="Times New Roman" w:eastAsia="仿宋_GB2312" w:cs="仿宋_GB2312"/>
          <w:kern w:val="0"/>
          <w:sz w:val="32"/>
          <w:szCs w:val="32"/>
        </w:rPr>
        <w:t>本年此功能科目未支出</w:t>
      </w:r>
      <w:bookmarkEnd w:id="0"/>
      <w:r>
        <w:rPr>
          <w:rFonts w:ascii="仿宋_GB2312" w:hAnsi="Times New Roman" w:eastAsia="仿宋_GB2312" w:cs="仿宋_GB2312"/>
          <w:sz w:val="32"/>
          <w:szCs w:val="32"/>
        </w:rPr>
        <w:t>；</w:t>
      </w:r>
    </w:p>
    <w:p>
      <w:pPr>
        <w:autoSpaceDE w:val="0"/>
        <w:autoSpaceDN w:val="0"/>
        <w:adjustRightInd w:val="0"/>
        <w:spacing w:line="360" w:lineRule="auto"/>
        <w:ind w:firstLine="640"/>
        <w:rPr>
          <w:rFonts w:hint="default" w:ascii="仿宋_GB2312" w:hAnsi="Times New Roman" w:eastAsia="仿宋_GB2312" w:cs="仿宋_GB2312"/>
          <w:sz w:val="32"/>
          <w:szCs w:val="32"/>
        </w:rPr>
      </w:pPr>
      <w:r>
        <w:rPr>
          <w:rFonts w:ascii="仿宋_GB2312" w:hAnsi="Times New Roman" w:eastAsia="仿宋_GB2312" w:cs="仿宋_GB2312"/>
          <w:sz w:val="32"/>
          <w:szCs w:val="32"/>
        </w:rPr>
        <w:t>4.社会保障和就业支出（类）民政管理事务（款）基层政权建设和社区治理（项）:支出决算数为0.00万元，比上年决算减少1.66万元，下降100.00%，主要原因是：</w:t>
      </w:r>
      <w:r>
        <w:rPr>
          <w:rFonts w:ascii="仿宋_GB2312" w:hAnsi="Times New Roman" w:eastAsia="仿宋_GB2312" w:cs="仿宋_GB2312"/>
          <w:kern w:val="0"/>
          <w:sz w:val="32"/>
          <w:szCs w:val="32"/>
        </w:rPr>
        <w:t>本年此功能科目未支出</w:t>
      </w:r>
      <w:r>
        <w:rPr>
          <w:rFonts w:ascii="仿宋_GB2312" w:hAnsi="Times New Roman" w:eastAsia="仿宋_GB2312" w:cs="仿宋_GB2312"/>
          <w:sz w:val="32"/>
          <w:szCs w:val="32"/>
        </w:rPr>
        <w:t>；</w:t>
      </w:r>
    </w:p>
    <w:p>
      <w:pPr>
        <w:autoSpaceDE w:val="0"/>
        <w:autoSpaceDN w:val="0"/>
        <w:adjustRightInd w:val="0"/>
        <w:spacing w:line="360" w:lineRule="auto"/>
        <w:ind w:firstLine="640"/>
        <w:rPr>
          <w:rFonts w:hint="default" w:ascii="仿宋_GB2312" w:hAnsi="Times New Roman" w:eastAsia="仿宋_GB2312" w:cs="仿宋_GB2312"/>
          <w:sz w:val="32"/>
          <w:szCs w:val="32"/>
        </w:rPr>
      </w:pPr>
      <w:r>
        <w:rPr>
          <w:rFonts w:ascii="仿宋_GB2312" w:hAnsi="Times New Roman" w:eastAsia="仿宋_GB2312" w:cs="仿宋_GB2312"/>
          <w:sz w:val="32"/>
          <w:szCs w:val="32"/>
        </w:rPr>
        <w:t>5.社会保障和就业支出（类）行政事业单位养老支出（款）机关事业单位基本养老保险缴费支出（项）:支出决算数为0.00万元，比上年决算减少62.66万元，下降100.00%，主要原因是：</w:t>
      </w:r>
      <w:r>
        <w:rPr>
          <w:rFonts w:ascii="仿宋_GB2312" w:hAnsi="Times New Roman" w:eastAsia="仿宋_GB2312" w:cs="仿宋_GB2312"/>
          <w:kern w:val="0"/>
          <w:sz w:val="32"/>
          <w:szCs w:val="32"/>
        </w:rPr>
        <w:t>本年此功能科目未支出</w:t>
      </w:r>
      <w:r>
        <w:rPr>
          <w:rFonts w:ascii="仿宋_GB2312" w:hAnsi="Times New Roman" w:eastAsia="仿宋_GB2312" w:cs="仿宋_GB2312"/>
          <w:sz w:val="32"/>
          <w:szCs w:val="32"/>
        </w:rPr>
        <w:t>。</w:t>
      </w:r>
    </w:p>
    <w:p>
      <w:pPr>
        <w:autoSpaceDE w:val="0"/>
        <w:autoSpaceDN w:val="0"/>
        <w:adjustRightInd w:val="0"/>
        <w:spacing w:line="360" w:lineRule="auto"/>
        <w:ind w:firstLine="640"/>
        <w:rPr>
          <w:rFonts w:hint="default" w:ascii="Times New Roman" w:hAnsi="Times New Roman" w:eastAsia="黑体"/>
          <w:sz w:val="32"/>
          <w:szCs w:val="32"/>
          <w:lang w:val="zh-CN"/>
        </w:rPr>
      </w:pPr>
      <w:r>
        <w:rPr>
          <w:rFonts w:ascii="黑体" w:hAnsi="Times New Roman" w:eastAsia="黑体" w:cs="黑体"/>
          <w:sz w:val="32"/>
          <w:szCs w:val="32"/>
          <w:lang w:val="zh-CN"/>
        </w:rPr>
        <w:t>六、一般公共预算财政拨款基本支出决算情况说明</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ascii="仿宋_GB2312" w:hAnsi="Times New Roman" w:eastAsia="仿宋_GB2312" w:cs="仿宋_GB2312"/>
          <w:kern w:val="0"/>
          <w:sz w:val="32"/>
          <w:szCs w:val="32"/>
        </w:rPr>
        <w:t>2022年度一般公共预算财政拨款基本支出1,419.87万元，其中：</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ascii="仿宋_GB2312" w:hAnsi="Times New Roman" w:eastAsia="仿宋_GB2312" w:cs="仿宋_GB2312"/>
          <w:kern w:val="0"/>
          <w:sz w:val="32"/>
          <w:szCs w:val="32"/>
        </w:rPr>
        <w:t>人员经费1,285.13万元，包括：基本工资、津贴补贴、奖金、绩效工资、机关事业单位基本养老保险缴费、职业年金缴费、职工基本医疗保险缴费、公务员医疗补助缴费、其他社会保障缴费、住房公积金、其他工资福利支出、生活补助、其他对个人和家庭的补助。</w:t>
      </w:r>
    </w:p>
    <w:p>
      <w:pPr>
        <w:autoSpaceDE w:val="0"/>
        <w:autoSpaceDN w:val="0"/>
        <w:adjustRightInd w:val="0"/>
        <w:spacing w:line="360" w:lineRule="auto"/>
        <w:ind w:firstLine="640"/>
        <w:rPr>
          <w:rFonts w:hint="default" w:ascii="仿宋_GB2312" w:hAnsi="Times New Roman" w:eastAsia="仿宋_GB2312" w:cs="仿宋_GB2312"/>
          <w:kern w:val="0"/>
          <w:sz w:val="32"/>
          <w:szCs w:val="32"/>
        </w:rPr>
      </w:pPr>
      <w:r>
        <w:rPr>
          <w:rFonts w:ascii="仿宋_GB2312" w:hAnsi="Times New Roman" w:eastAsia="仿宋_GB2312" w:cs="仿宋_GB2312"/>
          <w:kern w:val="0"/>
          <w:sz w:val="32"/>
          <w:szCs w:val="32"/>
        </w:rPr>
        <w:t>公用经费134.74万元，包括：办公费、印刷费、水费、电费、邮电费、物业管理费、差旅费、维修（护）费、培训费、专用材料费、劳务费、工会经费、公务用车运行维护费、其他交通费用、其他商品和服务支出、办公设备购置。</w:t>
      </w:r>
    </w:p>
    <w:p>
      <w:pPr>
        <w:autoSpaceDE w:val="0"/>
        <w:autoSpaceDN w:val="0"/>
        <w:adjustRightInd w:val="0"/>
        <w:spacing w:line="360" w:lineRule="auto"/>
        <w:ind w:firstLine="640"/>
        <w:rPr>
          <w:rFonts w:hint="default" w:ascii="Times New Roman" w:hAnsi="Times New Roman" w:eastAsia="黑体"/>
          <w:sz w:val="32"/>
          <w:szCs w:val="32"/>
        </w:rPr>
      </w:pPr>
      <w:r>
        <w:rPr>
          <w:rFonts w:ascii="黑体" w:hAnsi="Times New Roman" w:eastAsia="黑体" w:cs="黑体"/>
          <w:sz w:val="32"/>
          <w:szCs w:val="32"/>
          <w:lang w:val="zh-CN"/>
        </w:rPr>
        <w:t>七、财政拨款</w:t>
      </w:r>
      <w:r>
        <w:rPr>
          <w:rFonts w:hint="default" w:ascii="Times New Roman" w:hAnsi="Times New Roman" w:eastAsia="黑体" w:cs="黑体"/>
          <w:kern w:val="0"/>
          <w:sz w:val="32"/>
          <w:szCs w:val="32"/>
        </w:rPr>
        <w:t>“</w:t>
      </w:r>
      <w:r>
        <w:rPr>
          <w:rFonts w:ascii="黑体" w:hAnsi="Times New Roman" w:eastAsia="黑体" w:cs="黑体"/>
          <w:kern w:val="0"/>
          <w:sz w:val="32"/>
          <w:szCs w:val="32"/>
        </w:rPr>
        <w:t>三公</w:t>
      </w:r>
      <w:r>
        <w:rPr>
          <w:rFonts w:hint="default" w:ascii="Times New Roman" w:hAnsi="Times New Roman" w:eastAsia="黑体" w:cs="黑体"/>
          <w:kern w:val="0"/>
          <w:sz w:val="32"/>
          <w:szCs w:val="32"/>
        </w:rPr>
        <w:t>”</w:t>
      </w:r>
      <w:r>
        <w:rPr>
          <w:rFonts w:ascii="黑体" w:hAnsi="Times New Roman" w:eastAsia="黑体" w:cs="黑体"/>
          <w:sz w:val="32"/>
          <w:szCs w:val="32"/>
          <w:lang w:val="zh-CN"/>
        </w:rPr>
        <w:t>经费支出决算情况说明</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ascii="仿宋_GB2312" w:hAnsi="Times New Roman" w:eastAsia="仿宋_GB2312" w:cs="仿宋_GB2312"/>
          <w:kern w:val="0"/>
          <w:sz w:val="32"/>
          <w:szCs w:val="32"/>
        </w:rPr>
        <w:t>2022年度</w:t>
      </w:r>
      <w:r>
        <w:rPr>
          <w:rFonts w:ascii="仿宋_GB2312" w:hAnsi="Times New Roman" w:eastAsia="仿宋_GB2312" w:cs="仿宋_GB2312"/>
          <w:sz w:val="32"/>
          <w:szCs w:val="32"/>
        </w:rPr>
        <w:t>财政拨款</w:t>
      </w:r>
      <w:r>
        <w:rPr>
          <w:rFonts w:hint="default" w:ascii="Times New Roman" w:hAnsi="Times New Roman" w:eastAsia="仿宋_GB2312" w:cs="仿宋_GB2312"/>
          <w:kern w:val="0"/>
          <w:sz w:val="32"/>
          <w:szCs w:val="32"/>
        </w:rPr>
        <w:t>“</w:t>
      </w:r>
      <w:r>
        <w:rPr>
          <w:rFonts w:ascii="仿宋_GB2312" w:hAnsi="Times New Roman" w:eastAsia="仿宋_GB2312" w:cs="仿宋_GB2312"/>
          <w:kern w:val="0"/>
          <w:sz w:val="32"/>
          <w:szCs w:val="32"/>
        </w:rPr>
        <w:t>三公</w:t>
      </w:r>
      <w:r>
        <w:rPr>
          <w:rFonts w:hint="default" w:ascii="Times New Roman" w:hAnsi="Times New Roman" w:eastAsia="仿宋_GB2312" w:cs="仿宋_GB2312"/>
          <w:kern w:val="0"/>
          <w:sz w:val="32"/>
          <w:szCs w:val="32"/>
        </w:rPr>
        <w:t>”</w:t>
      </w:r>
      <w:r>
        <w:rPr>
          <w:rFonts w:ascii="仿宋_GB2312" w:hAnsi="Times New Roman" w:eastAsia="仿宋_GB2312" w:cs="仿宋_GB2312"/>
          <w:kern w:val="0"/>
          <w:sz w:val="32"/>
          <w:szCs w:val="32"/>
        </w:rPr>
        <w:t>经费支出决算4.38万元，比上年减少3.12万元，下降41.60%，主要原因是：本年单位公务用车运行次数减少，车辆燃料油费及停车费支出减少。其中：因公出国（境）费支出0.00万元，占0.00%，比上年增加0.00万元，增长0.00%，主要原因是：本年单位无因公出国（境）费支出；公务用车购置及运行维护费支出4.38万元，占100.00%，比上年减少3.12万元，下降41.60%，主要原因是：本年单位公务用车运行次数减少，车辆燃料油费及停车费支出减少；公务接待费支出0.00万元，占0.00%，比上年增加0.00万元，增长0.00%，主要原因是：</w:t>
      </w:r>
      <w:bookmarkStart w:id="1" w:name="_Hlk143770125"/>
      <w:r>
        <w:rPr>
          <w:rFonts w:ascii="仿宋_GB2312" w:hAnsi="Times New Roman" w:eastAsia="仿宋_GB2312" w:cs="仿宋_GB2312"/>
          <w:kern w:val="0"/>
          <w:sz w:val="32"/>
          <w:szCs w:val="32"/>
        </w:rPr>
        <w:t>本年单位无此项支出</w:t>
      </w:r>
      <w:bookmarkEnd w:id="1"/>
      <w:r>
        <w:rPr>
          <w:rFonts w:ascii="仿宋_GB2312" w:hAnsi="Times New Roman" w:eastAsia="仿宋_GB2312" w:cs="仿宋_GB2312"/>
          <w:kern w:val="0"/>
          <w:sz w:val="32"/>
          <w:szCs w:val="32"/>
        </w:rPr>
        <w:t>。具体情况如下：</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ascii="仿宋_GB2312" w:hAnsi="Times New Roman" w:eastAsia="仿宋_GB2312" w:cs="仿宋_GB2312"/>
          <w:kern w:val="0"/>
          <w:sz w:val="32"/>
          <w:szCs w:val="32"/>
        </w:rPr>
        <w:t>因公出国（境）费支出0.00万元，开支内容包括本年单位无因公出国（境）费支出。单位全年安排的因公出国（境）团组0个，因公出国（境）0人次。</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ascii="仿宋_GB2312" w:hAnsi="Times New Roman" w:eastAsia="仿宋_GB2312" w:cs="仿宋_GB2312"/>
          <w:kern w:val="0"/>
          <w:sz w:val="32"/>
          <w:szCs w:val="32"/>
        </w:rPr>
        <w:t>公务用车购置及运行维护费4.38万元，其中：公务用车购置费0.00万元，公务用车运行维护费4.38万元。</w:t>
      </w:r>
      <w:bookmarkStart w:id="2" w:name="_Hlk143782590"/>
      <w:r>
        <w:rPr>
          <w:rFonts w:ascii="仿宋_GB2312" w:hAnsi="Times New Roman" w:eastAsia="仿宋_GB2312" w:cs="仿宋_GB2312"/>
          <w:kern w:val="0"/>
          <w:sz w:val="32"/>
          <w:szCs w:val="32"/>
        </w:rPr>
        <w:t>公务用车运行维护费开支内容包括公务用车燃油费、车辆维修维护费、保险费、过路费</w:t>
      </w:r>
      <w:bookmarkEnd w:id="2"/>
      <w:r>
        <w:rPr>
          <w:rFonts w:ascii="仿宋_GB2312" w:hAnsi="Times New Roman" w:eastAsia="仿宋_GB2312" w:cs="仿宋_GB2312"/>
          <w:kern w:val="0"/>
          <w:sz w:val="32"/>
          <w:szCs w:val="32"/>
        </w:rPr>
        <w:t>等。公务用车购置数0辆，公务用车保有量4辆。</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ascii="仿宋_GB2312" w:hAnsi="Times New Roman" w:eastAsia="仿宋_GB2312" w:cs="仿宋_GB2312"/>
          <w:kern w:val="0"/>
          <w:sz w:val="32"/>
          <w:szCs w:val="32"/>
        </w:rPr>
        <w:t>公务接待费0.00万元，开支内容包括本年单位无此项支出。单位全年安排的国内公务接待0批次，0人次。</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ascii="仿宋_GB2312" w:hAnsi="Times New Roman" w:eastAsia="仿宋_GB2312" w:cs="仿宋_GB2312"/>
          <w:kern w:val="0"/>
          <w:sz w:val="32"/>
          <w:szCs w:val="32"/>
        </w:rPr>
        <w:t>与</w:t>
      </w:r>
      <w:r>
        <w:rPr>
          <w:rFonts w:ascii="仿宋_GB2312" w:hAnsi="Times New Roman" w:eastAsia="仿宋_GB2312" w:cs="仿宋_GB2312"/>
          <w:sz w:val="32"/>
          <w:szCs w:val="32"/>
        </w:rPr>
        <w:t>全年</w:t>
      </w:r>
      <w:r>
        <w:rPr>
          <w:rFonts w:ascii="仿宋_GB2312" w:hAnsi="Times New Roman" w:eastAsia="仿宋_GB2312" w:cs="仿宋_GB2312"/>
          <w:kern w:val="0"/>
          <w:sz w:val="32"/>
          <w:szCs w:val="32"/>
        </w:rPr>
        <w:t>预算</w:t>
      </w:r>
      <w:r>
        <w:rPr>
          <w:rFonts w:ascii="仿宋_GB2312" w:hAnsi="Times New Roman" w:eastAsia="仿宋_GB2312" w:cs="仿宋_GB2312"/>
          <w:kern w:val="0"/>
          <w:sz w:val="32"/>
          <w:szCs w:val="32"/>
          <w:lang w:val="zh-CN"/>
        </w:rPr>
        <w:t>数</w:t>
      </w:r>
      <w:r>
        <w:rPr>
          <w:rFonts w:ascii="仿宋_GB2312" w:hAnsi="Times New Roman" w:eastAsia="仿宋_GB2312" w:cs="仿宋_GB2312"/>
          <w:kern w:val="0"/>
          <w:sz w:val="32"/>
          <w:szCs w:val="32"/>
        </w:rPr>
        <w:t>相比情况</w:t>
      </w:r>
      <w:r>
        <w:rPr>
          <w:rFonts w:ascii="仿宋_GB2312" w:hAnsi="Times New Roman" w:eastAsia="仿宋_GB2312" w:cs="仿宋_GB2312"/>
          <w:sz w:val="32"/>
          <w:szCs w:val="32"/>
        </w:rPr>
        <w:t>：</w:t>
      </w:r>
      <w:r>
        <w:rPr>
          <w:rFonts w:hint="default" w:ascii="Times New Roman" w:hAnsi="Times New Roman" w:eastAsia="仿宋_GB2312"/>
          <w:kern w:val="0"/>
          <w:sz w:val="32"/>
          <w:szCs w:val="32"/>
        </w:rPr>
        <w:t>“</w:t>
      </w:r>
      <w:r>
        <w:rPr>
          <w:rFonts w:ascii="仿宋_GB2312" w:hAnsi="Times New Roman" w:eastAsia="仿宋_GB2312" w:cs="仿宋_GB2312"/>
          <w:kern w:val="0"/>
          <w:sz w:val="32"/>
          <w:szCs w:val="32"/>
        </w:rPr>
        <w:t>三公</w:t>
      </w:r>
      <w:r>
        <w:rPr>
          <w:rFonts w:hint="default" w:ascii="Times New Roman" w:hAnsi="Times New Roman" w:eastAsia="仿宋_GB2312"/>
          <w:kern w:val="0"/>
          <w:sz w:val="32"/>
          <w:szCs w:val="32"/>
        </w:rPr>
        <w:t>”</w:t>
      </w:r>
      <w:r>
        <w:rPr>
          <w:rFonts w:ascii="仿宋_GB2312" w:hAnsi="Times New Roman" w:eastAsia="仿宋_GB2312" w:cs="仿宋_GB2312"/>
          <w:kern w:val="0"/>
          <w:sz w:val="32"/>
          <w:szCs w:val="32"/>
        </w:rPr>
        <w:t>经费支出</w:t>
      </w:r>
      <w:r>
        <w:rPr>
          <w:rFonts w:ascii="仿宋_GB2312" w:hAnsi="Times New Roman" w:eastAsia="仿宋_GB2312" w:cs="仿宋_GB2312"/>
          <w:sz w:val="32"/>
          <w:szCs w:val="32"/>
        </w:rPr>
        <w:t>全年预算数</w:t>
      </w:r>
      <w:r>
        <w:rPr>
          <w:rFonts w:ascii="仿宋_GB2312" w:hAnsi="Times New Roman" w:eastAsia="仿宋_GB2312" w:cs="仿宋_GB2312"/>
          <w:kern w:val="0"/>
          <w:sz w:val="32"/>
          <w:szCs w:val="32"/>
        </w:rPr>
        <w:t>4.38万元，决算数4.38万元，预决算差异率0.00%，主要原因是：</w:t>
      </w:r>
      <w:bookmarkStart w:id="3" w:name="_Hlk110848692"/>
      <w:r>
        <w:rPr>
          <w:rFonts w:ascii="仿宋_GB2312" w:hAnsi="Times New Roman" w:eastAsia="仿宋_GB2312" w:cs="仿宋_GB2312"/>
          <w:kern w:val="0"/>
          <w:sz w:val="32"/>
          <w:szCs w:val="32"/>
        </w:rPr>
        <w:t>单位严格执行“三公”经费支出标准，未超预算</w:t>
      </w:r>
      <w:bookmarkEnd w:id="3"/>
      <w:r>
        <w:rPr>
          <w:rFonts w:ascii="仿宋_GB2312" w:hAnsi="Times New Roman" w:eastAsia="仿宋_GB2312" w:cs="仿宋_GB2312"/>
          <w:kern w:val="0"/>
          <w:sz w:val="32"/>
          <w:szCs w:val="32"/>
        </w:rPr>
        <w:t>。其中：因公出国（境）费全年预算数0.00万元，决算数0.00万元，预决算差异率0.00%，主要原因是：本年单位无因公出国（境）费支出；公务用车购置费全年预算数0.00万元，决算数0.00万元，预决算差异率0.00%，主要原因是：本年单位无此项支出；公务用车运行费全年预算数4.38万元，决算数4.38万元，预决算差异率0.00%，主要原因是：单位严格执行“三公”经费支出标准，未超预算；公务接待费全年预算数0.00万元，决算数0.00万元，预决算差异率0.00%，主要原因是：本年单位无此项支出。</w:t>
      </w:r>
    </w:p>
    <w:p>
      <w:pPr>
        <w:autoSpaceDE w:val="0"/>
        <w:autoSpaceDN w:val="0"/>
        <w:adjustRightInd w:val="0"/>
        <w:spacing w:line="360" w:lineRule="auto"/>
        <w:ind w:firstLine="640"/>
        <w:rPr>
          <w:rFonts w:hint="default" w:ascii="Times New Roman" w:hAnsi="Times New Roman" w:eastAsia="黑体"/>
          <w:sz w:val="32"/>
          <w:szCs w:val="32"/>
          <w:lang w:val="zh-CN"/>
        </w:rPr>
      </w:pPr>
      <w:r>
        <w:rPr>
          <w:rFonts w:ascii="黑体" w:hAnsi="Times New Roman" w:eastAsia="黑体" w:cs="黑体"/>
          <w:sz w:val="32"/>
          <w:szCs w:val="32"/>
          <w:lang w:val="zh-CN"/>
        </w:rPr>
        <w:t>八、政府性基金预算财政拨款收入支出决算情况说明</w:t>
      </w:r>
    </w:p>
    <w:p>
      <w:pPr>
        <w:shd w:val="clear" w:color="auto" w:fill="FFFFFF"/>
        <w:autoSpaceDE w:val="0"/>
        <w:autoSpaceDN w:val="0"/>
        <w:adjustRightInd w:val="0"/>
        <w:spacing w:line="360" w:lineRule="auto"/>
        <w:ind w:firstLine="640"/>
        <w:rPr>
          <w:rFonts w:hint="default" w:ascii="仿宋_GB2312" w:hAnsi="Times New Roman" w:eastAsia="仿宋_GB2312" w:cs="仿宋_GB2312"/>
          <w:kern w:val="0"/>
          <w:sz w:val="32"/>
          <w:szCs w:val="32"/>
        </w:rPr>
      </w:pPr>
      <w:r>
        <w:rPr>
          <w:rFonts w:ascii="仿宋_GB2312" w:hAnsi="Times New Roman" w:eastAsia="仿宋_GB2312" w:cs="仿宋_GB2312"/>
          <w:kern w:val="0"/>
          <w:sz w:val="32"/>
          <w:szCs w:val="32"/>
        </w:rPr>
        <w:t>我单位本年度无政府性基金预算财政拨款收入、支出及结转和结余，政府性基金预算财政拨款收入支出决算表为空表。</w:t>
      </w:r>
    </w:p>
    <w:p>
      <w:pPr>
        <w:autoSpaceDE w:val="0"/>
        <w:autoSpaceDN w:val="0"/>
        <w:adjustRightInd w:val="0"/>
        <w:spacing w:line="360" w:lineRule="auto"/>
        <w:ind w:firstLine="640"/>
        <w:rPr>
          <w:rFonts w:hint="default" w:ascii="Times New Roman" w:hAnsi="Times New Roman" w:eastAsia="黑体"/>
          <w:sz w:val="32"/>
          <w:szCs w:val="32"/>
          <w:lang w:val="zh-CN"/>
        </w:rPr>
      </w:pPr>
      <w:r>
        <w:rPr>
          <w:rFonts w:ascii="黑体" w:hAnsi="Times New Roman" w:eastAsia="黑体" w:cs="黑体"/>
          <w:sz w:val="32"/>
          <w:szCs w:val="32"/>
          <w:lang w:val="zh-CN"/>
        </w:rPr>
        <w:t>九、国有资本经营预算财政拨款收入支出决算情况说明</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ascii="仿宋_GB2312" w:hAnsi="Times New Roman" w:eastAsia="仿宋_GB2312" w:cs="仿宋_GB2312"/>
          <w:kern w:val="0"/>
          <w:sz w:val="32"/>
          <w:szCs w:val="32"/>
        </w:rPr>
        <w:t>我单位本年度无国有资本经营预算财政拨款收入、支出及结转和结余，国有资本经营预算财政拨款收入支出决算表为空表。</w:t>
      </w:r>
    </w:p>
    <w:p>
      <w:pPr>
        <w:autoSpaceDE w:val="0"/>
        <w:autoSpaceDN w:val="0"/>
        <w:adjustRightInd w:val="0"/>
        <w:spacing w:line="360" w:lineRule="auto"/>
        <w:ind w:firstLine="640"/>
        <w:rPr>
          <w:rFonts w:hint="default" w:ascii="Times New Roman" w:hAnsi="Times New Roman" w:eastAsia="黑体"/>
          <w:sz w:val="32"/>
          <w:szCs w:val="32"/>
          <w:lang w:val="zh-CN"/>
        </w:rPr>
      </w:pPr>
      <w:r>
        <w:rPr>
          <w:rFonts w:ascii="黑体" w:hAnsi="Times New Roman" w:eastAsia="黑体" w:cs="黑体"/>
          <w:sz w:val="32"/>
          <w:szCs w:val="32"/>
          <w:lang w:val="zh-CN"/>
        </w:rPr>
        <w:t>十、其他重要事项的情况说明</w:t>
      </w:r>
    </w:p>
    <w:p>
      <w:pPr>
        <w:autoSpaceDE w:val="0"/>
        <w:autoSpaceDN w:val="0"/>
        <w:adjustRightInd w:val="0"/>
        <w:spacing w:line="360" w:lineRule="auto"/>
        <w:ind w:firstLine="640"/>
        <w:rPr>
          <w:rFonts w:hint="default" w:ascii="Times New Roman" w:hAnsi="Times New Roman" w:eastAsia="黑体"/>
          <w:sz w:val="32"/>
          <w:szCs w:val="32"/>
          <w:lang w:val="zh-CN"/>
        </w:rPr>
      </w:pPr>
      <w:r>
        <w:rPr>
          <w:rFonts w:ascii="黑体" w:hAnsi="Times New Roman" w:eastAsia="黑体" w:cs="黑体"/>
          <w:sz w:val="32"/>
          <w:szCs w:val="32"/>
          <w:lang w:val="zh-CN"/>
        </w:rPr>
        <w:t xml:space="preserve">（一）机关运行经费支出情况 </w:t>
      </w:r>
    </w:p>
    <w:p>
      <w:pPr>
        <w:autoSpaceDE w:val="0"/>
        <w:autoSpaceDN w:val="0"/>
        <w:adjustRightInd w:val="0"/>
        <w:spacing w:line="360" w:lineRule="auto"/>
        <w:ind w:firstLine="640"/>
        <w:rPr>
          <w:rFonts w:hint="default" w:ascii="Times New Roman" w:hAnsi="Times New Roman" w:eastAsia="仿宋_GB2312"/>
          <w:kern w:val="0"/>
          <w:sz w:val="32"/>
          <w:szCs w:val="32"/>
        </w:rPr>
      </w:pPr>
      <w:r>
        <w:rPr>
          <w:rFonts w:ascii="仿宋_GB2312" w:hAnsi="Times New Roman" w:eastAsia="仿宋_GB2312" w:cs="仿宋_GB2312"/>
          <w:kern w:val="0"/>
          <w:sz w:val="32"/>
          <w:szCs w:val="32"/>
        </w:rPr>
        <w:t>2022年度乌鲁木齐市米东区职业中等专业学校单位公用经费134.73万元，比上年减少92.63万元，下降40.74%，主要原因是：本年单位劳务费、工会经费、福利费、公务用车运行维护费较上年减少。</w:t>
      </w:r>
    </w:p>
    <w:p>
      <w:pPr>
        <w:autoSpaceDE w:val="0"/>
        <w:autoSpaceDN w:val="0"/>
        <w:adjustRightInd w:val="0"/>
        <w:spacing w:line="360" w:lineRule="auto"/>
        <w:ind w:firstLine="640"/>
        <w:rPr>
          <w:rFonts w:hint="default" w:ascii="Times New Roman" w:hAnsi="Times New Roman" w:eastAsia="黑体"/>
          <w:sz w:val="32"/>
          <w:szCs w:val="32"/>
        </w:rPr>
      </w:pPr>
      <w:r>
        <w:rPr>
          <w:rFonts w:ascii="黑体" w:hAnsi="Times New Roman" w:eastAsia="黑体" w:cs="黑体"/>
          <w:sz w:val="32"/>
          <w:szCs w:val="32"/>
        </w:rPr>
        <w:t>（</w:t>
      </w:r>
      <w:r>
        <w:rPr>
          <w:rFonts w:ascii="黑体" w:hAnsi="Times New Roman" w:eastAsia="黑体" w:cs="黑体"/>
          <w:sz w:val="32"/>
          <w:szCs w:val="32"/>
          <w:lang w:val="zh-CN"/>
        </w:rPr>
        <w:t>二</w:t>
      </w:r>
      <w:r>
        <w:rPr>
          <w:rFonts w:ascii="黑体" w:hAnsi="Times New Roman" w:eastAsia="黑体" w:cs="黑体"/>
          <w:sz w:val="32"/>
          <w:szCs w:val="32"/>
        </w:rPr>
        <w:t>）</w:t>
      </w:r>
      <w:r>
        <w:rPr>
          <w:rFonts w:ascii="黑体" w:hAnsi="Times New Roman" w:eastAsia="黑体" w:cs="黑体"/>
          <w:sz w:val="32"/>
          <w:szCs w:val="32"/>
          <w:lang w:val="zh-CN"/>
        </w:rPr>
        <w:t>政府采购情况</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ascii="仿宋_GB2312" w:hAnsi="Times New Roman" w:eastAsia="仿宋_GB2312" w:cs="仿宋_GB2312"/>
          <w:kern w:val="0"/>
          <w:sz w:val="32"/>
          <w:szCs w:val="32"/>
        </w:rPr>
        <w:t>2022年度政府采购支出总额0.00万元，其中：政府采购货物支出0.00万元、政府采购工程支出0.00万元、政府采购服务支出0.00万元。</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ascii="仿宋_GB2312" w:hAnsi="Times New Roman" w:eastAsia="仿宋_GB2312" w:cs="仿宋_GB2312"/>
          <w:kern w:val="0"/>
          <w:sz w:val="32"/>
          <w:szCs w:val="32"/>
        </w:rPr>
        <w:t>授予中小企业合同金额0.00万元，占政府采购支出总额的0.00%，其中：授予小微企业合同金额0.00万元，占政府采购支出总额的0.00%。</w:t>
      </w:r>
    </w:p>
    <w:p>
      <w:pPr>
        <w:autoSpaceDE w:val="0"/>
        <w:autoSpaceDN w:val="0"/>
        <w:adjustRightInd w:val="0"/>
        <w:spacing w:line="360" w:lineRule="auto"/>
        <w:ind w:firstLine="640"/>
        <w:rPr>
          <w:rFonts w:hint="default" w:ascii="Times New Roman" w:hAnsi="Times New Roman" w:eastAsia="黑体"/>
          <w:sz w:val="32"/>
          <w:szCs w:val="32"/>
          <w:lang w:val="zh-CN"/>
        </w:rPr>
      </w:pPr>
      <w:r>
        <w:rPr>
          <w:rFonts w:ascii="黑体" w:hAnsi="Times New Roman" w:eastAsia="黑体" w:cs="黑体"/>
          <w:sz w:val="32"/>
          <w:szCs w:val="32"/>
          <w:lang w:val="zh-CN"/>
        </w:rPr>
        <w:t>（三）国有资产占用情况说明</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ascii="仿宋_GB2312" w:hAnsi="Times New Roman" w:eastAsia="仿宋_GB2312" w:cs="仿宋_GB2312"/>
          <w:kern w:val="0"/>
          <w:sz w:val="32"/>
          <w:szCs w:val="32"/>
        </w:rPr>
        <w:t>截止2022年12月31日，</w:t>
      </w:r>
      <w:r>
        <w:rPr>
          <w:rFonts w:ascii="仿宋_GB2312" w:hAnsi="Times New Roman" w:eastAsia="仿宋_GB2312" w:cs="仿宋_GB2312"/>
          <w:sz w:val="32"/>
          <w:szCs w:val="32"/>
        </w:rPr>
        <w:t>固定资产原值</w:t>
      </w:r>
      <w:r>
        <w:rPr>
          <w:rFonts w:ascii="仿宋_GB2312" w:hAnsi="Times New Roman" w:eastAsia="仿宋_GB2312" w:cs="仿宋_GB2312"/>
          <w:kern w:val="0"/>
          <w:sz w:val="32"/>
          <w:szCs w:val="32"/>
        </w:rPr>
        <w:t>7,438.51</w:t>
      </w:r>
      <w:r>
        <w:rPr>
          <w:rFonts w:ascii="仿宋_GB2312" w:hAnsi="Times New Roman" w:eastAsia="仿宋_GB2312" w:cs="仿宋_GB2312"/>
          <w:sz w:val="32"/>
          <w:szCs w:val="32"/>
        </w:rPr>
        <w:t>万元，</w:t>
      </w:r>
      <w:r>
        <w:rPr>
          <w:rFonts w:ascii="仿宋_GB2312" w:hAnsi="Times New Roman" w:eastAsia="仿宋_GB2312" w:cs="仿宋_GB2312"/>
          <w:kern w:val="0"/>
          <w:sz w:val="32"/>
          <w:szCs w:val="32"/>
        </w:rPr>
        <w:t>房屋23,879.78平方米，价值4,272.09万元。车辆4辆，价值60.62万元，其中：副部（省）级及以上领导用车0辆、主要领导干部用车1辆、机要通信用车0辆、应急保障用车0辆、执法执勤用车0辆、特种专业技术用车0辆、离退休干部用车0辆、其他用车3辆，其他用车主要是：1辆巡逻车、2辆业务用车；单价100</w:t>
      </w:r>
      <w:r>
        <w:rPr>
          <w:rFonts w:ascii="仿宋_GB2312" w:hAnsi="Times New Roman" w:eastAsia="仿宋_GB2312" w:cs="仿宋_GB2312"/>
          <w:sz w:val="32"/>
          <w:szCs w:val="32"/>
        </w:rPr>
        <w:t>万元（含）以上设备（不含车辆）</w:t>
      </w:r>
      <w:r>
        <w:rPr>
          <w:rFonts w:ascii="仿宋_GB2312" w:hAnsi="Times New Roman" w:eastAsia="仿宋_GB2312" w:cs="仿宋_GB2312"/>
          <w:kern w:val="0"/>
          <w:sz w:val="32"/>
          <w:szCs w:val="32"/>
        </w:rPr>
        <w:t>0台（套）。</w:t>
      </w:r>
    </w:p>
    <w:p>
      <w:pPr>
        <w:autoSpaceDE w:val="0"/>
        <w:autoSpaceDN w:val="0"/>
        <w:adjustRightInd w:val="0"/>
        <w:spacing w:line="360" w:lineRule="auto"/>
        <w:ind w:firstLine="640"/>
        <w:rPr>
          <w:rFonts w:hint="default" w:ascii="Times New Roman" w:hAnsi="Times New Roman" w:eastAsia="黑体"/>
          <w:sz w:val="32"/>
          <w:szCs w:val="32"/>
          <w:lang w:val="zh-CN"/>
        </w:rPr>
      </w:pPr>
      <w:r>
        <w:rPr>
          <w:rFonts w:ascii="黑体" w:hAnsi="Times New Roman" w:eastAsia="黑体" w:cs="黑体"/>
          <w:sz w:val="32"/>
          <w:szCs w:val="32"/>
          <w:lang w:val="zh-CN"/>
        </w:rPr>
        <w:t>十一、预算绩效的情况说明</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ascii="仿宋_GB2312" w:hAnsi="Times New Roman" w:eastAsia="仿宋_GB2312" w:cs="仿宋_GB2312"/>
          <w:kern w:val="0"/>
          <w:sz w:val="32"/>
          <w:szCs w:val="32"/>
        </w:rPr>
        <w:t>根据预算绩效管理要求，我单位2022年度开展预算绩效评价项目5个，</w:t>
      </w:r>
      <w:r>
        <w:rPr>
          <w:rFonts w:ascii="仿宋_GB2312" w:hAnsi="Times New Roman" w:eastAsia="仿宋_GB2312" w:cs="仿宋_GB2312"/>
          <w:sz w:val="32"/>
          <w:szCs w:val="32"/>
        </w:rPr>
        <w:t>全年预算数</w:t>
      </w:r>
      <w:r>
        <w:rPr>
          <w:rFonts w:ascii="仿宋_GB2312" w:hAnsi="Times New Roman" w:eastAsia="仿宋_GB2312" w:cs="仿宋_GB2312"/>
          <w:kern w:val="0"/>
          <w:sz w:val="32"/>
          <w:szCs w:val="32"/>
        </w:rPr>
        <w:t>136.29</w:t>
      </w:r>
      <w:r>
        <w:rPr>
          <w:rFonts w:ascii="仿宋_GB2312" w:hAnsi="Times New Roman" w:eastAsia="仿宋_GB2312" w:cs="仿宋_GB2312"/>
          <w:sz w:val="32"/>
          <w:szCs w:val="32"/>
        </w:rPr>
        <w:t>万元，全年执行数</w:t>
      </w:r>
      <w:r>
        <w:rPr>
          <w:rFonts w:ascii="仿宋_GB2312" w:hAnsi="Times New Roman" w:eastAsia="仿宋_GB2312" w:cs="仿宋_GB2312"/>
          <w:kern w:val="0"/>
          <w:sz w:val="32"/>
          <w:szCs w:val="32"/>
        </w:rPr>
        <w:t>97.46</w:t>
      </w:r>
      <w:r>
        <w:rPr>
          <w:rFonts w:ascii="仿宋_GB2312" w:hAnsi="Times New Roman" w:eastAsia="仿宋_GB2312" w:cs="仿宋_GB2312"/>
          <w:sz w:val="32"/>
          <w:szCs w:val="32"/>
        </w:rPr>
        <w:t>万元。</w:t>
      </w:r>
      <w:r>
        <w:rPr>
          <w:rFonts w:ascii="仿宋_GB2312" w:hAnsi="Times New Roman" w:eastAsia="仿宋_GB2312" w:cs="仿宋_GB2312"/>
          <w:kern w:val="0"/>
          <w:sz w:val="32"/>
          <w:szCs w:val="32"/>
        </w:rPr>
        <w:t>预算绩效管理取得的成效：一是确保学生得到资助，完成学业；二是保障学校外聘教师补助支出及公用经费支出，保障学校正常运转。发现的问题及原因：一是资金到位不及时或者单位专项采购招标手续战线长，资金支付不同步；二是科学合理编制预算，严格执行预算，因我单位财务管理人力不足和临时性的中心工作比较多，导致单位项目支出与基本支出不准或预算支出实际出现较小的偏差。下一步改进措施：一是合理全面综合考虑具体情况做预算支出，按预算支出完成预算目标；二是进一步规范财务管理制度，与各部门及时沟通，及时跟进项目，及时支出并实际支出同步，进一步规范账务核算，提高财务信息质量。具体项目自评情况附项目支出绩效自评表。</w:t>
      </w:r>
    </w:p>
    <w:tbl>
      <w:tblPr>
        <w:tblStyle w:val="4"/>
        <w:tblW w:w="4844" w:type="pct"/>
        <w:jc w:val="center"/>
        <w:tblLayout w:type="fixed"/>
        <w:tblCellMar>
          <w:top w:w="0" w:type="dxa"/>
          <w:left w:w="108" w:type="dxa"/>
          <w:bottom w:w="0" w:type="dxa"/>
          <w:right w:w="108" w:type="dxa"/>
        </w:tblCellMar>
      </w:tblPr>
      <w:tblGrid>
        <w:gridCol w:w="771"/>
        <w:gridCol w:w="951"/>
        <w:gridCol w:w="925"/>
        <w:gridCol w:w="1543"/>
        <w:gridCol w:w="733"/>
        <w:gridCol w:w="842"/>
        <w:gridCol w:w="592"/>
        <w:gridCol w:w="888"/>
        <w:gridCol w:w="1335"/>
      </w:tblGrid>
      <w:tr>
        <w:tblPrEx>
          <w:tblCellMar>
            <w:top w:w="0" w:type="dxa"/>
            <w:left w:w="108" w:type="dxa"/>
            <w:bottom w:w="0" w:type="dxa"/>
            <w:right w:w="108" w:type="dxa"/>
          </w:tblCellMar>
        </w:tblPrEx>
        <w:trPr>
          <w:trHeight w:val="405" w:hRule="atLeast"/>
          <w:jc w:val="center"/>
        </w:trPr>
        <w:tc>
          <w:tcPr>
            <w:tcW w:w="8257" w:type="dxa"/>
            <w:gridSpan w:val="9"/>
            <w:tcBorders>
              <w:top w:val="nil"/>
              <w:left w:val="nil"/>
              <w:bottom w:val="nil"/>
              <w:right w:val="nil"/>
            </w:tcBorders>
            <w:shd w:val="clear" w:color="auto" w:fill="auto"/>
            <w:vAlign w:val="center"/>
          </w:tcPr>
          <w:p>
            <w:pPr>
              <w:widowControl/>
              <w:jc w:val="center"/>
              <w:rPr>
                <w:rFonts w:hint="default" w:ascii="宋体" w:hAnsi="宋体" w:eastAsia="宋体" w:cs="宋体"/>
                <w:b/>
                <w:bCs/>
                <w:color w:val="000000"/>
                <w:kern w:val="0"/>
                <w:sz w:val="32"/>
                <w:szCs w:val="32"/>
              </w:rPr>
            </w:pPr>
            <w:r>
              <w:rPr>
                <w:rFonts w:ascii="宋体" w:hAnsi="宋体" w:eastAsia="宋体" w:cs="宋体"/>
                <w:b/>
                <w:bCs/>
                <w:color w:val="000000"/>
                <w:kern w:val="0"/>
                <w:sz w:val="32"/>
                <w:szCs w:val="32"/>
              </w:rPr>
              <w:t>项目支出绩效自评表</w:t>
            </w:r>
          </w:p>
        </w:tc>
      </w:tr>
      <w:tr>
        <w:tblPrEx>
          <w:tblCellMar>
            <w:top w:w="0" w:type="dxa"/>
            <w:left w:w="108" w:type="dxa"/>
            <w:bottom w:w="0" w:type="dxa"/>
            <w:right w:w="108" w:type="dxa"/>
          </w:tblCellMar>
        </w:tblPrEx>
        <w:trPr>
          <w:trHeight w:val="270" w:hRule="atLeast"/>
          <w:jc w:val="center"/>
        </w:trPr>
        <w:tc>
          <w:tcPr>
            <w:tcW w:w="8257" w:type="dxa"/>
            <w:gridSpan w:val="9"/>
            <w:tcBorders>
              <w:top w:val="nil"/>
              <w:left w:val="nil"/>
              <w:bottom w:val="nil"/>
              <w:right w:val="nil"/>
            </w:tcBorders>
            <w:shd w:val="clear" w:color="auto" w:fill="auto"/>
            <w:vAlign w:val="center"/>
          </w:tcPr>
          <w:p>
            <w:pPr>
              <w:widowControl/>
              <w:jc w:val="center"/>
              <w:rPr>
                <w:rFonts w:hint="default" w:ascii="宋体" w:hAnsi="宋体" w:eastAsia="宋体" w:cs="宋体"/>
                <w:color w:val="000000"/>
                <w:kern w:val="0"/>
                <w:sz w:val="20"/>
                <w:szCs w:val="20"/>
              </w:rPr>
            </w:pPr>
            <w:r>
              <w:rPr>
                <w:rFonts w:ascii="宋体" w:hAnsi="宋体" w:eastAsia="宋体" w:cs="宋体"/>
                <w:color w:val="000000"/>
                <w:kern w:val="0"/>
                <w:sz w:val="20"/>
                <w:szCs w:val="20"/>
              </w:rPr>
              <w:t>(2022年度)</w:t>
            </w:r>
          </w:p>
        </w:tc>
      </w:tr>
      <w:tr>
        <w:tblPrEx>
          <w:tblCellMar>
            <w:top w:w="0" w:type="dxa"/>
            <w:left w:w="108" w:type="dxa"/>
            <w:bottom w:w="0" w:type="dxa"/>
            <w:right w:w="108" w:type="dxa"/>
          </w:tblCellMar>
        </w:tblPrEx>
        <w:trPr>
          <w:trHeight w:val="398" w:hRule="atLeast"/>
          <w:jc w:val="center"/>
        </w:trPr>
        <w:tc>
          <w:tcPr>
            <w:tcW w:w="16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项目名称</w:t>
            </w:r>
          </w:p>
        </w:tc>
        <w:tc>
          <w:tcPr>
            <w:tcW w:w="6600" w:type="dxa"/>
            <w:gridSpan w:val="7"/>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关于提前下达2022年教育直达资金的通知</w:t>
            </w:r>
          </w:p>
        </w:tc>
      </w:tr>
      <w:tr>
        <w:tblPrEx>
          <w:tblCellMar>
            <w:top w:w="0" w:type="dxa"/>
            <w:left w:w="108" w:type="dxa"/>
            <w:bottom w:w="0" w:type="dxa"/>
            <w:right w:w="108" w:type="dxa"/>
          </w:tblCellMar>
        </w:tblPrEx>
        <w:trPr>
          <w:trHeight w:val="398" w:hRule="atLeast"/>
          <w:jc w:val="center"/>
        </w:trPr>
        <w:tc>
          <w:tcPr>
            <w:tcW w:w="16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主管部门</w:t>
            </w:r>
          </w:p>
        </w:tc>
        <w:tc>
          <w:tcPr>
            <w:tcW w:w="3080"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职业中等专业学校</w:t>
            </w:r>
          </w:p>
        </w:tc>
        <w:tc>
          <w:tcPr>
            <w:tcW w:w="81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实施单位</w:t>
            </w:r>
          </w:p>
        </w:tc>
        <w:tc>
          <w:tcPr>
            <w:tcW w:w="2710"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职业中等专业学校</w:t>
            </w:r>
          </w:p>
        </w:tc>
      </w:tr>
      <w:tr>
        <w:tblPrEx>
          <w:tblCellMar>
            <w:top w:w="0" w:type="dxa"/>
            <w:left w:w="108" w:type="dxa"/>
            <w:bottom w:w="0" w:type="dxa"/>
            <w:right w:w="108" w:type="dxa"/>
          </w:tblCellMar>
        </w:tblPrEx>
        <w:trPr>
          <w:trHeight w:val="398" w:hRule="atLeast"/>
          <w:jc w:val="center"/>
        </w:trPr>
        <w:tc>
          <w:tcPr>
            <w:tcW w:w="165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项目资金</w:t>
            </w:r>
          </w:p>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（万元）</w:t>
            </w:r>
          </w:p>
        </w:tc>
        <w:tc>
          <w:tcPr>
            <w:tcW w:w="89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c>
          <w:tcPr>
            <w:tcW w:w="1485"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年初预算数</w:t>
            </w:r>
          </w:p>
        </w:tc>
        <w:tc>
          <w:tcPr>
            <w:tcW w:w="70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全年预算数</w:t>
            </w:r>
          </w:p>
        </w:tc>
        <w:tc>
          <w:tcPr>
            <w:tcW w:w="81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全年执行数</w:t>
            </w:r>
          </w:p>
        </w:tc>
        <w:tc>
          <w:tcPr>
            <w:tcW w:w="57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分值</w:t>
            </w:r>
          </w:p>
        </w:tc>
        <w:tc>
          <w:tcPr>
            <w:tcW w:w="85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执行率</w:t>
            </w:r>
          </w:p>
        </w:tc>
        <w:tc>
          <w:tcPr>
            <w:tcW w:w="1285"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得分</w:t>
            </w:r>
          </w:p>
        </w:tc>
      </w:tr>
      <w:tr>
        <w:tblPrEx>
          <w:tblCellMar>
            <w:top w:w="0" w:type="dxa"/>
            <w:left w:w="108" w:type="dxa"/>
            <w:bottom w:w="0" w:type="dxa"/>
            <w:right w:w="108" w:type="dxa"/>
          </w:tblCellMar>
        </w:tblPrEx>
        <w:trPr>
          <w:trHeight w:val="398" w:hRule="atLeast"/>
          <w:jc w:val="center"/>
        </w:trPr>
        <w:tc>
          <w:tcPr>
            <w:tcW w:w="165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18"/>
                <w:szCs w:val="18"/>
              </w:rPr>
            </w:pPr>
          </w:p>
        </w:tc>
        <w:tc>
          <w:tcPr>
            <w:tcW w:w="89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年度资金总额</w:t>
            </w:r>
          </w:p>
        </w:tc>
        <w:tc>
          <w:tcPr>
            <w:tcW w:w="1485"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0.00</w:t>
            </w:r>
          </w:p>
        </w:tc>
        <w:tc>
          <w:tcPr>
            <w:tcW w:w="70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10.89</w:t>
            </w:r>
          </w:p>
        </w:tc>
        <w:tc>
          <w:tcPr>
            <w:tcW w:w="81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10.89</w:t>
            </w:r>
          </w:p>
        </w:tc>
        <w:tc>
          <w:tcPr>
            <w:tcW w:w="57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10</w:t>
            </w:r>
          </w:p>
        </w:tc>
        <w:tc>
          <w:tcPr>
            <w:tcW w:w="85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100.00%</w:t>
            </w:r>
          </w:p>
        </w:tc>
        <w:tc>
          <w:tcPr>
            <w:tcW w:w="1285"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10.00分</w:t>
            </w:r>
          </w:p>
        </w:tc>
      </w:tr>
      <w:tr>
        <w:tblPrEx>
          <w:tblCellMar>
            <w:top w:w="0" w:type="dxa"/>
            <w:left w:w="108" w:type="dxa"/>
            <w:bottom w:w="0" w:type="dxa"/>
            <w:right w:w="108" w:type="dxa"/>
          </w:tblCellMar>
        </w:tblPrEx>
        <w:trPr>
          <w:trHeight w:val="398" w:hRule="atLeast"/>
          <w:jc w:val="center"/>
        </w:trPr>
        <w:tc>
          <w:tcPr>
            <w:tcW w:w="165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18"/>
                <w:szCs w:val="18"/>
              </w:rPr>
            </w:pPr>
          </w:p>
        </w:tc>
        <w:tc>
          <w:tcPr>
            <w:tcW w:w="89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其中：当年财政拨款</w:t>
            </w:r>
          </w:p>
        </w:tc>
        <w:tc>
          <w:tcPr>
            <w:tcW w:w="1485"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0.00</w:t>
            </w:r>
          </w:p>
        </w:tc>
        <w:tc>
          <w:tcPr>
            <w:tcW w:w="70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10.89</w:t>
            </w:r>
          </w:p>
        </w:tc>
        <w:tc>
          <w:tcPr>
            <w:tcW w:w="81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10.89</w:t>
            </w:r>
          </w:p>
        </w:tc>
        <w:tc>
          <w:tcPr>
            <w:tcW w:w="57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w:t>
            </w:r>
          </w:p>
        </w:tc>
        <w:tc>
          <w:tcPr>
            <w:tcW w:w="85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w:t>
            </w:r>
          </w:p>
        </w:tc>
        <w:tc>
          <w:tcPr>
            <w:tcW w:w="1285"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w:t>
            </w:r>
          </w:p>
        </w:tc>
      </w:tr>
      <w:tr>
        <w:tblPrEx>
          <w:tblCellMar>
            <w:top w:w="0" w:type="dxa"/>
            <w:left w:w="108" w:type="dxa"/>
            <w:bottom w:w="0" w:type="dxa"/>
            <w:right w:w="108" w:type="dxa"/>
          </w:tblCellMar>
        </w:tblPrEx>
        <w:trPr>
          <w:trHeight w:val="398" w:hRule="atLeast"/>
          <w:jc w:val="center"/>
        </w:trPr>
        <w:tc>
          <w:tcPr>
            <w:tcW w:w="165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18"/>
                <w:szCs w:val="18"/>
              </w:rPr>
            </w:pPr>
          </w:p>
        </w:tc>
        <w:tc>
          <w:tcPr>
            <w:tcW w:w="89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上年结转资金</w:t>
            </w:r>
          </w:p>
        </w:tc>
        <w:tc>
          <w:tcPr>
            <w:tcW w:w="14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0</w:t>
            </w:r>
          </w:p>
        </w:tc>
        <w:tc>
          <w:tcPr>
            <w:tcW w:w="70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0</w:t>
            </w:r>
          </w:p>
        </w:tc>
        <w:tc>
          <w:tcPr>
            <w:tcW w:w="81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0</w:t>
            </w:r>
          </w:p>
        </w:tc>
        <w:tc>
          <w:tcPr>
            <w:tcW w:w="57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w:t>
            </w:r>
          </w:p>
        </w:tc>
        <w:tc>
          <w:tcPr>
            <w:tcW w:w="85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w:t>
            </w:r>
          </w:p>
        </w:tc>
        <w:tc>
          <w:tcPr>
            <w:tcW w:w="1285"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w:t>
            </w:r>
          </w:p>
        </w:tc>
      </w:tr>
      <w:tr>
        <w:tblPrEx>
          <w:tblCellMar>
            <w:top w:w="0" w:type="dxa"/>
            <w:left w:w="108" w:type="dxa"/>
            <w:bottom w:w="0" w:type="dxa"/>
            <w:right w:w="108" w:type="dxa"/>
          </w:tblCellMar>
        </w:tblPrEx>
        <w:trPr>
          <w:trHeight w:val="398" w:hRule="atLeast"/>
          <w:jc w:val="center"/>
        </w:trPr>
        <w:tc>
          <w:tcPr>
            <w:tcW w:w="165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18"/>
                <w:szCs w:val="18"/>
              </w:rPr>
            </w:pPr>
          </w:p>
        </w:tc>
        <w:tc>
          <w:tcPr>
            <w:tcW w:w="89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其他资金</w:t>
            </w:r>
          </w:p>
        </w:tc>
        <w:tc>
          <w:tcPr>
            <w:tcW w:w="148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0</w:t>
            </w:r>
          </w:p>
        </w:tc>
        <w:tc>
          <w:tcPr>
            <w:tcW w:w="70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0</w:t>
            </w:r>
          </w:p>
        </w:tc>
        <w:tc>
          <w:tcPr>
            <w:tcW w:w="81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0</w:t>
            </w:r>
          </w:p>
        </w:tc>
        <w:tc>
          <w:tcPr>
            <w:tcW w:w="57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w:t>
            </w:r>
          </w:p>
        </w:tc>
        <w:tc>
          <w:tcPr>
            <w:tcW w:w="85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w:t>
            </w:r>
          </w:p>
        </w:tc>
        <w:tc>
          <w:tcPr>
            <w:tcW w:w="1285"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w:t>
            </w:r>
          </w:p>
        </w:tc>
      </w:tr>
      <w:tr>
        <w:tblPrEx>
          <w:tblCellMar>
            <w:top w:w="0" w:type="dxa"/>
            <w:left w:w="108" w:type="dxa"/>
            <w:bottom w:w="0" w:type="dxa"/>
            <w:right w:w="108" w:type="dxa"/>
          </w:tblCellMar>
        </w:tblPrEx>
        <w:trPr>
          <w:trHeight w:val="398" w:hRule="atLeast"/>
          <w:jc w:val="center"/>
        </w:trPr>
        <w:tc>
          <w:tcPr>
            <w:tcW w:w="74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年度总体目标</w:t>
            </w:r>
          </w:p>
        </w:tc>
        <w:tc>
          <w:tcPr>
            <w:tcW w:w="3995"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预期目标</w:t>
            </w:r>
          </w:p>
        </w:tc>
        <w:tc>
          <w:tcPr>
            <w:tcW w:w="352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实际完成情况</w:t>
            </w:r>
          </w:p>
        </w:tc>
      </w:tr>
      <w:tr>
        <w:tblPrEx>
          <w:tblCellMar>
            <w:top w:w="0" w:type="dxa"/>
            <w:left w:w="108" w:type="dxa"/>
            <w:bottom w:w="0" w:type="dxa"/>
            <w:right w:w="108" w:type="dxa"/>
          </w:tblCellMar>
        </w:tblPrEx>
        <w:trPr>
          <w:trHeight w:val="398" w:hRule="atLeast"/>
          <w:jc w:val="center"/>
        </w:trPr>
        <w:tc>
          <w:tcPr>
            <w:tcW w:w="742" w:type="dxa"/>
            <w:vMerge w:val="continue"/>
            <w:tcBorders>
              <w:top w:val="nil"/>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18"/>
                <w:szCs w:val="18"/>
              </w:rPr>
            </w:pPr>
          </w:p>
        </w:tc>
        <w:tc>
          <w:tcPr>
            <w:tcW w:w="3995"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对建档立卡户、经济困难学生进行资助，减轻家庭困难学生的生活负担，帮助学生顺利完成学业。</w:t>
            </w:r>
          </w:p>
        </w:tc>
        <w:tc>
          <w:tcPr>
            <w:tcW w:w="352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实际完成助学金发放1.89万元，免学费资金使用9万元，用于公用经费支出。</w:t>
            </w:r>
          </w:p>
        </w:tc>
      </w:tr>
      <w:tr>
        <w:tblPrEx>
          <w:tblCellMar>
            <w:top w:w="0" w:type="dxa"/>
            <w:left w:w="108" w:type="dxa"/>
            <w:bottom w:w="0" w:type="dxa"/>
            <w:right w:w="108" w:type="dxa"/>
          </w:tblCellMar>
        </w:tblPrEx>
        <w:trPr>
          <w:trHeight w:val="398" w:hRule="atLeast"/>
          <w:jc w:val="center"/>
        </w:trPr>
        <w:tc>
          <w:tcPr>
            <w:tcW w:w="742"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c>
          <w:tcPr>
            <w:tcW w:w="91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一级指标</w:t>
            </w:r>
          </w:p>
        </w:tc>
        <w:tc>
          <w:tcPr>
            <w:tcW w:w="89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二级指标</w:t>
            </w:r>
          </w:p>
        </w:tc>
        <w:tc>
          <w:tcPr>
            <w:tcW w:w="148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三级指标</w:t>
            </w:r>
          </w:p>
        </w:tc>
        <w:tc>
          <w:tcPr>
            <w:tcW w:w="70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年度指标值</w:t>
            </w:r>
          </w:p>
        </w:tc>
        <w:tc>
          <w:tcPr>
            <w:tcW w:w="81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实际完成值</w:t>
            </w:r>
          </w:p>
        </w:tc>
        <w:tc>
          <w:tcPr>
            <w:tcW w:w="57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分值</w:t>
            </w:r>
          </w:p>
        </w:tc>
        <w:tc>
          <w:tcPr>
            <w:tcW w:w="85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得分</w:t>
            </w:r>
          </w:p>
        </w:tc>
        <w:tc>
          <w:tcPr>
            <w:tcW w:w="128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偏差原因分析及改进措施</w:t>
            </w:r>
          </w:p>
        </w:tc>
      </w:tr>
      <w:tr>
        <w:tblPrEx>
          <w:tblCellMar>
            <w:top w:w="0" w:type="dxa"/>
            <w:left w:w="108" w:type="dxa"/>
            <w:bottom w:w="0" w:type="dxa"/>
            <w:right w:w="108" w:type="dxa"/>
          </w:tblCellMar>
        </w:tblPrEx>
        <w:trPr>
          <w:trHeight w:val="398" w:hRule="atLeast"/>
          <w:jc w:val="center"/>
        </w:trPr>
        <w:tc>
          <w:tcPr>
            <w:tcW w:w="742" w:type="dxa"/>
            <w:vMerge w:val="continue"/>
            <w:tcBorders>
              <w:top w:val="nil"/>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18"/>
                <w:szCs w:val="18"/>
              </w:rPr>
            </w:pPr>
          </w:p>
        </w:tc>
        <w:tc>
          <w:tcPr>
            <w:tcW w:w="915" w:type="dxa"/>
            <w:vMerge w:val="continue"/>
            <w:tcBorders>
              <w:top w:val="nil"/>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18"/>
                <w:szCs w:val="18"/>
              </w:rPr>
            </w:pPr>
          </w:p>
        </w:tc>
        <w:tc>
          <w:tcPr>
            <w:tcW w:w="890" w:type="dxa"/>
            <w:vMerge w:val="continue"/>
            <w:tcBorders>
              <w:top w:val="nil"/>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18"/>
                <w:szCs w:val="18"/>
              </w:rPr>
            </w:pPr>
          </w:p>
        </w:tc>
        <w:tc>
          <w:tcPr>
            <w:tcW w:w="148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18"/>
                <w:szCs w:val="18"/>
              </w:rPr>
            </w:pPr>
          </w:p>
        </w:tc>
        <w:tc>
          <w:tcPr>
            <w:tcW w:w="705" w:type="dxa"/>
            <w:vMerge w:val="continue"/>
            <w:tcBorders>
              <w:top w:val="nil"/>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18"/>
                <w:szCs w:val="18"/>
              </w:rPr>
            </w:pPr>
          </w:p>
        </w:tc>
        <w:tc>
          <w:tcPr>
            <w:tcW w:w="810" w:type="dxa"/>
            <w:vMerge w:val="continue"/>
            <w:tcBorders>
              <w:top w:val="nil"/>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18"/>
                <w:szCs w:val="18"/>
              </w:rPr>
            </w:pPr>
          </w:p>
        </w:tc>
        <w:tc>
          <w:tcPr>
            <w:tcW w:w="57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18"/>
                <w:szCs w:val="18"/>
              </w:rPr>
            </w:pPr>
          </w:p>
        </w:tc>
        <w:tc>
          <w:tcPr>
            <w:tcW w:w="85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18"/>
                <w:szCs w:val="18"/>
              </w:rPr>
            </w:pPr>
          </w:p>
        </w:tc>
        <w:tc>
          <w:tcPr>
            <w:tcW w:w="128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18"/>
                <w:szCs w:val="18"/>
              </w:rPr>
            </w:pPr>
          </w:p>
        </w:tc>
      </w:tr>
      <w:tr>
        <w:tblPrEx>
          <w:tblCellMar>
            <w:top w:w="0" w:type="dxa"/>
            <w:left w:w="108" w:type="dxa"/>
            <w:bottom w:w="0" w:type="dxa"/>
            <w:right w:w="108" w:type="dxa"/>
          </w:tblCellMar>
        </w:tblPrEx>
        <w:trPr>
          <w:trHeight w:val="398" w:hRule="atLeast"/>
          <w:jc w:val="center"/>
        </w:trPr>
        <w:tc>
          <w:tcPr>
            <w:tcW w:w="74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年度绩效指标完成情况</w:t>
            </w:r>
          </w:p>
        </w:tc>
        <w:tc>
          <w:tcPr>
            <w:tcW w:w="91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产出指标</w:t>
            </w:r>
          </w:p>
        </w:tc>
        <w:tc>
          <w:tcPr>
            <w:tcW w:w="8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数量指标</w:t>
            </w:r>
          </w:p>
        </w:tc>
        <w:tc>
          <w:tcPr>
            <w:tcW w:w="148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受助学生数量（助学金）</w:t>
            </w:r>
          </w:p>
        </w:tc>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&lt;=194人</w:t>
            </w:r>
          </w:p>
        </w:tc>
        <w:tc>
          <w:tcPr>
            <w:tcW w:w="8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194人</w:t>
            </w:r>
          </w:p>
        </w:tc>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10</w:t>
            </w: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10</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98" w:hRule="atLeast"/>
          <w:jc w:val="center"/>
        </w:trPr>
        <w:tc>
          <w:tcPr>
            <w:tcW w:w="74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18"/>
                <w:szCs w:val="18"/>
              </w:rPr>
            </w:pPr>
          </w:p>
        </w:tc>
        <w:tc>
          <w:tcPr>
            <w:tcW w:w="91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18"/>
                <w:szCs w:val="18"/>
              </w:rPr>
            </w:pPr>
          </w:p>
        </w:tc>
        <w:tc>
          <w:tcPr>
            <w:tcW w:w="8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数量指标</w:t>
            </w:r>
          </w:p>
        </w:tc>
        <w:tc>
          <w:tcPr>
            <w:tcW w:w="148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受助学生数量（免学费资金）</w:t>
            </w:r>
          </w:p>
        </w:tc>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&lt;=1049人</w:t>
            </w:r>
          </w:p>
        </w:tc>
        <w:tc>
          <w:tcPr>
            <w:tcW w:w="8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1049人</w:t>
            </w:r>
          </w:p>
        </w:tc>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10</w:t>
            </w: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10</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98" w:hRule="atLeast"/>
          <w:jc w:val="center"/>
        </w:trPr>
        <w:tc>
          <w:tcPr>
            <w:tcW w:w="74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18"/>
                <w:szCs w:val="18"/>
              </w:rPr>
            </w:pPr>
          </w:p>
        </w:tc>
        <w:tc>
          <w:tcPr>
            <w:tcW w:w="91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18"/>
                <w:szCs w:val="18"/>
              </w:rPr>
            </w:pPr>
          </w:p>
        </w:tc>
        <w:tc>
          <w:tcPr>
            <w:tcW w:w="8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质量指标</w:t>
            </w:r>
          </w:p>
        </w:tc>
        <w:tc>
          <w:tcPr>
            <w:tcW w:w="148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资金及时发放率</w:t>
            </w:r>
          </w:p>
        </w:tc>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=100%</w:t>
            </w:r>
          </w:p>
        </w:tc>
        <w:tc>
          <w:tcPr>
            <w:tcW w:w="8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100%</w:t>
            </w:r>
          </w:p>
        </w:tc>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10</w:t>
            </w: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10</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98" w:hRule="atLeast"/>
          <w:jc w:val="center"/>
        </w:trPr>
        <w:tc>
          <w:tcPr>
            <w:tcW w:w="74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18"/>
                <w:szCs w:val="18"/>
              </w:rPr>
            </w:pPr>
          </w:p>
        </w:tc>
        <w:tc>
          <w:tcPr>
            <w:tcW w:w="91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18"/>
                <w:szCs w:val="18"/>
              </w:rPr>
            </w:pPr>
          </w:p>
        </w:tc>
        <w:tc>
          <w:tcPr>
            <w:tcW w:w="8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时效指标</w:t>
            </w:r>
          </w:p>
        </w:tc>
        <w:tc>
          <w:tcPr>
            <w:tcW w:w="148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项目完成时间</w:t>
            </w:r>
          </w:p>
        </w:tc>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2022年1月-12月</w:t>
            </w:r>
          </w:p>
        </w:tc>
        <w:tc>
          <w:tcPr>
            <w:tcW w:w="8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2022年1月-12月</w:t>
            </w:r>
          </w:p>
        </w:tc>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10</w:t>
            </w: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10</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98" w:hRule="atLeast"/>
          <w:jc w:val="center"/>
        </w:trPr>
        <w:tc>
          <w:tcPr>
            <w:tcW w:w="74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18"/>
                <w:szCs w:val="18"/>
              </w:rPr>
            </w:pPr>
          </w:p>
        </w:tc>
        <w:tc>
          <w:tcPr>
            <w:tcW w:w="91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18"/>
                <w:szCs w:val="18"/>
              </w:rPr>
            </w:pPr>
          </w:p>
        </w:tc>
        <w:tc>
          <w:tcPr>
            <w:tcW w:w="8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成本指标</w:t>
            </w:r>
          </w:p>
        </w:tc>
        <w:tc>
          <w:tcPr>
            <w:tcW w:w="148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助学金生均标准</w:t>
            </w:r>
          </w:p>
        </w:tc>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&lt;=2000元/生/年</w:t>
            </w:r>
          </w:p>
        </w:tc>
        <w:tc>
          <w:tcPr>
            <w:tcW w:w="8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2000元/生/年</w:t>
            </w:r>
          </w:p>
        </w:tc>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5</w:t>
            </w: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5</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98" w:hRule="atLeast"/>
          <w:jc w:val="center"/>
        </w:trPr>
        <w:tc>
          <w:tcPr>
            <w:tcW w:w="74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18"/>
                <w:szCs w:val="18"/>
              </w:rPr>
            </w:pPr>
          </w:p>
        </w:tc>
        <w:tc>
          <w:tcPr>
            <w:tcW w:w="91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18"/>
                <w:szCs w:val="18"/>
              </w:rPr>
            </w:pPr>
          </w:p>
        </w:tc>
        <w:tc>
          <w:tcPr>
            <w:tcW w:w="8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成本指标</w:t>
            </w:r>
          </w:p>
        </w:tc>
        <w:tc>
          <w:tcPr>
            <w:tcW w:w="148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免学费生均标准</w:t>
            </w:r>
          </w:p>
        </w:tc>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=2000元/生/年</w:t>
            </w:r>
          </w:p>
        </w:tc>
        <w:tc>
          <w:tcPr>
            <w:tcW w:w="8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2000元/生/年</w:t>
            </w:r>
          </w:p>
        </w:tc>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5</w:t>
            </w: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5</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98" w:hRule="atLeast"/>
          <w:jc w:val="center"/>
        </w:trPr>
        <w:tc>
          <w:tcPr>
            <w:tcW w:w="74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18"/>
                <w:szCs w:val="18"/>
              </w:rPr>
            </w:pPr>
          </w:p>
        </w:tc>
        <w:tc>
          <w:tcPr>
            <w:tcW w:w="91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效益指标</w:t>
            </w:r>
          </w:p>
        </w:tc>
        <w:tc>
          <w:tcPr>
            <w:tcW w:w="8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经济效益指标</w:t>
            </w:r>
          </w:p>
        </w:tc>
        <w:tc>
          <w:tcPr>
            <w:tcW w:w="148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c>
          <w:tcPr>
            <w:tcW w:w="8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98" w:hRule="atLeast"/>
          <w:jc w:val="center"/>
        </w:trPr>
        <w:tc>
          <w:tcPr>
            <w:tcW w:w="74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18"/>
                <w:szCs w:val="18"/>
              </w:rPr>
            </w:pPr>
          </w:p>
        </w:tc>
        <w:tc>
          <w:tcPr>
            <w:tcW w:w="91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18"/>
                <w:szCs w:val="18"/>
              </w:rPr>
            </w:pPr>
          </w:p>
        </w:tc>
        <w:tc>
          <w:tcPr>
            <w:tcW w:w="8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社会效益指标</w:t>
            </w:r>
          </w:p>
        </w:tc>
        <w:tc>
          <w:tcPr>
            <w:tcW w:w="148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提高职业学校平均就业率、升学率</w:t>
            </w:r>
          </w:p>
        </w:tc>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显著提高</w:t>
            </w:r>
          </w:p>
        </w:tc>
        <w:tc>
          <w:tcPr>
            <w:tcW w:w="8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完全达到预期效果</w:t>
            </w:r>
          </w:p>
        </w:tc>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15</w:t>
            </w: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15</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98" w:hRule="atLeast"/>
          <w:jc w:val="center"/>
        </w:trPr>
        <w:tc>
          <w:tcPr>
            <w:tcW w:w="74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18"/>
                <w:szCs w:val="18"/>
              </w:rPr>
            </w:pPr>
          </w:p>
        </w:tc>
        <w:tc>
          <w:tcPr>
            <w:tcW w:w="91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18"/>
                <w:szCs w:val="18"/>
              </w:rPr>
            </w:pPr>
          </w:p>
        </w:tc>
        <w:tc>
          <w:tcPr>
            <w:tcW w:w="8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生态效益指标</w:t>
            </w:r>
          </w:p>
        </w:tc>
        <w:tc>
          <w:tcPr>
            <w:tcW w:w="148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c>
          <w:tcPr>
            <w:tcW w:w="8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98" w:hRule="atLeast"/>
          <w:jc w:val="center"/>
        </w:trPr>
        <w:tc>
          <w:tcPr>
            <w:tcW w:w="74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18"/>
                <w:szCs w:val="18"/>
              </w:rPr>
            </w:pPr>
          </w:p>
        </w:tc>
        <w:tc>
          <w:tcPr>
            <w:tcW w:w="91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18"/>
                <w:szCs w:val="18"/>
              </w:rPr>
            </w:pPr>
          </w:p>
        </w:tc>
        <w:tc>
          <w:tcPr>
            <w:tcW w:w="8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可持续影响指标</w:t>
            </w:r>
          </w:p>
        </w:tc>
        <w:tc>
          <w:tcPr>
            <w:tcW w:w="148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促进教育公平，提升中职吸引力</w:t>
            </w:r>
          </w:p>
        </w:tc>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长期促进</w:t>
            </w:r>
          </w:p>
        </w:tc>
        <w:tc>
          <w:tcPr>
            <w:tcW w:w="8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完全达到预期效果</w:t>
            </w:r>
          </w:p>
        </w:tc>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15</w:t>
            </w: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15</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98" w:hRule="atLeast"/>
          <w:jc w:val="center"/>
        </w:trPr>
        <w:tc>
          <w:tcPr>
            <w:tcW w:w="74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18"/>
                <w:szCs w:val="18"/>
              </w:rPr>
            </w:pPr>
          </w:p>
        </w:tc>
        <w:tc>
          <w:tcPr>
            <w:tcW w:w="91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满意度指标</w:t>
            </w:r>
          </w:p>
        </w:tc>
        <w:tc>
          <w:tcPr>
            <w:tcW w:w="8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满意度指标</w:t>
            </w:r>
          </w:p>
        </w:tc>
        <w:tc>
          <w:tcPr>
            <w:tcW w:w="148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学生满意度</w:t>
            </w:r>
          </w:p>
        </w:tc>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&gt;=90%</w:t>
            </w:r>
          </w:p>
        </w:tc>
        <w:tc>
          <w:tcPr>
            <w:tcW w:w="8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90%</w:t>
            </w:r>
          </w:p>
        </w:tc>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5</w:t>
            </w: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5</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98" w:hRule="atLeast"/>
          <w:jc w:val="center"/>
        </w:trPr>
        <w:tc>
          <w:tcPr>
            <w:tcW w:w="74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18"/>
                <w:szCs w:val="18"/>
              </w:rPr>
            </w:pPr>
          </w:p>
        </w:tc>
        <w:tc>
          <w:tcPr>
            <w:tcW w:w="91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18"/>
                <w:szCs w:val="18"/>
              </w:rPr>
            </w:pPr>
          </w:p>
        </w:tc>
        <w:tc>
          <w:tcPr>
            <w:tcW w:w="8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满意度指标</w:t>
            </w:r>
          </w:p>
        </w:tc>
        <w:tc>
          <w:tcPr>
            <w:tcW w:w="148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家长满意度</w:t>
            </w:r>
          </w:p>
        </w:tc>
        <w:tc>
          <w:tcPr>
            <w:tcW w:w="7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&gt;=90%</w:t>
            </w:r>
          </w:p>
        </w:tc>
        <w:tc>
          <w:tcPr>
            <w:tcW w:w="8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90%</w:t>
            </w:r>
          </w:p>
        </w:tc>
        <w:tc>
          <w:tcPr>
            <w:tcW w:w="57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5</w:t>
            </w: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5</w:t>
            </w:r>
          </w:p>
        </w:tc>
        <w:tc>
          <w:tcPr>
            <w:tcW w:w="12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98" w:hRule="atLeast"/>
          <w:jc w:val="center"/>
        </w:trPr>
        <w:tc>
          <w:tcPr>
            <w:tcW w:w="5547"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总分</w:t>
            </w:r>
          </w:p>
        </w:tc>
        <w:tc>
          <w:tcPr>
            <w:tcW w:w="57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100</w:t>
            </w:r>
          </w:p>
        </w:tc>
        <w:tc>
          <w:tcPr>
            <w:tcW w:w="85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100.00分</w:t>
            </w:r>
          </w:p>
        </w:tc>
        <w:tc>
          <w:tcPr>
            <w:tcW w:w="128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r>
    </w:tbl>
    <w:p>
      <w:pPr>
        <w:rPr>
          <w:rFonts w:hint="default"/>
          <w:sz w:val="18"/>
          <w:szCs w:val="18"/>
        </w:rPr>
      </w:pPr>
    </w:p>
    <w:p>
      <w:pPr>
        <w:rPr>
          <w:rFonts w:hint="default"/>
        </w:rPr>
      </w:pPr>
    </w:p>
    <w:tbl>
      <w:tblPr>
        <w:tblStyle w:val="4"/>
        <w:tblW w:w="8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0"/>
        <w:gridCol w:w="444"/>
        <w:gridCol w:w="67"/>
        <w:gridCol w:w="788"/>
        <w:gridCol w:w="67"/>
        <w:gridCol w:w="979"/>
        <w:gridCol w:w="67"/>
        <w:gridCol w:w="803"/>
        <w:gridCol w:w="67"/>
        <w:gridCol w:w="863"/>
        <w:gridCol w:w="67"/>
        <w:gridCol w:w="443"/>
        <w:gridCol w:w="67"/>
        <w:gridCol w:w="923"/>
        <w:gridCol w:w="67"/>
        <w:gridCol w:w="934"/>
        <w:gridCol w:w="1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335" w:type="dxa"/>
            <w:gridSpan w:val="17"/>
            <w:tcBorders>
              <w:top w:val="nil"/>
              <w:left w:val="nil"/>
              <w:bottom w:val="nil"/>
              <w:right w:val="nil"/>
            </w:tcBorders>
            <w:shd w:val="clear" w:color="auto" w:fill="auto"/>
            <w:vAlign w:val="center"/>
          </w:tcPr>
          <w:p>
            <w:pPr>
              <w:widowControl/>
              <w:jc w:val="center"/>
              <w:rPr>
                <w:rFonts w:hint="default" w:ascii="宋体" w:hAnsi="宋体" w:eastAsia="宋体" w:cs="宋体"/>
                <w:b/>
                <w:bCs/>
                <w:color w:val="000000"/>
                <w:kern w:val="0"/>
                <w:sz w:val="32"/>
                <w:szCs w:val="32"/>
              </w:rPr>
            </w:pPr>
            <w:r>
              <w:rPr>
                <w:rFonts w:ascii="宋体" w:hAnsi="宋体" w:eastAsia="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35" w:type="dxa"/>
            <w:gridSpan w:val="17"/>
            <w:tcBorders>
              <w:top w:val="nil"/>
              <w:left w:val="nil"/>
              <w:bottom w:val="single" w:color="auto" w:sz="4" w:space="0"/>
              <w:right w:val="nil"/>
            </w:tcBorders>
            <w:shd w:val="clear" w:color="auto" w:fill="auto"/>
            <w:vAlign w:val="center"/>
          </w:tcPr>
          <w:p>
            <w:pPr>
              <w:widowControl/>
              <w:jc w:val="center"/>
              <w:rPr>
                <w:rFonts w:hint="default" w:ascii="宋体" w:hAnsi="宋体" w:eastAsia="宋体" w:cs="宋体"/>
                <w:color w:val="000000"/>
                <w:kern w:val="0"/>
                <w:sz w:val="20"/>
                <w:szCs w:val="20"/>
              </w:rPr>
            </w:pPr>
            <w:r>
              <w:rPr>
                <w:rFonts w:ascii="宋体" w:hAnsi="宋体" w:eastAsia="宋体" w:cs="宋体"/>
                <w:color w:val="000000"/>
                <w:kern w:val="0"/>
                <w:sz w:val="20"/>
                <w:szCs w:val="20"/>
              </w:rPr>
              <w:t>(2022年度)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1024" w:type="dxa"/>
            <w:gridSpan w:val="2"/>
            <w:tcBorders>
              <w:top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项目名称</w:t>
            </w:r>
          </w:p>
        </w:tc>
        <w:tc>
          <w:tcPr>
            <w:tcW w:w="7311" w:type="dxa"/>
            <w:gridSpan w:val="15"/>
            <w:tcBorders>
              <w:top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关于提前下达2022年现代职业教育质量提升计划专项参照直达资金的通知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1024"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主管部门</w:t>
            </w:r>
          </w:p>
        </w:tc>
        <w:tc>
          <w:tcPr>
            <w:tcW w:w="2771" w:type="dxa"/>
            <w:gridSpan w:val="6"/>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职业中等专业学校</w:t>
            </w:r>
          </w:p>
        </w:tc>
        <w:tc>
          <w:tcPr>
            <w:tcW w:w="930"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实施单位</w:t>
            </w:r>
          </w:p>
        </w:tc>
        <w:tc>
          <w:tcPr>
            <w:tcW w:w="3610" w:type="dxa"/>
            <w:gridSpan w:val="7"/>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职业中等专业学校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1024" w:type="dxa"/>
            <w:gridSpan w:val="2"/>
            <w:vMerge w:val="restart"/>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项目资金</w:t>
            </w:r>
          </w:p>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（万元）</w:t>
            </w:r>
          </w:p>
        </w:tc>
        <w:tc>
          <w:tcPr>
            <w:tcW w:w="855"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c>
          <w:tcPr>
            <w:tcW w:w="1046"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年初预算数</w:t>
            </w:r>
          </w:p>
        </w:tc>
        <w:tc>
          <w:tcPr>
            <w:tcW w:w="870"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全年预算数</w:t>
            </w:r>
          </w:p>
        </w:tc>
        <w:tc>
          <w:tcPr>
            <w:tcW w:w="930"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全年执行数</w:t>
            </w:r>
          </w:p>
        </w:tc>
        <w:tc>
          <w:tcPr>
            <w:tcW w:w="510"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分值</w:t>
            </w:r>
          </w:p>
        </w:tc>
        <w:tc>
          <w:tcPr>
            <w:tcW w:w="990"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执行率</w:t>
            </w:r>
          </w:p>
        </w:tc>
        <w:tc>
          <w:tcPr>
            <w:tcW w:w="2110" w:type="dxa"/>
            <w:gridSpan w:val="3"/>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1024" w:type="dxa"/>
            <w:gridSpan w:val="2"/>
            <w:vMerge w:val="continue"/>
            <w:vAlign w:val="center"/>
          </w:tcPr>
          <w:p>
            <w:pPr>
              <w:widowControl/>
              <w:jc w:val="left"/>
              <w:rPr>
                <w:rFonts w:hint="default" w:ascii="宋体" w:hAnsi="宋体" w:eastAsia="宋体" w:cs="宋体"/>
                <w:color w:val="000000"/>
                <w:kern w:val="0"/>
                <w:sz w:val="18"/>
                <w:szCs w:val="18"/>
              </w:rPr>
            </w:pPr>
          </w:p>
        </w:tc>
        <w:tc>
          <w:tcPr>
            <w:tcW w:w="855"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年度资金总额</w:t>
            </w:r>
          </w:p>
        </w:tc>
        <w:tc>
          <w:tcPr>
            <w:tcW w:w="1046"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0.00</w:t>
            </w:r>
          </w:p>
        </w:tc>
        <w:tc>
          <w:tcPr>
            <w:tcW w:w="870"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33.00</w:t>
            </w:r>
          </w:p>
        </w:tc>
        <w:tc>
          <w:tcPr>
            <w:tcW w:w="930"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7.85</w:t>
            </w:r>
          </w:p>
        </w:tc>
        <w:tc>
          <w:tcPr>
            <w:tcW w:w="510"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10</w:t>
            </w:r>
          </w:p>
        </w:tc>
        <w:tc>
          <w:tcPr>
            <w:tcW w:w="990"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23.79%</w:t>
            </w:r>
          </w:p>
        </w:tc>
        <w:tc>
          <w:tcPr>
            <w:tcW w:w="2110" w:type="dxa"/>
            <w:gridSpan w:val="3"/>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2.38分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1024" w:type="dxa"/>
            <w:gridSpan w:val="2"/>
            <w:vMerge w:val="continue"/>
            <w:vAlign w:val="center"/>
          </w:tcPr>
          <w:p>
            <w:pPr>
              <w:widowControl/>
              <w:jc w:val="left"/>
              <w:rPr>
                <w:rFonts w:hint="default" w:ascii="宋体" w:hAnsi="宋体" w:eastAsia="宋体" w:cs="宋体"/>
                <w:color w:val="000000"/>
                <w:kern w:val="0"/>
                <w:sz w:val="18"/>
                <w:szCs w:val="18"/>
              </w:rPr>
            </w:pPr>
          </w:p>
        </w:tc>
        <w:tc>
          <w:tcPr>
            <w:tcW w:w="855"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其中：当年财政拨款</w:t>
            </w:r>
          </w:p>
        </w:tc>
        <w:tc>
          <w:tcPr>
            <w:tcW w:w="1046"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0.00</w:t>
            </w:r>
          </w:p>
        </w:tc>
        <w:tc>
          <w:tcPr>
            <w:tcW w:w="870"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33.00</w:t>
            </w:r>
          </w:p>
        </w:tc>
        <w:tc>
          <w:tcPr>
            <w:tcW w:w="930"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7.85</w:t>
            </w:r>
          </w:p>
        </w:tc>
        <w:tc>
          <w:tcPr>
            <w:tcW w:w="510"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w:t>
            </w:r>
          </w:p>
        </w:tc>
        <w:tc>
          <w:tcPr>
            <w:tcW w:w="990"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w:t>
            </w:r>
          </w:p>
        </w:tc>
        <w:tc>
          <w:tcPr>
            <w:tcW w:w="2110" w:type="dxa"/>
            <w:gridSpan w:val="3"/>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1024" w:type="dxa"/>
            <w:gridSpan w:val="2"/>
            <w:vMerge w:val="continue"/>
            <w:vAlign w:val="center"/>
          </w:tcPr>
          <w:p>
            <w:pPr>
              <w:widowControl/>
              <w:jc w:val="left"/>
              <w:rPr>
                <w:rFonts w:hint="default" w:ascii="宋体" w:hAnsi="宋体" w:eastAsia="宋体" w:cs="宋体"/>
                <w:color w:val="000000"/>
                <w:kern w:val="0"/>
                <w:sz w:val="18"/>
                <w:szCs w:val="18"/>
              </w:rPr>
            </w:pPr>
          </w:p>
        </w:tc>
        <w:tc>
          <w:tcPr>
            <w:tcW w:w="855"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上年结转资金</w:t>
            </w:r>
          </w:p>
        </w:tc>
        <w:tc>
          <w:tcPr>
            <w:tcW w:w="1046"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0</w:t>
            </w:r>
          </w:p>
        </w:tc>
        <w:tc>
          <w:tcPr>
            <w:tcW w:w="870"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0</w:t>
            </w:r>
          </w:p>
        </w:tc>
        <w:tc>
          <w:tcPr>
            <w:tcW w:w="930"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0</w:t>
            </w:r>
          </w:p>
        </w:tc>
        <w:tc>
          <w:tcPr>
            <w:tcW w:w="510"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w:t>
            </w:r>
          </w:p>
        </w:tc>
        <w:tc>
          <w:tcPr>
            <w:tcW w:w="990"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w:t>
            </w:r>
          </w:p>
        </w:tc>
        <w:tc>
          <w:tcPr>
            <w:tcW w:w="2110" w:type="dxa"/>
            <w:gridSpan w:val="3"/>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1024" w:type="dxa"/>
            <w:gridSpan w:val="2"/>
            <w:vMerge w:val="continue"/>
            <w:vAlign w:val="center"/>
          </w:tcPr>
          <w:p>
            <w:pPr>
              <w:widowControl/>
              <w:jc w:val="left"/>
              <w:rPr>
                <w:rFonts w:hint="default" w:ascii="宋体" w:hAnsi="宋体" w:eastAsia="宋体" w:cs="宋体"/>
                <w:color w:val="000000"/>
                <w:kern w:val="0"/>
                <w:sz w:val="18"/>
                <w:szCs w:val="18"/>
              </w:rPr>
            </w:pPr>
          </w:p>
        </w:tc>
        <w:tc>
          <w:tcPr>
            <w:tcW w:w="855"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其他资金</w:t>
            </w:r>
          </w:p>
        </w:tc>
        <w:tc>
          <w:tcPr>
            <w:tcW w:w="1046"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0</w:t>
            </w:r>
          </w:p>
        </w:tc>
        <w:tc>
          <w:tcPr>
            <w:tcW w:w="870"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0</w:t>
            </w:r>
          </w:p>
        </w:tc>
        <w:tc>
          <w:tcPr>
            <w:tcW w:w="930"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0</w:t>
            </w:r>
          </w:p>
        </w:tc>
        <w:tc>
          <w:tcPr>
            <w:tcW w:w="510"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w:t>
            </w:r>
          </w:p>
        </w:tc>
        <w:tc>
          <w:tcPr>
            <w:tcW w:w="990"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w:t>
            </w:r>
          </w:p>
        </w:tc>
        <w:tc>
          <w:tcPr>
            <w:tcW w:w="2110" w:type="dxa"/>
            <w:gridSpan w:val="3"/>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580" w:type="dxa"/>
            <w:vMerge w:val="restart"/>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年度总体目标</w:t>
            </w:r>
          </w:p>
        </w:tc>
        <w:tc>
          <w:tcPr>
            <w:tcW w:w="3282" w:type="dxa"/>
            <w:gridSpan w:val="8"/>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预期目标</w:t>
            </w:r>
          </w:p>
        </w:tc>
        <w:tc>
          <w:tcPr>
            <w:tcW w:w="4473" w:type="dxa"/>
            <w:gridSpan w:val="8"/>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580" w:type="dxa"/>
            <w:vMerge w:val="continue"/>
            <w:vAlign w:val="center"/>
          </w:tcPr>
          <w:p>
            <w:pPr>
              <w:widowControl/>
              <w:jc w:val="left"/>
              <w:rPr>
                <w:rFonts w:hint="default" w:ascii="宋体" w:hAnsi="宋体" w:eastAsia="宋体" w:cs="宋体"/>
                <w:color w:val="000000"/>
                <w:kern w:val="0"/>
                <w:sz w:val="18"/>
                <w:szCs w:val="18"/>
              </w:rPr>
            </w:pPr>
          </w:p>
        </w:tc>
        <w:tc>
          <w:tcPr>
            <w:tcW w:w="3282" w:type="dxa"/>
            <w:gridSpan w:val="8"/>
            <w:shd w:val="clear" w:color="auto" w:fill="auto"/>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用于改善办学条件和实训项目建设，购买电脑等信息化建设项目，打造1+X培训品牌。</w:t>
            </w:r>
          </w:p>
        </w:tc>
        <w:tc>
          <w:tcPr>
            <w:tcW w:w="4473" w:type="dxa"/>
            <w:gridSpan w:val="8"/>
            <w:shd w:val="clear" w:color="auto" w:fill="auto"/>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质量提升计划专项用于会计1+X项目，2022年完成项目，资金实际支付7.85万元。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580" w:type="dxa"/>
            <w:vMerge w:val="restart"/>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c>
          <w:tcPr>
            <w:tcW w:w="511" w:type="dxa"/>
            <w:gridSpan w:val="2"/>
            <w:vMerge w:val="restart"/>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一级指标</w:t>
            </w:r>
          </w:p>
        </w:tc>
        <w:tc>
          <w:tcPr>
            <w:tcW w:w="855" w:type="dxa"/>
            <w:gridSpan w:val="2"/>
            <w:vMerge w:val="restart"/>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二级指标</w:t>
            </w:r>
          </w:p>
        </w:tc>
        <w:tc>
          <w:tcPr>
            <w:tcW w:w="1046" w:type="dxa"/>
            <w:gridSpan w:val="2"/>
            <w:vMerge w:val="restart"/>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三级指标</w:t>
            </w:r>
          </w:p>
        </w:tc>
        <w:tc>
          <w:tcPr>
            <w:tcW w:w="870" w:type="dxa"/>
            <w:gridSpan w:val="2"/>
            <w:vMerge w:val="restart"/>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年度指标值</w:t>
            </w:r>
          </w:p>
        </w:tc>
        <w:tc>
          <w:tcPr>
            <w:tcW w:w="930" w:type="dxa"/>
            <w:gridSpan w:val="2"/>
            <w:vMerge w:val="restart"/>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实际完成值</w:t>
            </w:r>
          </w:p>
        </w:tc>
        <w:tc>
          <w:tcPr>
            <w:tcW w:w="510" w:type="dxa"/>
            <w:gridSpan w:val="2"/>
            <w:vMerge w:val="restart"/>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分值</w:t>
            </w:r>
          </w:p>
        </w:tc>
        <w:tc>
          <w:tcPr>
            <w:tcW w:w="990" w:type="dxa"/>
            <w:gridSpan w:val="2"/>
            <w:vMerge w:val="restart"/>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得分</w:t>
            </w:r>
          </w:p>
        </w:tc>
        <w:tc>
          <w:tcPr>
            <w:tcW w:w="2043" w:type="dxa"/>
            <w:gridSpan w:val="2"/>
            <w:vMerge w:val="restart"/>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580" w:type="dxa"/>
            <w:vMerge w:val="continue"/>
            <w:vAlign w:val="center"/>
          </w:tcPr>
          <w:p>
            <w:pPr>
              <w:widowControl/>
              <w:jc w:val="left"/>
              <w:rPr>
                <w:rFonts w:hint="default" w:ascii="宋体" w:hAnsi="宋体" w:eastAsia="宋体" w:cs="宋体"/>
                <w:color w:val="000000"/>
                <w:kern w:val="0"/>
                <w:sz w:val="18"/>
                <w:szCs w:val="18"/>
              </w:rPr>
            </w:pPr>
          </w:p>
        </w:tc>
        <w:tc>
          <w:tcPr>
            <w:tcW w:w="511" w:type="dxa"/>
            <w:gridSpan w:val="2"/>
            <w:vMerge w:val="continue"/>
            <w:vAlign w:val="center"/>
          </w:tcPr>
          <w:p>
            <w:pPr>
              <w:widowControl/>
              <w:jc w:val="left"/>
              <w:rPr>
                <w:rFonts w:hint="default" w:ascii="宋体" w:hAnsi="宋体" w:eastAsia="宋体" w:cs="宋体"/>
                <w:color w:val="000000"/>
                <w:kern w:val="0"/>
                <w:sz w:val="18"/>
                <w:szCs w:val="18"/>
              </w:rPr>
            </w:pPr>
          </w:p>
        </w:tc>
        <w:tc>
          <w:tcPr>
            <w:tcW w:w="855" w:type="dxa"/>
            <w:gridSpan w:val="2"/>
            <w:vMerge w:val="continue"/>
            <w:vAlign w:val="center"/>
          </w:tcPr>
          <w:p>
            <w:pPr>
              <w:widowControl/>
              <w:jc w:val="left"/>
              <w:rPr>
                <w:rFonts w:hint="default" w:ascii="宋体" w:hAnsi="宋体" w:eastAsia="宋体" w:cs="宋体"/>
                <w:color w:val="000000"/>
                <w:kern w:val="0"/>
                <w:sz w:val="18"/>
                <w:szCs w:val="18"/>
              </w:rPr>
            </w:pPr>
          </w:p>
        </w:tc>
        <w:tc>
          <w:tcPr>
            <w:tcW w:w="1046" w:type="dxa"/>
            <w:gridSpan w:val="2"/>
            <w:vMerge w:val="continue"/>
            <w:vAlign w:val="center"/>
          </w:tcPr>
          <w:p>
            <w:pPr>
              <w:widowControl/>
              <w:jc w:val="left"/>
              <w:rPr>
                <w:rFonts w:hint="default" w:ascii="宋体" w:hAnsi="宋体" w:eastAsia="宋体" w:cs="宋体"/>
                <w:color w:val="000000"/>
                <w:kern w:val="0"/>
                <w:sz w:val="18"/>
                <w:szCs w:val="18"/>
              </w:rPr>
            </w:pPr>
          </w:p>
        </w:tc>
        <w:tc>
          <w:tcPr>
            <w:tcW w:w="870" w:type="dxa"/>
            <w:gridSpan w:val="2"/>
            <w:vMerge w:val="continue"/>
            <w:vAlign w:val="center"/>
          </w:tcPr>
          <w:p>
            <w:pPr>
              <w:widowControl/>
              <w:jc w:val="left"/>
              <w:rPr>
                <w:rFonts w:hint="default" w:ascii="宋体" w:hAnsi="宋体" w:eastAsia="宋体" w:cs="宋体"/>
                <w:color w:val="000000"/>
                <w:kern w:val="0"/>
                <w:sz w:val="18"/>
                <w:szCs w:val="18"/>
              </w:rPr>
            </w:pPr>
          </w:p>
        </w:tc>
        <w:tc>
          <w:tcPr>
            <w:tcW w:w="930" w:type="dxa"/>
            <w:gridSpan w:val="2"/>
            <w:vMerge w:val="continue"/>
            <w:vAlign w:val="center"/>
          </w:tcPr>
          <w:p>
            <w:pPr>
              <w:widowControl/>
              <w:jc w:val="left"/>
              <w:rPr>
                <w:rFonts w:hint="default" w:ascii="宋体" w:hAnsi="宋体" w:eastAsia="宋体" w:cs="宋体"/>
                <w:color w:val="000000"/>
                <w:kern w:val="0"/>
                <w:sz w:val="18"/>
                <w:szCs w:val="18"/>
              </w:rPr>
            </w:pPr>
          </w:p>
        </w:tc>
        <w:tc>
          <w:tcPr>
            <w:tcW w:w="510" w:type="dxa"/>
            <w:gridSpan w:val="2"/>
            <w:vMerge w:val="continue"/>
            <w:vAlign w:val="center"/>
          </w:tcPr>
          <w:p>
            <w:pPr>
              <w:widowControl/>
              <w:jc w:val="left"/>
              <w:rPr>
                <w:rFonts w:hint="default" w:ascii="宋体" w:hAnsi="宋体" w:eastAsia="宋体" w:cs="宋体"/>
                <w:color w:val="000000"/>
                <w:kern w:val="0"/>
                <w:sz w:val="18"/>
                <w:szCs w:val="18"/>
              </w:rPr>
            </w:pPr>
          </w:p>
        </w:tc>
        <w:tc>
          <w:tcPr>
            <w:tcW w:w="990" w:type="dxa"/>
            <w:gridSpan w:val="2"/>
            <w:vMerge w:val="continue"/>
            <w:vAlign w:val="center"/>
          </w:tcPr>
          <w:p>
            <w:pPr>
              <w:widowControl/>
              <w:jc w:val="left"/>
              <w:rPr>
                <w:rFonts w:hint="default" w:ascii="宋体" w:hAnsi="宋体" w:eastAsia="宋体" w:cs="宋体"/>
                <w:color w:val="000000"/>
                <w:kern w:val="0"/>
                <w:sz w:val="18"/>
                <w:szCs w:val="18"/>
              </w:rPr>
            </w:pPr>
          </w:p>
        </w:tc>
        <w:tc>
          <w:tcPr>
            <w:tcW w:w="2043" w:type="dxa"/>
            <w:gridSpan w:val="2"/>
            <w:vMerge w:val="continue"/>
            <w:vAlign w:val="center"/>
          </w:tcPr>
          <w:p>
            <w:pPr>
              <w:widowControl/>
              <w:jc w:val="left"/>
              <w:rPr>
                <w:rFonts w:hint="default" w:ascii="宋体" w:hAnsi="宋体" w:eastAsia="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580" w:type="dxa"/>
            <w:vMerge w:val="restart"/>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年度绩效指标完成情况</w:t>
            </w:r>
          </w:p>
        </w:tc>
        <w:tc>
          <w:tcPr>
            <w:tcW w:w="511" w:type="dxa"/>
            <w:gridSpan w:val="2"/>
            <w:vMerge w:val="restart"/>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产出指标</w:t>
            </w:r>
          </w:p>
        </w:tc>
        <w:tc>
          <w:tcPr>
            <w:tcW w:w="855"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数量指标</w:t>
            </w:r>
          </w:p>
        </w:tc>
        <w:tc>
          <w:tcPr>
            <w:tcW w:w="1046" w:type="dxa"/>
            <w:gridSpan w:val="2"/>
            <w:shd w:val="clear" w:color="auto" w:fill="auto"/>
            <w:noWrap/>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购买电脑等设备数量</w:t>
            </w:r>
          </w:p>
        </w:tc>
        <w:tc>
          <w:tcPr>
            <w:tcW w:w="870"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&gt;=35台</w:t>
            </w:r>
          </w:p>
        </w:tc>
        <w:tc>
          <w:tcPr>
            <w:tcW w:w="930"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40台</w:t>
            </w:r>
          </w:p>
        </w:tc>
        <w:tc>
          <w:tcPr>
            <w:tcW w:w="510"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5</w:t>
            </w:r>
          </w:p>
        </w:tc>
        <w:tc>
          <w:tcPr>
            <w:tcW w:w="990"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5</w:t>
            </w:r>
          </w:p>
        </w:tc>
        <w:tc>
          <w:tcPr>
            <w:tcW w:w="2043" w:type="dxa"/>
            <w:gridSpan w:val="2"/>
            <w:shd w:val="clear" w:color="auto" w:fill="auto"/>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580" w:type="dxa"/>
            <w:vMerge w:val="continue"/>
            <w:vAlign w:val="center"/>
          </w:tcPr>
          <w:p>
            <w:pPr>
              <w:widowControl/>
              <w:jc w:val="left"/>
              <w:rPr>
                <w:rFonts w:hint="default" w:ascii="宋体" w:hAnsi="宋体" w:eastAsia="宋体" w:cs="宋体"/>
                <w:color w:val="000000"/>
                <w:kern w:val="0"/>
                <w:sz w:val="18"/>
                <w:szCs w:val="18"/>
              </w:rPr>
            </w:pPr>
          </w:p>
        </w:tc>
        <w:tc>
          <w:tcPr>
            <w:tcW w:w="511" w:type="dxa"/>
            <w:gridSpan w:val="2"/>
            <w:vMerge w:val="continue"/>
            <w:vAlign w:val="center"/>
          </w:tcPr>
          <w:p>
            <w:pPr>
              <w:widowControl/>
              <w:jc w:val="left"/>
              <w:rPr>
                <w:rFonts w:hint="default" w:ascii="宋体" w:hAnsi="宋体" w:eastAsia="宋体" w:cs="宋体"/>
                <w:color w:val="000000"/>
                <w:kern w:val="0"/>
                <w:sz w:val="18"/>
                <w:szCs w:val="18"/>
              </w:rPr>
            </w:pPr>
          </w:p>
        </w:tc>
        <w:tc>
          <w:tcPr>
            <w:tcW w:w="855"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数量指标</w:t>
            </w:r>
          </w:p>
        </w:tc>
        <w:tc>
          <w:tcPr>
            <w:tcW w:w="1046" w:type="dxa"/>
            <w:gridSpan w:val="2"/>
            <w:shd w:val="clear" w:color="auto" w:fill="auto"/>
            <w:noWrap/>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参加培训考证人数</w:t>
            </w:r>
          </w:p>
        </w:tc>
        <w:tc>
          <w:tcPr>
            <w:tcW w:w="870"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=20人</w:t>
            </w:r>
          </w:p>
        </w:tc>
        <w:tc>
          <w:tcPr>
            <w:tcW w:w="930"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20人</w:t>
            </w:r>
          </w:p>
        </w:tc>
        <w:tc>
          <w:tcPr>
            <w:tcW w:w="510"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10</w:t>
            </w:r>
          </w:p>
        </w:tc>
        <w:tc>
          <w:tcPr>
            <w:tcW w:w="990"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10</w:t>
            </w:r>
          </w:p>
        </w:tc>
        <w:tc>
          <w:tcPr>
            <w:tcW w:w="2043" w:type="dxa"/>
            <w:gridSpan w:val="2"/>
            <w:shd w:val="clear" w:color="auto" w:fill="auto"/>
            <w:vAlign w:val="center"/>
          </w:tcPr>
          <w:p>
            <w:pPr>
              <w:widowControl/>
              <w:jc w:val="center"/>
              <w:rPr>
                <w:rFonts w:hint="default" w:ascii="宋体" w:hAnsi="宋体" w:eastAsia="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580" w:type="dxa"/>
            <w:vMerge w:val="continue"/>
            <w:vAlign w:val="center"/>
          </w:tcPr>
          <w:p>
            <w:pPr>
              <w:widowControl/>
              <w:jc w:val="left"/>
              <w:rPr>
                <w:rFonts w:hint="default" w:ascii="宋体" w:hAnsi="宋体" w:eastAsia="宋体" w:cs="宋体"/>
                <w:color w:val="000000"/>
                <w:kern w:val="0"/>
                <w:sz w:val="18"/>
                <w:szCs w:val="18"/>
              </w:rPr>
            </w:pPr>
          </w:p>
        </w:tc>
        <w:tc>
          <w:tcPr>
            <w:tcW w:w="511" w:type="dxa"/>
            <w:gridSpan w:val="2"/>
            <w:vMerge w:val="continue"/>
            <w:vAlign w:val="center"/>
          </w:tcPr>
          <w:p>
            <w:pPr>
              <w:widowControl/>
              <w:jc w:val="left"/>
              <w:rPr>
                <w:rFonts w:hint="default" w:ascii="宋体" w:hAnsi="宋体" w:eastAsia="宋体" w:cs="宋体"/>
                <w:color w:val="000000"/>
                <w:kern w:val="0"/>
                <w:sz w:val="18"/>
                <w:szCs w:val="18"/>
              </w:rPr>
            </w:pPr>
          </w:p>
        </w:tc>
        <w:tc>
          <w:tcPr>
            <w:tcW w:w="855"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质量指标</w:t>
            </w:r>
          </w:p>
        </w:tc>
        <w:tc>
          <w:tcPr>
            <w:tcW w:w="1046" w:type="dxa"/>
            <w:gridSpan w:val="2"/>
            <w:shd w:val="clear" w:color="auto" w:fill="auto"/>
            <w:noWrap/>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资金使用合规率</w:t>
            </w:r>
          </w:p>
        </w:tc>
        <w:tc>
          <w:tcPr>
            <w:tcW w:w="870"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&gt;=95%</w:t>
            </w:r>
          </w:p>
        </w:tc>
        <w:tc>
          <w:tcPr>
            <w:tcW w:w="930"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100%</w:t>
            </w:r>
          </w:p>
        </w:tc>
        <w:tc>
          <w:tcPr>
            <w:tcW w:w="510"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10</w:t>
            </w:r>
          </w:p>
        </w:tc>
        <w:tc>
          <w:tcPr>
            <w:tcW w:w="990"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10</w:t>
            </w:r>
          </w:p>
        </w:tc>
        <w:tc>
          <w:tcPr>
            <w:tcW w:w="2043" w:type="dxa"/>
            <w:gridSpan w:val="2"/>
            <w:shd w:val="clear" w:color="auto" w:fill="auto"/>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资金实际拨付7.85万元，资金使用率24%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580" w:type="dxa"/>
            <w:vMerge w:val="continue"/>
            <w:vAlign w:val="center"/>
          </w:tcPr>
          <w:p>
            <w:pPr>
              <w:widowControl/>
              <w:jc w:val="left"/>
              <w:rPr>
                <w:rFonts w:hint="default" w:ascii="宋体" w:hAnsi="宋体" w:eastAsia="宋体" w:cs="宋体"/>
                <w:color w:val="000000"/>
                <w:kern w:val="0"/>
                <w:sz w:val="18"/>
                <w:szCs w:val="18"/>
              </w:rPr>
            </w:pPr>
          </w:p>
        </w:tc>
        <w:tc>
          <w:tcPr>
            <w:tcW w:w="511" w:type="dxa"/>
            <w:gridSpan w:val="2"/>
            <w:vMerge w:val="continue"/>
            <w:vAlign w:val="center"/>
          </w:tcPr>
          <w:p>
            <w:pPr>
              <w:widowControl/>
              <w:jc w:val="left"/>
              <w:rPr>
                <w:rFonts w:hint="default" w:ascii="宋体" w:hAnsi="宋体" w:eastAsia="宋体" w:cs="宋体"/>
                <w:color w:val="000000"/>
                <w:kern w:val="0"/>
                <w:sz w:val="18"/>
                <w:szCs w:val="18"/>
              </w:rPr>
            </w:pPr>
          </w:p>
        </w:tc>
        <w:tc>
          <w:tcPr>
            <w:tcW w:w="855"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质量指标</w:t>
            </w:r>
          </w:p>
        </w:tc>
        <w:tc>
          <w:tcPr>
            <w:tcW w:w="1046" w:type="dxa"/>
            <w:gridSpan w:val="2"/>
            <w:shd w:val="clear" w:color="auto" w:fill="auto"/>
            <w:noWrap/>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参加培训考证率</w:t>
            </w:r>
          </w:p>
        </w:tc>
        <w:tc>
          <w:tcPr>
            <w:tcW w:w="870"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&gt;=95%</w:t>
            </w:r>
          </w:p>
        </w:tc>
        <w:tc>
          <w:tcPr>
            <w:tcW w:w="930"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100%</w:t>
            </w:r>
          </w:p>
        </w:tc>
        <w:tc>
          <w:tcPr>
            <w:tcW w:w="510"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10</w:t>
            </w:r>
          </w:p>
        </w:tc>
        <w:tc>
          <w:tcPr>
            <w:tcW w:w="990"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10</w:t>
            </w:r>
          </w:p>
        </w:tc>
        <w:tc>
          <w:tcPr>
            <w:tcW w:w="2043" w:type="dxa"/>
            <w:gridSpan w:val="2"/>
            <w:shd w:val="clear" w:color="auto" w:fill="auto"/>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580" w:type="dxa"/>
            <w:vMerge w:val="continue"/>
            <w:vAlign w:val="center"/>
          </w:tcPr>
          <w:p>
            <w:pPr>
              <w:widowControl/>
              <w:jc w:val="left"/>
              <w:rPr>
                <w:rFonts w:hint="default" w:ascii="宋体" w:hAnsi="宋体" w:eastAsia="宋体" w:cs="宋体"/>
                <w:color w:val="000000"/>
                <w:kern w:val="0"/>
                <w:sz w:val="18"/>
                <w:szCs w:val="18"/>
              </w:rPr>
            </w:pPr>
          </w:p>
        </w:tc>
        <w:tc>
          <w:tcPr>
            <w:tcW w:w="511" w:type="dxa"/>
            <w:gridSpan w:val="2"/>
            <w:vMerge w:val="continue"/>
            <w:vAlign w:val="center"/>
          </w:tcPr>
          <w:p>
            <w:pPr>
              <w:widowControl/>
              <w:jc w:val="left"/>
              <w:rPr>
                <w:rFonts w:hint="default" w:ascii="宋体" w:hAnsi="宋体" w:eastAsia="宋体" w:cs="宋体"/>
                <w:color w:val="000000"/>
                <w:kern w:val="0"/>
                <w:sz w:val="18"/>
                <w:szCs w:val="18"/>
              </w:rPr>
            </w:pPr>
          </w:p>
        </w:tc>
        <w:tc>
          <w:tcPr>
            <w:tcW w:w="855"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时效指标</w:t>
            </w:r>
          </w:p>
        </w:tc>
        <w:tc>
          <w:tcPr>
            <w:tcW w:w="1046" w:type="dxa"/>
            <w:gridSpan w:val="2"/>
            <w:shd w:val="clear" w:color="auto" w:fill="auto"/>
            <w:noWrap/>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项目完成时间</w:t>
            </w:r>
          </w:p>
        </w:tc>
        <w:tc>
          <w:tcPr>
            <w:tcW w:w="870"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2022年1-12月</w:t>
            </w:r>
          </w:p>
        </w:tc>
        <w:tc>
          <w:tcPr>
            <w:tcW w:w="930"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2022年1-12月</w:t>
            </w:r>
          </w:p>
        </w:tc>
        <w:tc>
          <w:tcPr>
            <w:tcW w:w="510"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10</w:t>
            </w:r>
          </w:p>
        </w:tc>
        <w:tc>
          <w:tcPr>
            <w:tcW w:w="990"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10</w:t>
            </w:r>
          </w:p>
        </w:tc>
        <w:tc>
          <w:tcPr>
            <w:tcW w:w="2043" w:type="dxa"/>
            <w:gridSpan w:val="2"/>
            <w:shd w:val="clear" w:color="auto" w:fill="auto"/>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580" w:type="dxa"/>
            <w:vMerge w:val="continue"/>
            <w:vAlign w:val="center"/>
          </w:tcPr>
          <w:p>
            <w:pPr>
              <w:widowControl/>
              <w:jc w:val="left"/>
              <w:rPr>
                <w:rFonts w:hint="default" w:ascii="宋体" w:hAnsi="宋体" w:eastAsia="宋体" w:cs="宋体"/>
                <w:color w:val="000000"/>
                <w:kern w:val="0"/>
                <w:sz w:val="18"/>
                <w:szCs w:val="18"/>
              </w:rPr>
            </w:pPr>
          </w:p>
        </w:tc>
        <w:tc>
          <w:tcPr>
            <w:tcW w:w="511" w:type="dxa"/>
            <w:gridSpan w:val="2"/>
            <w:vMerge w:val="continue"/>
            <w:vAlign w:val="center"/>
          </w:tcPr>
          <w:p>
            <w:pPr>
              <w:widowControl/>
              <w:jc w:val="left"/>
              <w:rPr>
                <w:rFonts w:hint="default" w:ascii="宋体" w:hAnsi="宋体" w:eastAsia="宋体" w:cs="宋体"/>
                <w:color w:val="000000"/>
                <w:kern w:val="0"/>
                <w:sz w:val="18"/>
                <w:szCs w:val="18"/>
              </w:rPr>
            </w:pPr>
          </w:p>
        </w:tc>
        <w:tc>
          <w:tcPr>
            <w:tcW w:w="855"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成本指标</w:t>
            </w:r>
          </w:p>
        </w:tc>
        <w:tc>
          <w:tcPr>
            <w:tcW w:w="1046" w:type="dxa"/>
            <w:gridSpan w:val="2"/>
            <w:shd w:val="clear" w:color="auto" w:fill="auto"/>
            <w:noWrap/>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设备单价</w:t>
            </w:r>
          </w:p>
        </w:tc>
        <w:tc>
          <w:tcPr>
            <w:tcW w:w="870"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&lt;=1万元</w:t>
            </w:r>
          </w:p>
        </w:tc>
        <w:tc>
          <w:tcPr>
            <w:tcW w:w="930"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0.36万元</w:t>
            </w:r>
          </w:p>
        </w:tc>
        <w:tc>
          <w:tcPr>
            <w:tcW w:w="510"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5</w:t>
            </w:r>
          </w:p>
        </w:tc>
        <w:tc>
          <w:tcPr>
            <w:tcW w:w="990"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5</w:t>
            </w:r>
          </w:p>
        </w:tc>
        <w:tc>
          <w:tcPr>
            <w:tcW w:w="2043" w:type="dxa"/>
            <w:gridSpan w:val="2"/>
            <w:shd w:val="clear" w:color="auto" w:fill="auto"/>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580" w:type="dxa"/>
            <w:vMerge w:val="continue"/>
            <w:vAlign w:val="center"/>
          </w:tcPr>
          <w:p>
            <w:pPr>
              <w:widowControl/>
              <w:jc w:val="left"/>
              <w:rPr>
                <w:rFonts w:hint="default" w:ascii="宋体" w:hAnsi="宋体" w:eastAsia="宋体" w:cs="宋体"/>
                <w:color w:val="000000"/>
                <w:kern w:val="0"/>
                <w:sz w:val="18"/>
                <w:szCs w:val="18"/>
              </w:rPr>
            </w:pPr>
          </w:p>
        </w:tc>
        <w:tc>
          <w:tcPr>
            <w:tcW w:w="511" w:type="dxa"/>
            <w:gridSpan w:val="2"/>
            <w:vMerge w:val="restart"/>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效益指标</w:t>
            </w:r>
          </w:p>
        </w:tc>
        <w:tc>
          <w:tcPr>
            <w:tcW w:w="855"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经济效益指标</w:t>
            </w:r>
          </w:p>
        </w:tc>
        <w:tc>
          <w:tcPr>
            <w:tcW w:w="1046" w:type="dxa"/>
            <w:gridSpan w:val="2"/>
            <w:shd w:val="clear" w:color="auto" w:fill="auto"/>
            <w:noWrap/>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c>
          <w:tcPr>
            <w:tcW w:w="870"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c>
          <w:tcPr>
            <w:tcW w:w="930"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c>
          <w:tcPr>
            <w:tcW w:w="510"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c>
          <w:tcPr>
            <w:tcW w:w="990"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c>
          <w:tcPr>
            <w:tcW w:w="2043" w:type="dxa"/>
            <w:gridSpan w:val="2"/>
            <w:shd w:val="clear" w:color="auto" w:fill="auto"/>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580" w:type="dxa"/>
            <w:vMerge w:val="continue"/>
            <w:vAlign w:val="center"/>
          </w:tcPr>
          <w:p>
            <w:pPr>
              <w:widowControl/>
              <w:jc w:val="left"/>
              <w:rPr>
                <w:rFonts w:hint="default" w:ascii="宋体" w:hAnsi="宋体" w:eastAsia="宋体" w:cs="宋体"/>
                <w:color w:val="000000"/>
                <w:kern w:val="0"/>
                <w:sz w:val="18"/>
                <w:szCs w:val="18"/>
              </w:rPr>
            </w:pPr>
          </w:p>
        </w:tc>
        <w:tc>
          <w:tcPr>
            <w:tcW w:w="511" w:type="dxa"/>
            <w:gridSpan w:val="2"/>
            <w:vMerge w:val="continue"/>
            <w:vAlign w:val="center"/>
          </w:tcPr>
          <w:p>
            <w:pPr>
              <w:widowControl/>
              <w:jc w:val="left"/>
              <w:rPr>
                <w:rFonts w:hint="default" w:ascii="宋体" w:hAnsi="宋体" w:eastAsia="宋体" w:cs="宋体"/>
                <w:color w:val="000000"/>
                <w:kern w:val="0"/>
                <w:sz w:val="18"/>
                <w:szCs w:val="18"/>
              </w:rPr>
            </w:pPr>
          </w:p>
        </w:tc>
        <w:tc>
          <w:tcPr>
            <w:tcW w:w="855"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社会效益指标</w:t>
            </w:r>
          </w:p>
        </w:tc>
        <w:tc>
          <w:tcPr>
            <w:tcW w:w="1046" w:type="dxa"/>
            <w:gridSpan w:val="2"/>
            <w:shd w:val="clear" w:color="auto" w:fill="auto"/>
            <w:noWrap/>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社会认知度、提高办学影响力</w:t>
            </w:r>
          </w:p>
        </w:tc>
        <w:tc>
          <w:tcPr>
            <w:tcW w:w="870"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逐年扩大</w:t>
            </w:r>
          </w:p>
        </w:tc>
        <w:tc>
          <w:tcPr>
            <w:tcW w:w="930"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完全达到预期效果</w:t>
            </w:r>
          </w:p>
        </w:tc>
        <w:tc>
          <w:tcPr>
            <w:tcW w:w="510"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15</w:t>
            </w:r>
          </w:p>
        </w:tc>
        <w:tc>
          <w:tcPr>
            <w:tcW w:w="990"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15</w:t>
            </w:r>
          </w:p>
        </w:tc>
        <w:tc>
          <w:tcPr>
            <w:tcW w:w="2043" w:type="dxa"/>
            <w:gridSpan w:val="2"/>
            <w:shd w:val="clear" w:color="auto" w:fill="auto"/>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580" w:type="dxa"/>
            <w:vMerge w:val="continue"/>
            <w:vAlign w:val="center"/>
          </w:tcPr>
          <w:p>
            <w:pPr>
              <w:widowControl/>
              <w:jc w:val="left"/>
              <w:rPr>
                <w:rFonts w:hint="default" w:ascii="宋体" w:hAnsi="宋体" w:eastAsia="宋体" w:cs="宋体"/>
                <w:color w:val="000000"/>
                <w:kern w:val="0"/>
                <w:sz w:val="18"/>
                <w:szCs w:val="18"/>
              </w:rPr>
            </w:pPr>
          </w:p>
        </w:tc>
        <w:tc>
          <w:tcPr>
            <w:tcW w:w="511" w:type="dxa"/>
            <w:gridSpan w:val="2"/>
            <w:vMerge w:val="continue"/>
            <w:vAlign w:val="center"/>
          </w:tcPr>
          <w:p>
            <w:pPr>
              <w:widowControl/>
              <w:jc w:val="left"/>
              <w:rPr>
                <w:rFonts w:hint="default" w:ascii="宋体" w:hAnsi="宋体" w:eastAsia="宋体" w:cs="宋体"/>
                <w:color w:val="000000"/>
                <w:kern w:val="0"/>
                <w:sz w:val="18"/>
                <w:szCs w:val="18"/>
              </w:rPr>
            </w:pPr>
          </w:p>
        </w:tc>
        <w:tc>
          <w:tcPr>
            <w:tcW w:w="855"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生态效益指标</w:t>
            </w:r>
          </w:p>
        </w:tc>
        <w:tc>
          <w:tcPr>
            <w:tcW w:w="1046" w:type="dxa"/>
            <w:gridSpan w:val="2"/>
            <w:shd w:val="clear" w:color="auto" w:fill="auto"/>
            <w:noWrap/>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c>
          <w:tcPr>
            <w:tcW w:w="870"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c>
          <w:tcPr>
            <w:tcW w:w="930"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c>
          <w:tcPr>
            <w:tcW w:w="510"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c>
          <w:tcPr>
            <w:tcW w:w="990"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c>
          <w:tcPr>
            <w:tcW w:w="2043" w:type="dxa"/>
            <w:gridSpan w:val="2"/>
            <w:shd w:val="clear" w:color="auto" w:fill="auto"/>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580" w:type="dxa"/>
            <w:vMerge w:val="continue"/>
            <w:vAlign w:val="center"/>
          </w:tcPr>
          <w:p>
            <w:pPr>
              <w:widowControl/>
              <w:jc w:val="left"/>
              <w:rPr>
                <w:rFonts w:hint="default" w:ascii="宋体" w:hAnsi="宋体" w:eastAsia="宋体" w:cs="宋体"/>
                <w:color w:val="000000"/>
                <w:kern w:val="0"/>
                <w:sz w:val="18"/>
                <w:szCs w:val="18"/>
              </w:rPr>
            </w:pPr>
          </w:p>
        </w:tc>
        <w:tc>
          <w:tcPr>
            <w:tcW w:w="511" w:type="dxa"/>
            <w:gridSpan w:val="2"/>
            <w:vMerge w:val="continue"/>
            <w:vAlign w:val="center"/>
          </w:tcPr>
          <w:p>
            <w:pPr>
              <w:widowControl/>
              <w:jc w:val="left"/>
              <w:rPr>
                <w:rFonts w:hint="default" w:ascii="宋体" w:hAnsi="宋体" w:eastAsia="宋体" w:cs="宋体"/>
                <w:color w:val="000000"/>
                <w:kern w:val="0"/>
                <w:sz w:val="18"/>
                <w:szCs w:val="18"/>
              </w:rPr>
            </w:pPr>
          </w:p>
        </w:tc>
        <w:tc>
          <w:tcPr>
            <w:tcW w:w="855"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可持续影响指标</w:t>
            </w:r>
          </w:p>
        </w:tc>
        <w:tc>
          <w:tcPr>
            <w:tcW w:w="1046" w:type="dxa"/>
            <w:gridSpan w:val="2"/>
            <w:shd w:val="clear" w:color="auto" w:fill="auto"/>
            <w:noWrap/>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学校培养人才发挥的作用</w:t>
            </w:r>
          </w:p>
        </w:tc>
        <w:tc>
          <w:tcPr>
            <w:tcW w:w="870"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持续发挥</w:t>
            </w:r>
          </w:p>
        </w:tc>
        <w:tc>
          <w:tcPr>
            <w:tcW w:w="930"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完全达到预期效果</w:t>
            </w:r>
          </w:p>
        </w:tc>
        <w:tc>
          <w:tcPr>
            <w:tcW w:w="510"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15</w:t>
            </w:r>
          </w:p>
        </w:tc>
        <w:tc>
          <w:tcPr>
            <w:tcW w:w="990"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15</w:t>
            </w:r>
          </w:p>
        </w:tc>
        <w:tc>
          <w:tcPr>
            <w:tcW w:w="2043" w:type="dxa"/>
            <w:gridSpan w:val="2"/>
            <w:shd w:val="clear" w:color="auto" w:fill="auto"/>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580" w:type="dxa"/>
            <w:vMerge w:val="continue"/>
            <w:vAlign w:val="center"/>
          </w:tcPr>
          <w:p>
            <w:pPr>
              <w:widowControl/>
              <w:jc w:val="left"/>
              <w:rPr>
                <w:rFonts w:hint="default" w:ascii="宋体" w:hAnsi="宋体" w:eastAsia="宋体" w:cs="宋体"/>
                <w:color w:val="000000"/>
                <w:kern w:val="0"/>
                <w:sz w:val="18"/>
                <w:szCs w:val="18"/>
              </w:rPr>
            </w:pPr>
          </w:p>
        </w:tc>
        <w:tc>
          <w:tcPr>
            <w:tcW w:w="511" w:type="dxa"/>
            <w:gridSpan w:val="2"/>
            <w:vMerge w:val="restart"/>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满意度指标</w:t>
            </w:r>
          </w:p>
        </w:tc>
        <w:tc>
          <w:tcPr>
            <w:tcW w:w="855"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满意度指标</w:t>
            </w:r>
          </w:p>
        </w:tc>
        <w:tc>
          <w:tcPr>
            <w:tcW w:w="1046" w:type="dxa"/>
            <w:gridSpan w:val="2"/>
            <w:shd w:val="clear" w:color="auto" w:fill="auto"/>
            <w:noWrap/>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学生满意度</w:t>
            </w:r>
          </w:p>
        </w:tc>
        <w:tc>
          <w:tcPr>
            <w:tcW w:w="870"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&gt;=95%</w:t>
            </w:r>
          </w:p>
        </w:tc>
        <w:tc>
          <w:tcPr>
            <w:tcW w:w="930"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95%</w:t>
            </w:r>
          </w:p>
        </w:tc>
        <w:tc>
          <w:tcPr>
            <w:tcW w:w="510"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5</w:t>
            </w:r>
          </w:p>
        </w:tc>
        <w:tc>
          <w:tcPr>
            <w:tcW w:w="990"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5</w:t>
            </w:r>
          </w:p>
        </w:tc>
        <w:tc>
          <w:tcPr>
            <w:tcW w:w="2043" w:type="dxa"/>
            <w:gridSpan w:val="2"/>
            <w:shd w:val="clear" w:color="auto" w:fill="auto"/>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580" w:type="dxa"/>
            <w:vMerge w:val="continue"/>
            <w:vAlign w:val="center"/>
          </w:tcPr>
          <w:p>
            <w:pPr>
              <w:widowControl/>
              <w:jc w:val="left"/>
              <w:rPr>
                <w:rFonts w:hint="default" w:ascii="宋体" w:hAnsi="宋体" w:eastAsia="宋体" w:cs="宋体"/>
                <w:color w:val="000000"/>
                <w:kern w:val="0"/>
                <w:sz w:val="18"/>
                <w:szCs w:val="18"/>
              </w:rPr>
            </w:pPr>
          </w:p>
        </w:tc>
        <w:tc>
          <w:tcPr>
            <w:tcW w:w="511" w:type="dxa"/>
            <w:gridSpan w:val="2"/>
            <w:vMerge w:val="continue"/>
            <w:vAlign w:val="center"/>
          </w:tcPr>
          <w:p>
            <w:pPr>
              <w:widowControl/>
              <w:jc w:val="left"/>
              <w:rPr>
                <w:rFonts w:hint="default" w:ascii="宋体" w:hAnsi="宋体" w:eastAsia="宋体" w:cs="宋体"/>
                <w:color w:val="000000"/>
                <w:kern w:val="0"/>
                <w:sz w:val="18"/>
                <w:szCs w:val="18"/>
              </w:rPr>
            </w:pPr>
          </w:p>
        </w:tc>
        <w:tc>
          <w:tcPr>
            <w:tcW w:w="855"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满意度指标</w:t>
            </w:r>
          </w:p>
        </w:tc>
        <w:tc>
          <w:tcPr>
            <w:tcW w:w="1046" w:type="dxa"/>
            <w:gridSpan w:val="2"/>
            <w:shd w:val="clear" w:color="auto" w:fill="auto"/>
            <w:noWrap/>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教师满意度</w:t>
            </w:r>
          </w:p>
        </w:tc>
        <w:tc>
          <w:tcPr>
            <w:tcW w:w="870"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&gt;=95%</w:t>
            </w:r>
          </w:p>
        </w:tc>
        <w:tc>
          <w:tcPr>
            <w:tcW w:w="930"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95%</w:t>
            </w:r>
          </w:p>
        </w:tc>
        <w:tc>
          <w:tcPr>
            <w:tcW w:w="510"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5</w:t>
            </w:r>
          </w:p>
        </w:tc>
        <w:tc>
          <w:tcPr>
            <w:tcW w:w="990"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5</w:t>
            </w:r>
          </w:p>
        </w:tc>
        <w:tc>
          <w:tcPr>
            <w:tcW w:w="2043" w:type="dxa"/>
            <w:gridSpan w:val="2"/>
            <w:shd w:val="clear" w:color="auto" w:fill="auto"/>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5302" w:type="dxa"/>
            <w:gridSpan w:val="13"/>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总分</w:t>
            </w:r>
          </w:p>
        </w:tc>
        <w:tc>
          <w:tcPr>
            <w:tcW w:w="990"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100</w:t>
            </w:r>
          </w:p>
        </w:tc>
        <w:tc>
          <w:tcPr>
            <w:tcW w:w="934"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92.38分</w:t>
            </w:r>
          </w:p>
        </w:tc>
        <w:tc>
          <w:tcPr>
            <w:tcW w:w="1109"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r>
    </w:tbl>
    <w:p>
      <w:pPr>
        <w:rPr>
          <w:rFonts w:hint="default"/>
        </w:rPr>
      </w:pPr>
    </w:p>
    <w:tbl>
      <w:tblPr>
        <w:tblStyle w:val="4"/>
        <w:tblW w:w="82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4"/>
        <w:gridCol w:w="900"/>
        <w:gridCol w:w="930"/>
        <w:gridCol w:w="870"/>
        <w:gridCol w:w="825"/>
        <w:gridCol w:w="855"/>
        <w:gridCol w:w="555"/>
        <w:gridCol w:w="1110"/>
        <w:gridCol w:w="13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288" w:type="dxa"/>
            <w:gridSpan w:val="9"/>
            <w:tcBorders>
              <w:top w:val="nil"/>
              <w:left w:val="nil"/>
              <w:bottom w:val="nil"/>
              <w:right w:val="nil"/>
            </w:tcBorders>
            <w:shd w:val="clear" w:color="auto" w:fill="auto"/>
            <w:vAlign w:val="center"/>
          </w:tcPr>
          <w:p>
            <w:pPr>
              <w:widowControl/>
              <w:jc w:val="center"/>
              <w:rPr>
                <w:rFonts w:hint="default" w:ascii="宋体" w:hAnsi="宋体" w:eastAsia="宋体" w:cs="宋体"/>
                <w:b/>
                <w:bCs/>
                <w:color w:val="000000"/>
                <w:kern w:val="0"/>
                <w:sz w:val="32"/>
                <w:szCs w:val="32"/>
              </w:rPr>
            </w:pPr>
            <w:r>
              <w:rPr>
                <w:rFonts w:ascii="宋体" w:hAnsi="宋体" w:eastAsia="宋体" w:cs="宋体"/>
                <w:b/>
                <w:bCs/>
                <w:color w:val="000000"/>
                <w:kern w:val="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288" w:type="dxa"/>
            <w:gridSpan w:val="9"/>
            <w:tcBorders>
              <w:top w:val="nil"/>
              <w:left w:val="nil"/>
              <w:bottom w:val="single" w:color="auto" w:sz="4" w:space="0"/>
              <w:right w:val="nil"/>
            </w:tcBorders>
            <w:shd w:val="clear" w:color="auto" w:fill="auto"/>
            <w:vAlign w:val="center"/>
          </w:tcPr>
          <w:p>
            <w:pPr>
              <w:widowControl/>
              <w:jc w:val="center"/>
              <w:rPr>
                <w:rFonts w:hint="default" w:ascii="宋体" w:hAnsi="宋体" w:eastAsia="宋体" w:cs="宋体"/>
                <w:color w:val="000000"/>
                <w:kern w:val="0"/>
                <w:sz w:val="20"/>
                <w:szCs w:val="20"/>
              </w:rPr>
            </w:pPr>
            <w:r>
              <w:rPr>
                <w:rFonts w:ascii="宋体" w:hAnsi="宋体" w:eastAsia="宋体" w:cs="宋体"/>
                <w:color w:val="000000"/>
                <w:kern w:val="0"/>
                <w:sz w:val="20"/>
                <w:szCs w:val="20"/>
              </w:rPr>
              <w:t>(2022年度)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1814" w:type="dxa"/>
            <w:gridSpan w:val="2"/>
            <w:tcBorders>
              <w:top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项目名称</w:t>
            </w:r>
          </w:p>
        </w:tc>
        <w:tc>
          <w:tcPr>
            <w:tcW w:w="6474" w:type="dxa"/>
            <w:gridSpan w:val="7"/>
            <w:tcBorders>
              <w:top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关于提前下达2022年学生资助补助直达资金的通知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1814" w:type="dxa"/>
            <w:gridSpan w:val="2"/>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主管部门</w:t>
            </w:r>
          </w:p>
        </w:tc>
        <w:tc>
          <w:tcPr>
            <w:tcW w:w="2625" w:type="dxa"/>
            <w:gridSpan w:val="3"/>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职业中等专业学校</w:t>
            </w:r>
          </w:p>
        </w:tc>
        <w:tc>
          <w:tcPr>
            <w:tcW w:w="855"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实施单位</w:t>
            </w:r>
          </w:p>
        </w:tc>
        <w:tc>
          <w:tcPr>
            <w:tcW w:w="2994" w:type="dxa"/>
            <w:gridSpan w:val="3"/>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职业中等专业学校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1814" w:type="dxa"/>
            <w:gridSpan w:val="2"/>
            <w:vMerge w:val="restart"/>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项目资金</w:t>
            </w:r>
          </w:p>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（万元）</w:t>
            </w:r>
          </w:p>
        </w:tc>
        <w:tc>
          <w:tcPr>
            <w:tcW w:w="930"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c>
          <w:tcPr>
            <w:tcW w:w="870"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年初预算数</w:t>
            </w:r>
          </w:p>
        </w:tc>
        <w:tc>
          <w:tcPr>
            <w:tcW w:w="825"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全年预算数</w:t>
            </w:r>
          </w:p>
        </w:tc>
        <w:tc>
          <w:tcPr>
            <w:tcW w:w="855"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全年执行数</w:t>
            </w:r>
          </w:p>
        </w:tc>
        <w:tc>
          <w:tcPr>
            <w:tcW w:w="555"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分值</w:t>
            </w:r>
          </w:p>
        </w:tc>
        <w:tc>
          <w:tcPr>
            <w:tcW w:w="1110"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执行率</w:t>
            </w:r>
          </w:p>
        </w:tc>
        <w:tc>
          <w:tcPr>
            <w:tcW w:w="1329"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1814" w:type="dxa"/>
            <w:gridSpan w:val="2"/>
            <w:vMerge w:val="continue"/>
            <w:vAlign w:val="center"/>
          </w:tcPr>
          <w:p>
            <w:pPr>
              <w:widowControl/>
              <w:jc w:val="left"/>
              <w:rPr>
                <w:rFonts w:hint="default" w:ascii="宋体" w:hAnsi="宋体" w:eastAsia="宋体" w:cs="宋体"/>
                <w:color w:val="000000"/>
                <w:kern w:val="0"/>
                <w:sz w:val="18"/>
                <w:szCs w:val="18"/>
              </w:rPr>
            </w:pPr>
          </w:p>
        </w:tc>
        <w:tc>
          <w:tcPr>
            <w:tcW w:w="930"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年度资金总额</w:t>
            </w:r>
          </w:p>
        </w:tc>
        <w:tc>
          <w:tcPr>
            <w:tcW w:w="870"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0.00</w:t>
            </w:r>
          </w:p>
        </w:tc>
        <w:tc>
          <w:tcPr>
            <w:tcW w:w="825"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55.88</w:t>
            </w:r>
          </w:p>
        </w:tc>
        <w:tc>
          <w:tcPr>
            <w:tcW w:w="855"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55.66</w:t>
            </w:r>
          </w:p>
        </w:tc>
        <w:tc>
          <w:tcPr>
            <w:tcW w:w="555"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10</w:t>
            </w:r>
          </w:p>
        </w:tc>
        <w:tc>
          <w:tcPr>
            <w:tcW w:w="1110"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99.61%</w:t>
            </w:r>
          </w:p>
        </w:tc>
        <w:tc>
          <w:tcPr>
            <w:tcW w:w="1329"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9.96分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1814" w:type="dxa"/>
            <w:gridSpan w:val="2"/>
            <w:vMerge w:val="continue"/>
            <w:vAlign w:val="center"/>
          </w:tcPr>
          <w:p>
            <w:pPr>
              <w:widowControl/>
              <w:jc w:val="left"/>
              <w:rPr>
                <w:rFonts w:hint="default" w:ascii="宋体" w:hAnsi="宋体" w:eastAsia="宋体" w:cs="宋体"/>
                <w:color w:val="000000"/>
                <w:kern w:val="0"/>
                <w:sz w:val="18"/>
                <w:szCs w:val="18"/>
              </w:rPr>
            </w:pPr>
          </w:p>
        </w:tc>
        <w:tc>
          <w:tcPr>
            <w:tcW w:w="930"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其中：当年财政拨款</w:t>
            </w:r>
          </w:p>
        </w:tc>
        <w:tc>
          <w:tcPr>
            <w:tcW w:w="870"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0.00</w:t>
            </w:r>
          </w:p>
        </w:tc>
        <w:tc>
          <w:tcPr>
            <w:tcW w:w="825"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55.88</w:t>
            </w:r>
          </w:p>
        </w:tc>
        <w:tc>
          <w:tcPr>
            <w:tcW w:w="855"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55.66</w:t>
            </w:r>
          </w:p>
        </w:tc>
        <w:tc>
          <w:tcPr>
            <w:tcW w:w="555"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w:t>
            </w:r>
          </w:p>
        </w:tc>
        <w:tc>
          <w:tcPr>
            <w:tcW w:w="1110"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w:t>
            </w:r>
          </w:p>
        </w:tc>
        <w:tc>
          <w:tcPr>
            <w:tcW w:w="1329"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1814" w:type="dxa"/>
            <w:gridSpan w:val="2"/>
            <w:vMerge w:val="continue"/>
            <w:vAlign w:val="center"/>
          </w:tcPr>
          <w:p>
            <w:pPr>
              <w:widowControl/>
              <w:jc w:val="left"/>
              <w:rPr>
                <w:rFonts w:hint="default" w:ascii="宋体" w:hAnsi="宋体" w:eastAsia="宋体" w:cs="宋体"/>
                <w:color w:val="000000"/>
                <w:kern w:val="0"/>
                <w:sz w:val="18"/>
                <w:szCs w:val="18"/>
              </w:rPr>
            </w:pPr>
          </w:p>
        </w:tc>
        <w:tc>
          <w:tcPr>
            <w:tcW w:w="930"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上年结转资金</w:t>
            </w:r>
          </w:p>
        </w:tc>
        <w:tc>
          <w:tcPr>
            <w:tcW w:w="870"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0</w:t>
            </w:r>
          </w:p>
        </w:tc>
        <w:tc>
          <w:tcPr>
            <w:tcW w:w="825"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0</w:t>
            </w:r>
          </w:p>
        </w:tc>
        <w:tc>
          <w:tcPr>
            <w:tcW w:w="855"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0</w:t>
            </w:r>
          </w:p>
        </w:tc>
        <w:tc>
          <w:tcPr>
            <w:tcW w:w="555"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w:t>
            </w:r>
          </w:p>
        </w:tc>
        <w:tc>
          <w:tcPr>
            <w:tcW w:w="1110"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w:t>
            </w:r>
          </w:p>
        </w:tc>
        <w:tc>
          <w:tcPr>
            <w:tcW w:w="1329"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1814" w:type="dxa"/>
            <w:gridSpan w:val="2"/>
            <w:vMerge w:val="continue"/>
            <w:vAlign w:val="center"/>
          </w:tcPr>
          <w:p>
            <w:pPr>
              <w:widowControl/>
              <w:jc w:val="left"/>
              <w:rPr>
                <w:rFonts w:hint="default" w:ascii="宋体" w:hAnsi="宋体" w:eastAsia="宋体" w:cs="宋体"/>
                <w:color w:val="000000"/>
                <w:kern w:val="0"/>
                <w:sz w:val="18"/>
                <w:szCs w:val="18"/>
              </w:rPr>
            </w:pPr>
          </w:p>
        </w:tc>
        <w:tc>
          <w:tcPr>
            <w:tcW w:w="930"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其他资金</w:t>
            </w:r>
          </w:p>
        </w:tc>
        <w:tc>
          <w:tcPr>
            <w:tcW w:w="870"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0</w:t>
            </w:r>
          </w:p>
        </w:tc>
        <w:tc>
          <w:tcPr>
            <w:tcW w:w="825"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0</w:t>
            </w:r>
          </w:p>
        </w:tc>
        <w:tc>
          <w:tcPr>
            <w:tcW w:w="855"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0</w:t>
            </w:r>
          </w:p>
        </w:tc>
        <w:tc>
          <w:tcPr>
            <w:tcW w:w="555"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w:t>
            </w:r>
          </w:p>
        </w:tc>
        <w:tc>
          <w:tcPr>
            <w:tcW w:w="1110"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w:t>
            </w:r>
          </w:p>
        </w:tc>
        <w:tc>
          <w:tcPr>
            <w:tcW w:w="1329"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914" w:type="dxa"/>
            <w:vMerge w:val="restart"/>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年度总体目标</w:t>
            </w:r>
          </w:p>
        </w:tc>
        <w:tc>
          <w:tcPr>
            <w:tcW w:w="3525" w:type="dxa"/>
            <w:gridSpan w:val="4"/>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预期目标</w:t>
            </w:r>
          </w:p>
        </w:tc>
        <w:tc>
          <w:tcPr>
            <w:tcW w:w="3849" w:type="dxa"/>
            <w:gridSpan w:val="4"/>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914" w:type="dxa"/>
            <w:vMerge w:val="continue"/>
            <w:vAlign w:val="center"/>
          </w:tcPr>
          <w:p>
            <w:pPr>
              <w:widowControl/>
              <w:jc w:val="left"/>
              <w:rPr>
                <w:rFonts w:hint="default" w:ascii="宋体" w:hAnsi="宋体" w:eastAsia="宋体" w:cs="宋体"/>
                <w:color w:val="000000"/>
                <w:kern w:val="0"/>
                <w:sz w:val="18"/>
                <w:szCs w:val="18"/>
              </w:rPr>
            </w:pPr>
          </w:p>
        </w:tc>
        <w:tc>
          <w:tcPr>
            <w:tcW w:w="3525" w:type="dxa"/>
            <w:gridSpan w:val="4"/>
            <w:shd w:val="clear" w:color="auto" w:fill="auto"/>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贯彻落实《中国中央国务院关于打赢脱贫攻坚战三年行动的指导意见，对建档立卡户、经济困难学生进行资助，减轻家庭困难学生的生活负担，帮助学生顺利完成学业。</w:t>
            </w:r>
          </w:p>
        </w:tc>
        <w:tc>
          <w:tcPr>
            <w:tcW w:w="3849" w:type="dxa"/>
            <w:gridSpan w:val="4"/>
            <w:shd w:val="clear" w:color="auto" w:fill="auto"/>
            <w:vAlign w:val="center"/>
          </w:tcPr>
          <w:p>
            <w:pPr>
              <w:widowControl/>
              <w:jc w:val="left"/>
              <w:rPr>
                <w:rFonts w:hint="default" w:ascii="宋体" w:hAnsi="宋体" w:eastAsia="宋体" w:cs="宋体"/>
                <w:color w:val="000000"/>
                <w:kern w:val="0"/>
                <w:sz w:val="18"/>
                <w:szCs w:val="18"/>
              </w:rPr>
            </w:pPr>
          </w:p>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免学费资金37万用于公用经费支出，助学金18.88万元，实际支付18.66万元，结余2200元不足以发放学生助学金。未支付完。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914" w:type="dxa"/>
            <w:vMerge w:val="restart"/>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c>
          <w:tcPr>
            <w:tcW w:w="900" w:type="dxa"/>
            <w:vMerge w:val="restart"/>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一级指标</w:t>
            </w:r>
          </w:p>
        </w:tc>
        <w:tc>
          <w:tcPr>
            <w:tcW w:w="930" w:type="dxa"/>
            <w:vMerge w:val="restart"/>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二级指标</w:t>
            </w:r>
          </w:p>
        </w:tc>
        <w:tc>
          <w:tcPr>
            <w:tcW w:w="870" w:type="dxa"/>
            <w:vMerge w:val="restart"/>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三级指标</w:t>
            </w:r>
          </w:p>
        </w:tc>
        <w:tc>
          <w:tcPr>
            <w:tcW w:w="825" w:type="dxa"/>
            <w:vMerge w:val="restart"/>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年度指标值</w:t>
            </w:r>
          </w:p>
        </w:tc>
        <w:tc>
          <w:tcPr>
            <w:tcW w:w="855" w:type="dxa"/>
            <w:vMerge w:val="restart"/>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实际完成值</w:t>
            </w:r>
          </w:p>
        </w:tc>
        <w:tc>
          <w:tcPr>
            <w:tcW w:w="555" w:type="dxa"/>
            <w:vMerge w:val="restart"/>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分值</w:t>
            </w:r>
          </w:p>
        </w:tc>
        <w:tc>
          <w:tcPr>
            <w:tcW w:w="1110" w:type="dxa"/>
            <w:vMerge w:val="restart"/>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得分</w:t>
            </w:r>
          </w:p>
        </w:tc>
        <w:tc>
          <w:tcPr>
            <w:tcW w:w="1329" w:type="dxa"/>
            <w:vMerge w:val="restart"/>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914" w:type="dxa"/>
            <w:vMerge w:val="continue"/>
            <w:vAlign w:val="center"/>
          </w:tcPr>
          <w:p>
            <w:pPr>
              <w:widowControl/>
              <w:jc w:val="left"/>
              <w:rPr>
                <w:rFonts w:hint="default" w:ascii="宋体" w:hAnsi="宋体" w:eastAsia="宋体" w:cs="宋体"/>
                <w:color w:val="000000"/>
                <w:kern w:val="0"/>
                <w:sz w:val="18"/>
                <w:szCs w:val="18"/>
              </w:rPr>
            </w:pPr>
          </w:p>
        </w:tc>
        <w:tc>
          <w:tcPr>
            <w:tcW w:w="900" w:type="dxa"/>
            <w:vMerge w:val="continue"/>
            <w:vAlign w:val="center"/>
          </w:tcPr>
          <w:p>
            <w:pPr>
              <w:widowControl/>
              <w:jc w:val="left"/>
              <w:rPr>
                <w:rFonts w:hint="default" w:ascii="宋体" w:hAnsi="宋体" w:eastAsia="宋体" w:cs="宋体"/>
                <w:color w:val="000000"/>
                <w:kern w:val="0"/>
                <w:sz w:val="18"/>
                <w:szCs w:val="18"/>
              </w:rPr>
            </w:pPr>
          </w:p>
        </w:tc>
        <w:tc>
          <w:tcPr>
            <w:tcW w:w="930" w:type="dxa"/>
            <w:vMerge w:val="continue"/>
            <w:vAlign w:val="center"/>
          </w:tcPr>
          <w:p>
            <w:pPr>
              <w:widowControl/>
              <w:jc w:val="left"/>
              <w:rPr>
                <w:rFonts w:hint="default" w:ascii="宋体" w:hAnsi="宋体" w:eastAsia="宋体" w:cs="宋体"/>
                <w:color w:val="000000"/>
                <w:kern w:val="0"/>
                <w:sz w:val="18"/>
                <w:szCs w:val="18"/>
              </w:rPr>
            </w:pPr>
          </w:p>
        </w:tc>
        <w:tc>
          <w:tcPr>
            <w:tcW w:w="870" w:type="dxa"/>
            <w:vMerge w:val="continue"/>
            <w:vAlign w:val="center"/>
          </w:tcPr>
          <w:p>
            <w:pPr>
              <w:widowControl/>
              <w:jc w:val="left"/>
              <w:rPr>
                <w:rFonts w:hint="default" w:ascii="宋体" w:hAnsi="宋体" w:eastAsia="宋体" w:cs="宋体"/>
                <w:color w:val="000000"/>
                <w:kern w:val="0"/>
                <w:sz w:val="18"/>
                <w:szCs w:val="18"/>
              </w:rPr>
            </w:pPr>
          </w:p>
        </w:tc>
        <w:tc>
          <w:tcPr>
            <w:tcW w:w="825" w:type="dxa"/>
            <w:vMerge w:val="continue"/>
            <w:vAlign w:val="center"/>
          </w:tcPr>
          <w:p>
            <w:pPr>
              <w:widowControl/>
              <w:jc w:val="left"/>
              <w:rPr>
                <w:rFonts w:hint="default" w:ascii="宋体" w:hAnsi="宋体" w:eastAsia="宋体" w:cs="宋体"/>
                <w:color w:val="000000"/>
                <w:kern w:val="0"/>
                <w:sz w:val="18"/>
                <w:szCs w:val="18"/>
              </w:rPr>
            </w:pPr>
          </w:p>
        </w:tc>
        <w:tc>
          <w:tcPr>
            <w:tcW w:w="855" w:type="dxa"/>
            <w:vMerge w:val="continue"/>
            <w:vAlign w:val="center"/>
          </w:tcPr>
          <w:p>
            <w:pPr>
              <w:widowControl/>
              <w:jc w:val="left"/>
              <w:rPr>
                <w:rFonts w:hint="default" w:ascii="宋体" w:hAnsi="宋体" w:eastAsia="宋体" w:cs="宋体"/>
                <w:color w:val="000000"/>
                <w:kern w:val="0"/>
                <w:sz w:val="18"/>
                <w:szCs w:val="18"/>
              </w:rPr>
            </w:pPr>
          </w:p>
        </w:tc>
        <w:tc>
          <w:tcPr>
            <w:tcW w:w="555" w:type="dxa"/>
            <w:vMerge w:val="continue"/>
            <w:vAlign w:val="center"/>
          </w:tcPr>
          <w:p>
            <w:pPr>
              <w:widowControl/>
              <w:jc w:val="left"/>
              <w:rPr>
                <w:rFonts w:hint="default" w:ascii="宋体" w:hAnsi="宋体" w:eastAsia="宋体" w:cs="宋体"/>
                <w:color w:val="000000"/>
                <w:kern w:val="0"/>
                <w:sz w:val="18"/>
                <w:szCs w:val="18"/>
              </w:rPr>
            </w:pPr>
          </w:p>
        </w:tc>
        <w:tc>
          <w:tcPr>
            <w:tcW w:w="1110" w:type="dxa"/>
            <w:vMerge w:val="continue"/>
            <w:vAlign w:val="center"/>
          </w:tcPr>
          <w:p>
            <w:pPr>
              <w:widowControl/>
              <w:jc w:val="left"/>
              <w:rPr>
                <w:rFonts w:hint="default" w:ascii="宋体" w:hAnsi="宋体" w:eastAsia="宋体" w:cs="宋体"/>
                <w:color w:val="000000"/>
                <w:kern w:val="0"/>
                <w:sz w:val="18"/>
                <w:szCs w:val="18"/>
              </w:rPr>
            </w:pPr>
          </w:p>
        </w:tc>
        <w:tc>
          <w:tcPr>
            <w:tcW w:w="1329" w:type="dxa"/>
            <w:vMerge w:val="continue"/>
            <w:vAlign w:val="center"/>
          </w:tcPr>
          <w:p>
            <w:pPr>
              <w:widowControl/>
              <w:jc w:val="left"/>
              <w:rPr>
                <w:rFonts w:hint="default" w:ascii="宋体" w:hAnsi="宋体" w:eastAsia="宋体" w:cs="宋体"/>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914" w:type="dxa"/>
            <w:vMerge w:val="restart"/>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年度绩效指标完成情况</w:t>
            </w:r>
          </w:p>
        </w:tc>
        <w:tc>
          <w:tcPr>
            <w:tcW w:w="900" w:type="dxa"/>
            <w:vMerge w:val="restart"/>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产出指标</w:t>
            </w:r>
          </w:p>
        </w:tc>
        <w:tc>
          <w:tcPr>
            <w:tcW w:w="930"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数量指标</w:t>
            </w:r>
          </w:p>
        </w:tc>
        <w:tc>
          <w:tcPr>
            <w:tcW w:w="870" w:type="dxa"/>
            <w:shd w:val="clear" w:color="auto" w:fill="auto"/>
            <w:noWrap/>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受助学生数量（助学金）</w:t>
            </w:r>
          </w:p>
        </w:tc>
        <w:tc>
          <w:tcPr>
            <w:tcW w:w="825"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&lt;=194人</w:t>
            </w:r>
          </w:p>
        </w:tc>
        <w:tc>
          <w:tcPr>
            <w:tcW w:w="855"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194人</w:t>
            </w:r>
          </w:p>
        </w:tc>
        <w:tc>
          <w:tcPr>
            <w:tcW w:w="555"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10</w:t>
            </w:r>
          </w:p>
        </w:tc>
        <w:tc>
          <w:tcPr>
            <w:tcW w:w="1110"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10</w:t>
            </w:r>
          </w:p>
        </w:tc>
        <w:tc>
          <w:tcPr>
            <w:tcW w:w="1329" w:type="dxa"/>
            <w:shd w:val="clear" w:color="auto" w:fill="auto"/>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914" w:type="dxa"/>
            <w:vMerge w:val="continue"/>
            <w:vAlign w:val="center"/>
          </w:tcPr>
          <w:p>
            <w:pPr>
              <w:widowControl/>
              <w:jc w:val="left"/>
              <w:rPr>
                <w:rFonts w:hint="default" w:ascii="宋体" w:hAnsi="宋体" w:eastAsia="宋体" w:cs="宋体"/>
                <w:color w:val="000000"/>
                <w:kern w:val="0"/>
                <w:sz w:val="18"/>
                <w:szCs w:val="18"/>
              </w:rPr>
            </w:pPr>
          </w:p>
        </w:tc>
        <w:tc>
          <w:tcPr>
            <w:tcW w:w="900" w:type="dxa"/>
            <w:vMerge w:val="continue"/>
            <w:vAlign w:val="center"/>
          </w:tcPr>
          <w:p>
            <w:pPr>
              <w:widowControl/>
              <w:jc w:val="left"/>
              <w:rPr>
                <w:rFonts w:hint="default" w:ascii="宋体" w:hAnsi="宋体" w:eastAsia="宋体" w:cs="宋体"/>
                <w:color w:val="000000"/>
                <w:kern w:val="0"/>
                <w:sz w:val="18"/>
                <w:szCs w:val="18"/>
              </w:rPr>
            </w:pPr>
          </w:p>
        </w:tc>
        <w:tc>
          <w:tcPr>
            <w:tcW w:w="930"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数量指标</w:t>
            </w:r>
          </w:p>
        </w:tc>
        <w:tc>
          <w:tcPr>
            <w:tcW w:w="870" w:type="dxa"/>
            <w:shd w:val="clear" w:color="auto" w:fill="auto"/>
            <w:noWrap/>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受助学生数量（免学费资金）</w:t>
            </w:r>
          </w:p>
        </w:tc>
        <w:tc>
          <w:tcPr>
            <w:tcW w:w="825"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&lt;=1049人</w:t>
            </w:r>
          </w:p>
        </w:tc>
        <w:tc>
          <w:tcPr>
            <w:tcW w:w="855"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1049人</w:t>
            </w:r>
          </w:p>
        </w:tc>
        <w:tc>
          <w:tcPr>
            <w:tcW w:w="555"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10</w:t>
            </w:r>
          </w:p>
        </w:tc>
        <w:tc>
          <w:tcPr>
            <w:tcW w:w="1110"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10</w:t>
            </w:r>
          </w:p>
        </w:tc>
        <w:tc>
          <w:tcPr>
            <w:tcW w:w="1329" w:type="dxa"/>
            <w:shd w:val="clear" w:color="auto" w:fill="auto"/>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914" w:type="dxa"/>
            <w:vMerge w:val="continue"/>
            <w:vAlign w:val="center"/>
          </w:tcPr>
          <w:p>
            <w:pPr>
              <w:widowControl/>
              <w:jc w:val="left"/>
              <w:rPr>
                <w:rFonts w:hint="default" w:ascii="宋体" w:hAnsi="宋体" w:eastAsia="宋体" w:cs="宋体"/>
                <w:color w:val="000000"/>
                <w:kern w:val="0"/>
                <w:sz w:val="18"/>
                <w:szCs w:val="18"/>
              </w:rPr>
            </w:pPr>
          </w:p>
        </w:tc>
        <w:tc>
          <w:tcPr>
            <w:tcW w:w="900" w:type="dxa"/>
            <w:vMerge w:val="continue"/>
            <w:vAlign w:val="center"/>
          </w:tcPr>
          <w:p>
            <w:pPr>
              <w:widowControl/>
              <w:jc w:val="left"/>
              <w:rPr>
                <w:rFonts w:hint="default" w:ascii="宋体" w:hAnsi="宋体" w:eastAsia="宋体" w:cs="宋体"/>
                <w:color w:val="000000"/>
                <w:kern w:val="0"/>
                <w:sz w:val="18"/>
                <w:szCs w:val="18"/>
              </w:rPr>
            </w:pPr>
          </w:p>
        </w:tc>
        <w:tc>
          <w:tcPr>
            <w:tcW w:w="930"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质量指标</w:t>
            </w:r>
          </w:p>
        </w:tc>
        <w:tc>
          <w:tcPr>
            <w:tcW w:w="870" w:type="dxa"/>
            <w:shd w:val="clear" w:color="auto" w:fill="auto"/>
            <w:noWrap/>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资金及时发放率</w:t>
            </w:r>
          </w:p>
        </w:tc>
        <w:tc>
          <w:tcPr>
            <w:tcW w:w="825"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=100%</w:t>
            </w:r>
          </w:p>
        </w:tc>
        <w:tc>
          <w:tcPr>
            <w:tcW w:w="855"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100%</w:t>
            </w:r>
          </w:p>
        </w:tc>
        <w:tc>
          <w:tcPr>
            <w:tcW w:w="555"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10</w:t>
            </w:r>
          </w:p>
        </w:tc>
        <w:tc>
          <w:tcPr>
            <w:tcW w:w="1110"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10</w:t>
            </w:r>
          </w:p>
        </w:tc>
        <w:tc>
          <w:tcPr>
            <w:tcW w:w="1329" w:type="dxa"/>
            <w:shd w:val="clear" w:color="auto" w:fill="auto"/>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914" w:type="dxa"/>
            <w:vMerge w:val="continue"/>
            <w:vAlign w:val="center"/>
          </w:tcPr>
          <w:p>
            <w:pPr>
              <w:widowControl/>
              <w:jc w:val="left"/>
              <w:rPr>
                <w:rFonts w:hint="default" w:ascii="宋体" w:hAnsi="宋体" w:eastAsia="宋体" w:cs="宋体"/>
                <w:color w:val="000000"/>
                <w:kern w:val="0"/>
                <w:sz w:val="18"/>
                <w:szCs w:val="18"/>
              </w:rPr>
            </w:pPr>
          </w:p>
        </w:tc>
        <w:tc>
          <w:tcPr>
            <w:tcW w:w="900" w:type="dxa"/>
            <w:vMerge w:val="continue"/>
            <w:vAlign w:val="center"/>
          </w:tcPr>
          <w:p>
            <w:pPr>
              <w:widowControl/>
              <w:jc w:val="left"/>
              <w:rPr>
                <w:rFonts w:hint="default" w:ascii="宋体" w:hAnsi="宋体" w:eastAsia="宋体" w:cs="宋体"/>
                <w:color w:val="000000"/>
                <w:kern w:val="0"/>
                <w:sz w:val="18"/>
                <w:szCs w:val="18"/>
              </w:rPr>
            </w:pPr>
          </w:p>
        </w:tc>
        <w:tc>
          <w:tcPr>
            <w:tcW w:w="930"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时效指标</w:t>
            </w:r>
          </w:p>
        </w:tc>
        <w:tc>
          <w:tcPr>
            <w:tcW w:w="870" w:type="dxa"/>
            <w:shd w:val="clear" w:color="auto" w:fill="auto"/>
            <w:noWrap/>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项目完成时间</w:t>
            </w:r>
          </w:p>
        </w:tc>
        <w:tc>
          <w:tcPr>
            <w:tcW w:w="825"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2022年1月-12月</w:t>
            </w:r>
          </w:p>
        </w:tc>
        <w:tc>
          <w:tcPr>
            <w:tcW w:w="855"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2022年1月-12月</w:t>
            </w:r>
          </w:p>
        </w:tc>
        <w:tc>
          <w:tcPr>
            <w:tcW w:w="555"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10</w:t>
            </w:r>
          </w:p>
        </w:tc>
        <w:tc>
          <w:tcPr>
            <w:tcW w:w="1110"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10</w:t>
            </w:r>
          </w:p>
        </w:tc>
        <w:tc>
          <w:tcPr>
            <w:tcW w:w="1329" w:type="dxa"/>
            <w:shd w:val="clear" w:color="auto" w:fill="auto"/>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914" w:type="dxa"/>
            <w:vMerge w:val="continue"/>
            <w:vAlign w:val="center"/>
          </w:tcPr>
          <w:p>
            <w:pPr>
              <w:widowControl/>
              <w:jc w:val="left"/>
              <w:rPr>
                <w:rFonts w:hint="default" w:ascii="宋体" w:hAnsi="宋体" w:eastAsia="宋体" w:cs="宋体"/>
                <w:color w:val="000000"/>
                <w:kern w:val="0"/>
                <w:sz w:val="18"/>
                <w:szCs w:val="18"/>
              </w:rPr>
            </w:pPr>
          </w:p>
        </w:tc>
        <w:tc>
          <w:tcPr>
            <w:tcW w:w="900" w:type="dxa"/>
            <w:vMerge w:val="continue"/>
            <w:vAlign w:val="center"/>
          </w:tcPr>
          <w:p>
            <w:pPr>
              <w:widowControl/>
              <w:jc w:val="left"/>
              <w:rPr>
                <w:rFonts w:hint="default" w:ascii="宋体" w:hAnsi="宋体" w:eastAsia="宋体" w:cs="宋体"/>
                <w:color w:val="000000"/>
                <w:kern w:val="0"/>
                <w:sz w:val="18"/>
                <w:szCs w:val="18"/>
              </w:rPr>
            </w:pPr>
          </w:p>
        </w:tc>
        <w:tc>
          <w:tcPr>
            <w:tcW w:w="930"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成本指标</w:t>
            </w:r>
          </w:p>
        </w:tc>
        <w:tc>
          <w:tcPr>
            <w:tcW w:w="870" w:type="dxa"/>
            <w:shd w:val="clear" w:color="auto" w:fill="auto"/>
            <w:noWrap/>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助学金生均标准</w:t>
            </w:r>
          </w:p>
        </w:tc>
        <w:tc>
          <w:tcPr>
            <w:tcW w:w="825"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&lt;=2000元/生/年</w:t>
            </w:r>
          </w:p>
        </w:tc>
        <w:tc>
          <w:tcPr>
            <w:tcW w:w="855"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2000元/生/年</w:t>
            </w:r>
          </w:p>
        </w:tc>
        <w:tc>
          <w:tcPr>
            <w:tcW w:w="555"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5</w:t>
            </w:r>
          </w:p>
        </w:tc>
        <w:tc>
          <w:tcPr>
            <w:tcW w:w="1110"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5</w:t>
            </w:r>
          </w:p>
        </w:tc>
        <w:tc>
          <w:tcPr>
            <w:tcW w:w="1329" w:type="dxa"/>
            <w:shd w:val="clear" w:color="auto" w:fill="auto"/>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914" w:type="dxa"/>
            <w:vMerge w:val="continue"/>
            <w:vAlign w:val="center"/>
          </w:tcPr>
          <w:p>
            <w:pPr>
              <w:widowControl/>
              <w:jc w:val="left"/>
              <w:rPr>
                <w:rFonts w:hint="default" w:ascii="宋体" w:hAnsi="宋体" w:eastAsia="宋体" w:cs="宋体"/>
                <w:color w:val="000000"/>
                <w:kern w:val="0"/>
                <w:sz w:val="18"/>
                <w:szCs w:val="18"/>
              </w:rPr>
            </w:pPr>
          </w:p>
        </w:tc>
        <w:tc>
          <w:tcPr>
            <w:tcW w:w="900" w:type="dxa"/>
            <w:vMerge w:val="continue"/>
            <w:vAlign w:val="center"/>
          </w:tcPr>
          <w:p>
            <w:pPr>
              <w:widowControl/>
              <w:jc w:val="left"/>
              <w:rPr>
                <w:rFonts w:hint="default" w:ascii="宋体" w:hAnsi="宋体" w:eastAsia="宋体" w:cs="宋体"/>
                <w:color w:val="000000"/>
                <w:kern w:val="0"/>
                <w:sz w:val="18"/>
                <w:szCs w:val="18"/>
              </w:rPr>
            </w:pPr>
          </w:p>
        </w:tc>
        <w:tc>
          <w:tcPr>
            <w:tcW w:w="930"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成本指标</w:t>
            </w:r>
          </w:p>
        </w:tc>
        <w:tc>
          <w:tcPr>
            <w:tcW w:w="870" w:type="dxa"/>
            <w:shd w:val="clear" w:color="auto" w:fill="auto"/>
            <w:noWrap/>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免学费生均标准</w:t>
            </w:r>
          </w:p>
        </w:tc>
        <w:tc>
          <w:tcPr>
            <w:tcW w:w="825"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=2000元/生/年</w:t>
            </w:r>
          </w:p>
        </w:tc>
        <w:tc>
          <w:tcPr>
            <w:tcW w:w="855"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2000元/生/年</w:t>
            </w:r>
          </w:p>
        </w:tc>
        <w:tc>
          <w:tcPr>
            <w:tcW w:w="555"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5</w:t>
            </w:r>
          </w:p>
        </w:tc>
        <w:tc>
          <w:tcPr>
            <w:tcW w:w="1110"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5</w:t>
            </w:r>
          </w:p>
        </w:tc>
        <w:tc>
          <w:tcPr>
            <w:tcW w:w="1329" w:type="dxa"/>
            <w:shd w:val="clear" w:color="auto" w:fill="auto"/>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914" w:type="dxa"/>
            <w:vMerge w:val="continue"/>
            <w:vAlign w:val="center"/>
          </w:tcPr>
          <w:p>
            <w:pPr>
              <w:widowControl/>
              <w:jc w:val="left"/>
              <w:rPr>
                <w:rFonts w:hint="default" w:ascii="宋体" w:hAnsi="宋体" w:eastAsia="宋体" w:cs="宋体"/>
                <w:color w:val="000000"/>
                <w:kern w:val="0"/>
                <w:sz w:val="18"/>
                <w:szCs w:val="18"/>
              </w:rPr>
            </w:pPr>
          </w:p>
        </w:tc>
        <w:tc>
          <w:tcPr>
            <w:tcW w:w="900" w:type="dxa"/>
            <w:vMerge w:val="restart"/>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效益指标</w:t>
            </w:r>
          </w:p>
        </w:tc>
        <w:tc>
          <w:tcPr>
            <w:tcW w:w="930"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经济效益指标</w:t>
            </w:r>
          </w:p>
        </w:tc>
        <w:tc>
          <w:tcPr>
            <w:tcW w:w="870" w:type="dxa"/>
            <w:shd w:val="clear" w:color="auto" w:fill="auto"/>
            <w:noWrap/>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c>
          <w:tcPr>
            <w:tcW w:w="825"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c>
          <w:tcPr>
            <w:tcW w:w="855"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c>
          <w:tcPr>
            <w:tcW w:w="555"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c>
          <w:tcPr>
            <w:tcW w:w="1110"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c>
          <w:tcPr>
            <w:tcW w:w="1329" w:type="dxa"/>
            <w:shd w:val="clear" w:color="auto" w:fill="auto"/>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914" w:type="dxa"/>
            <w:vMerge w:val="continue"/>
            <w:vAlign w:val="center"/>
          </w:tcPr>
          <w:p>
            <w:pPr>
              <w:widowControl/>
              <w:jc w:val="left"/>
              <w:rPr>
                <w:rFonts w:hint="default" w:ascii="宋体" w:hAnsi="宋体" w:eastAsia="宋体" w:cs="宋体"/>
                <w:color w:val="000000"/>
                <w:kern w:val="0"/>
                <w:sz w:val="18"/>
                <w:szCs w:val="18"/>
              </w:rPr>
            </w:pPr>
          </w:p>
        </w:tc>
        <w:tc>
          <w:tcPr>
            <w:tcW w:w="900" w:type="dxa"/>
            <w:vMerge w:val="continue"/>
            <w:vAlign w:val="center"/>
          </w:tcPr>
          <w:p>
            <w:pPr>
              <w:widowControl/>
              <w:jc w:val="left"/>
              <w:rPr>
                <w:rFonts w:hint="default" w:ascii="宋体" w:hAnsi="宋体" w:eastAsia="宋体" w:cs="宋体"/>
                <w:color w:val="000000"/>
                <w:kern w:val="0"/>
                <w:sz w:val="18"/>
                <w:szCs w:val="18"/>
              </w:rPr>
            </w:pPr>
          </w:p>
        </w:tc>
        <w:tc>
          <w:tcPr>
            <w:tcW w:w="930"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社会效益指标</w:t>
            </w:r>
          </w:p>
        </w:tc>
        <w:tc>
          <w:tcPr>
            <w:tcW w:w="870" w:type="dxa"/>
            <w:shd w:val="clear" w:color="auto" w:fill="auto"/>
            <w:noWrap/>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提高职业学校平均就业率、升学率</w:t>
            </w:r>
          </w:p>
        </w:tc>
        <w:tc>
          <w:tcPr>
            <w:tcW w:w="825"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显著提高</w:t>
            </w:r>
          </w:p>
        </w:tc>
        <w:tc>
          <w:tcPr>
            <w:tcW w:w="855"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完全达到预期效果</w:t>
            </w:r>
          </w:p>
        </w:tc>
        <w:tc>
          <w:tcPr>
            <w:tcW w:w="555"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15</w:t>
            </w:r>
          </w:p>
        </w:tc>
        <w:tc>
          <w:tcPr>
            <w:tcW w:w="1110"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15</w:t>
            </w:r>
          </w:p>
        </w:tc>
        <w:tc>
          <w:tcPr>
            <w:tcW w:w="1329" w:type="dxa"/>
            <w:shd w:val="clear" w:color="auto" w:fill="auto"/>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914" w:type="dxa"/>
            <w:vMerge w:val="continue"/>
            <w:vAlign w:val="center"/>
          </w:tcPr>
          <w:p>
            <w:pPr>
              <w:widowControl/>
              <w:jc w:val="left"/>
              <w:rPr>
                <w:rFonts w:hint="default" w:ascii="宋体" w:hAnsi="宋体" w:eastAsia="宋体" w:cs="宋体"/>
                <w:color w:val="000000"/>
                <w:kern w:val="0"/>
                <w:sz w:val="18"/>
                <w:szCs w:val="18"/>
              </w:rPr>
            </w:pPr>
          </w:p>
        </w:tc>
        <w:tc>
          <w:tcPr>
            <w:tcW w:w="900" w:type="dxa"/>
            <w:vMerge w:val="continue"/>
            <w:vAlign w:val="center"/>
          </w:tcPr>
          <w:p>
            <w:pPr>
              <w:widowControl/>
              <w:jc w:val="left"/>
              <w:rPr>
                <w:rFonts w:hint="default" w:ascii="宋体" w:hAnsi="宋体" w:eastAsia="宋体" w:cs="宋体"/>
                <w:color w:val="000000"/>
                <w:kern w:val="0"/>
                <w:sz w:val="18"/>
                <w:szCs w:val="18"/>
              </w:rPr>
            </w:pPr>
          </w:p>
        </w:tc>
        <w:tc>
          <w:tcPr>
            <w:tcW w:w="930"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生态效益指标</w:t>
            </w:r>
          </w:p>
        </w:tc>
        <w:tc>
          <w:tcPr>
            <w:tcW w:w="870" w:type="dxa"/>
            <w:shd w:val="clear" w:color="auto" w:fill="auto"/>
            <w:noWrap/>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c>
          <w:tcPr>
            <w:tcW w:w="825"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c>
          <w:tcPr>
            <w:tcW w:w="855"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c>
          <w:tcPr>
            <w:tcW w:w="555"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c>
          <w:tcPr>
            <w:tcW w:w="1110"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c>
          <w:tcPr>
            <w:tcW w:w="1329" w:type="dxa"/>
            <w:shd w:val="clear" w:color="auto" w:fill="auto"/>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914" w:type="dxa"/>
            <w:vMerge w:val="continue"/>
            <w:vAlign w:val="center"/>
          </w:tcPr>
          <w:p>
            <w:pPr>
              <w:widowControl/>
              <w:jc w:val="left"/>
              <w:rPr>
                <w:rFonts w:hint="default" w:ascii="宋体" w:hAnsi="宋体" w:eastAsia="宋体" w:cs="宋体"/>
                <w:color w:val="000000"/>
                <w:kern w:val="0"/>
                <w:sz w:val="18"/>
                <w:szCs w:val="18"/>
              </w:rPr>
            </w:pPr>
          </w:p>
        </w:tc>
        <w:tc>
          <w:tcPr>
            <w:tcW w:w="900" w:type="dxa"/>
            <w:vMerge w:val="continue"/>
            <w:vAlign w:val="center"/>
          </w:tcPr>
          <w:p>
            <w:pPr>
              <w:widowControl/>
              <w:jc w:val="left"/>
              <w:rPr>
                <w:rFonts w:hint="default" w:ascii="宋体" w:hAnsi="宋体" w:eastAsia="宋体" w:cs="宋体"/>
                <w:color w:val="000000"/>
                <w:kern w:val="0"/>
                <w:sz w:val="18"/>
                <w:szCs w:val="18"/>
              </w:rPr>
            </w:pPr>
          </w:p>
        </w:tc>
        <w:tc>
          <w:tcPr>
            <w:tcW w:w="930"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可持续影响指标</w:t>
            </w:r>
          </w:p>
        </w:tc>
        <w:tc>
          <w:tcPr>
            <w:tcW w:w="870" w:type="dxa"/>
            <w:shd w:val="clear" w:color="auto" w:fill="auto"/>
            <w:noWrap/>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促进教育公平，提升中职吸引力</w:t>
            </w:r>
          </w:p>
        </w:tc>
        <w:tc>
          <w:tcPr>
            <w:tcW w:w="825"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长期促进</w:t>
            </w:r>
          </w:p>
        </w:tc>
        <w:tc>
          <w:tcPr>
            <w:tcW w:w="855"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完全达到预期效果</w:t>
            </w:r>
          </w:p>
        </w:tc>
        <w:tc>
          <w:tcPr>
            <w:tcW w:w="555"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15</w:t>
            </w:r>
          </w:p>
        </w:tc>
        <w:tc>
          <w:tcPr>
            <w:tcW w:w="1110"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15</w:t>
            </w:r>
          </w:p>
        </w:tc>
        <w:tc>
          <w:tcPr>
            <w:tcW w:w="1329" w:type="dxa"/>
            <w:shd w:val="clear" w:color="auto" w:fill="auto"/>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914" w:type="dxa"/>
            <w:vMerge w:val="continue"/>
            <w:vAlign w:val="center"/>
          </w:tcPr>
          <w:p>
            <w:pPr>
              <w:widowControl/>
              <w:jc w:val="left"/>
              <w:rPr>
                <w:rFonts w:hint="default" w:ascii="宋体" w:hAnsi="宋体" w:eastAsia="宋体" w:cs="宋体"/>
                <w:color w:val="000000"/>
                <w:kern w:val="0"/>
                <w:sz w:val="18"/>
                <w:szCs w:val="18"/>
              </w:rPr>
            </w:pPr>
          </w:p>
        </w:tc>
        <w:tc>
          <w:tcPr>
            <w:tcW w:w="900" w:type="dxa"/>
            <w:vMerge w:val="restart"/>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满意度指标</w:t>
            </w:r>
          </w:p>
        </w:tc>
        <w:tc>
          <w:tcPr>
            <w:tcW w:w="930"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满意度指标</w:t>
            </w:r>
          </w:p>
        </w:tc>
        <w:tc>
          <w:tcPr>
            <w:tcW w:w="870" w:type="dxa"/>
            <w:shd w:val="clear" w:color="auto" w:fill="auto"/>
            <w:noWrap/>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学生满意度</w:t>
            </w:r>
          </w:p>
        </w:tc>
        <w:tc>
          <w:tcPr>
            <w:tcW w:w="825"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&gt;=90%</w:t>
            </w:r>
          </w:p>
        </w:tc>
        <w:tc>
          <w:tcPr>
            <w:tcW w:w="855"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90%</w:t>
            </w:r>
          </w:p>
        </w:tc>
        <w:tc>
          <w:tcPr>
            <w:tcW w:w="555"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5</w:t>
            </w:r>
          </w:p>
        </w:tc>
        <w:tc>
          <w:tcPr>
            <w:tcW w:w="1110"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5</w:t>
            </w:r>
          </w:p>
        </w:tc>
        <w:tc>
          <w:tcPr>
            <w:tcW w:w="1329" w:type="dxa"/>
            <w:shd w:val="clear" w:color="auto" w:fill="auto"/>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914" w:type="dxa"/>
            <w:vMerge w:val="continue"/>
            <w:vAlign w:val="center"/>
          </w:tcPr>
          <w:p>
            <w:pPr>
              <w:widowControl/>
              <w:jc w:val="left"/>
              <w:rPr>
                <w:rFonts w:hint="default" w:ascii="宋体" w:hAnsi="宋体" w:eastAsia="宋体" w:cs="宋体"/>
                <w:color w:val="000000"/>
                <w:kern w:val="0"/>
                <w:sz w:val="18"/>
                <w:szCs w:val="18"/>
              </w:rPr>
            </w:pPr>
          </w:p>
        </w:tc>
        <w:tc>
          <w:tcPr>
            <w:tcW w:w="900" w:type="dxa"/>
            <w:vMerge w:val="continue"/>
            <w:vAlign w:val="center"/>
          </w:tcPr>
          <w:p>
            <w:pPr>
              <w:widowControl/>
              <w:jc w:val="left"/>
              <w:rPr>
                <w:rFonts w:hint="default" w:ascii="宋体" w:hAnsi="宋体" w:eastAsia="宋体" w:cs="宋体"/>
                <w:color w:val="000000"/>
                <w:kern w:val="0"/>
                <w:sz w:val="18"/>
                <w:szCs w:val="18"/>
              </w:rPr>
            </w:pPr>
          </w:p>
        </w:tc>
        <w:tc>
          <w:tcPr>
            <w:tcW w:w="930"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满意度指标</w:t>
            </w:r>
          </w:p>
        </w:tc>
        <w:tc>
          <w:tcPr>
            <w:tcW w:w="870" w:type="dxa"/>
            <w:shd w:val="clear" w:color="auto" w:fill="auto"/>
            <w:noWrap/>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家长满意度</w:t>
            </w:r>
          </w:p>
        </w:tc>
        <w:tc>
          <w:tcPr>
            <w:tcW w:w="825"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&gt;=90%</w:t>
            </w:r>
          </w:p>
        </w:tc>
        <w:tc>
          <w:tcPr>
            <w:tcW w:w="855"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90%</w:t>
            </w:r>
          </w:p>
        </w:tc>
        <w:tc>
          <w:tcPr>
            <w:tcW w:w="555"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5</w:t>
            </w:r>
          </w:p>
        </w:tc>
        <w:tc>
          <w:tcPr>
            <w:tcW w:w="1110"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5</w:t>
            </w:r>
          </w:p>
        </w:tc>
        <w:tc>
          <w:tcPr>
            <w:tcW w:w="1329" w:type="dxa"/>
            <w:shd w:val="clear" w:color="auto" w:fill="auto"/>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5849" w:type="dxa"/>
            <w:gridSpan w:val="7"/>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总分</w:t>
            </w:r>
          </w:p>
        </w:tc>
        <w:tc>
          <w:tcPr>
            <w:tcW w:w="1110"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100</w:t>
            </w:r>
          </w:p>
        </w:tc>
        <w:tc>
          <w:tcPr>
            <w:tcW w:w="1329" w:type="dxa"/>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99.96分　</w:t>
            </w:r>
          </w:p>
        </w:tc>
      </w:tr>
    </w:tbl>
    <w:p>
      <w:pPr>
        <w:rPr>
          <w:rFonts w:hint="default"/>
        </w:rPr>
      </w:pPr>
    </w:p>
    <w:tbl>
      <w:tblPr>
        <w:tblStyle w:val="4"/>
        <w:tblW w:w="82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9"/>
        <w:gridCol w:w="825"/>
        <w:gridCol w:w="810"/>
        <w:gridCol w:w="1069"/>
        <w:gridCol w:w="810"/>
        <w:gridCol w:w="795"/>
        <w:gridCol w:w="532"/>
        <w:gridCol w:w="863"/>
        <w:gridCol w:w="15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229" w:type="dxa"/>
            <w:gridSpan w:val="9"/>
            <w:tcBorders>
              <w:top w:val="nil"/>
              <w:left w:val="nil"/>
              <w:bottom w:val="nil"/>
              <w:right w:val="nil"/>
            </w:tcBorders>
            <w:shd w:val="clear" w:color="auto" w:fill="auto"/>
            <w:vAlign w:val="center"/>
          </w:tcPr>
          <w:p>
            <w:pPr>
              <w:widowControl/>
              <w:jc w:val="center"/>
              <w:rPr>
                <w:rFonts w:hint="default"/>
                <w:b/>
                <w:bCs/>
                <w:color w:val="000000"/>
                <w:sz w:val="32"/>
                <w:szCs w:val="32"/>
              </w:rPr>
            </w:pPr>
            <w:r>
              <w:rPr>
                <w:b/>
                <w:bCs/>
                <w:color w:val="000000"/>
                <w:sz w:val="32"/>
                <w:szCs w:val="32"/>
              </w:rPr>
              <w:t>项目支出绩效自评表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229" w:type="dxa"/>
            <w:gridSpan w:val="9"/>
            <w:tcBorders>
              <w:top w:val="nil"/>
              <w:left w:val="nil"/>
              <w:bottom w:val="single" w:color="auto" w:sz="4" w:space="0"/>
              <w:right w:val="nil"/>
            </w:tcBorders>
            <w:shd w:val="clear" w:color="auto" w:fill="auto"/>
            <w:vAlign w:val="center"/>
          </w:tcPr>
          <w:p>
            <w:pPr>
              <w:jc w:val="center"/>
              <w:rPr>
                <w:rFonts w:hint="default"/>
                <w:color w:val="000000"/>
                <w:sz w:val="20"/>
                <w:szCs w:val="20"/>
              </w:rPr>
            </w:pPr>
            <w:r>
              <w:rPr>
                <w:color w:val="000000"/>
                <w:sz w:val="20"/>
                <w:szCs w:val="20"/>
              </w:rPr>
              <w:t>(2022年度)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1824" w:type="dxa"/>
            <w:gridSpan w:val="2"/>
            <w:tcBorders>
              <w:top w:val="single" w:color="auto" w:sz="4" w:space="0"/>
            </w:tcBorders>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项目名称</w:t>
            </w:r>
          </w:p>
        </w:tc>
        <w:tc>
          <w:tcPr>
            <w:tcW w:w="6405" w:type="dxa"/>
            <w:gridSpan w:val="7"/>
            <w:tcBorders>
              <w:top w:val="single" w:color="auto" w:sz="4" w:space="0"/>
            </w:tcBorders>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职专免学费-乌财科教【2022】25号关于下达2022年学生资助补助直达资金（第二批）的通知-转移支付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1824" w:type="dxa"/>
            <w:gridSpan w:val="2"/>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主管部门</w:t>
            </w:r>
          </w:p>
        </w:tc>
        <w:tc>
          <w:tcPr>
            <w:tcW w:w="2689" w:type="dxa"/>
            <w:gridSpan w:val="3"/>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职业中等专业学校</w:t>
            </w:r>
          </w:p>
        </w:tc>
        <w:tc>
          <w:tcPr>
            <w:tcW w:w="795"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实施单位</w:t>
            </w:r>
          </w:p>
        </w:tc>
        <w:tc>
          <w:tcPr>
            <w:tcW w:w="2921" w:type="dxa"/>
            <w:gridSpan w:val="3"/>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职业中等专业学校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1824" w:type="dxa"/>
            <w:gridSpan w:val="2"/>
            <w:vMerge w:val="restart"/>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项目资金</w:t>
            </w:r>
          </w:p>
          <w:p>
            <w:pPr>
              <w:jc w:val="center"/>
              <w:rPr>
                <w:rFonts w:hint="default" w:ascii="宋体" w:hAnsi="宋体" w:eastAsia="宋体"/>
                <w:color w:val="000000"/>
                <w:sz w:val="18"/>
                <w:szCs w:val="18"/>
              </w:rPr>
            </w:pPr>
            <w:r>
              <w:rPr>
                <w:rFonts w:ascii="宋体" w:hAnsi="宋体" w:eastAsia="宋体"/>
                <w:color w:val="000000"/>
                <w:sz w:val="18"/>
                <w:szCs w:val="18"/>
              </w:rPr>
              <w:t>（万元）</w:t>
            </w:r>
          </w:p>
        </w:tc>
        <w:tc>
          <w:tcPr>
            <w:tcW w:w="810"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　</w:t>
            </w:r>
          </w:p>
        </w:tc>
        <w:tc>
          <w:tcPr>
            <w:tcW w:w="1069"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年初预算数</w:t>
            </w:r>
          </w:p>
        </w:tc>
        <w:tc>
          <w:tcPr>
            <w:tcW w:w="810"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全年预算数</w:t>
            </w:r>
          </w:p>
        </w:tc>
        <w:tc>
          <w:tcPr>
            <w:tcW w:w="795"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全年执行数</w:t>
            </w:r>
          </w:p>
        </w:tc>
        <w:tc>
          <w:tcPr>
            <w:tcW w:w="532"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分值</w:t>
            </w:r>
          </w:p>
        </w:tc>
        <w:tc>
          <w:tcPr>
            <w:tcW w:w="863"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执行率</w:t>
            </w:r>
          </w:p>
        </w:tc>
        <w:tc>
          <w:tcPr>
            <w:tcW w:w="1526"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1824" w:type="dxa"/>
            <w:gridSpan w:val="2"/>
            <w:vMerge w:val="continue"/>
            <w:vAlign w:val="center"/>
          </w:tcPr>
          <w:p>
            <w:pPr>
              <w:rPr>
                <w:rFonts w:hint="default" w:ascii="宋体" w:hAnsi="宋体" w:eastAsia="宋体" w:cs="宋体"/>
                <w:color w:val="000000"/>
                <w:sz w:val="18"/>
                <w:szCs w:val="18"/>
              </w:rPr>
            </w:pPr>
          </w:p>
        </w:tc>
        <w:tc>
          <w:tcPr>
            <w:tcW w:w="810"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年度资金总额</w:t>
            </w:r>
          </w:p>
        </w:tc>
        <w:tc>
          <w:tcPr>
            <w:tcW w:w="1069"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0.00</w:t>
            </w:r>
          </w:p>
        </w:tc>
        <w:tc>
          <w:tcPr>
            <w:tcW w:w="810"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22.00</w:t>
            </w:r>
          </w:p>
        </w:tc>
        <w:tc>
          <w:tcPr>
            <w:tcW w:w="795"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20.45</w:t>
            </w:r>
          </w:p>
        </w:tc>
        <w:tc>
          <w:tcPr>
            <w:tcW w:w="532"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10</w:t>
            </w:r>
          </w:p>
        </w:tc>
        <w:tc>
          <w:tcPr>
            <w:tcW w:w="863"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92.95%</w:t>
            </w:r>
          </w:p>
        </w:tc>
        <w:tc>
          <w:tcPr>
            <w:tcW w:w="1526"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9.30分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1824" w:type="dxa"/>
            <w:gridSpan w:val="2"/>
            <w:vMerge w:val="continue"/>
            <w:vAlign w:val="center"/>
          </w:tcPr>
          <w:p>
            <w:pPr>
              <w:rPr>
                <w:rFonts w:hint="default" w:ascii="宋体" w:hAnsi="宋体" w:eastAsia="宋体" w:cs="宋体"/>
                <w:color w:val="000000"/>
                <w:sz w:val="18"/>
                <w:szCs w:val="18"/>
              </w:rPr>
            </w:pPr>
          </w:p>
        </w:tc>
        <w:tc>
          <w:tcPr>
            <w:tcW w:w="810"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其中：当年财政拨款</w:t>
            </w:r>
          </w:p>
        </w:tc>
        <w:tc>
          <w:tcPr>
            <w:tcW w:w="1069"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0.00</w:t>
            </w:r>
          </w:p>
        </w:tc>
        <w:tc>
          <w:tcPr>
            <w:tcW w:w="810"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22.00</w:t>
            </w:r>
          </w:p>
        </w:tc>
        <w:tc>
          <w:tcPr>
            <w:tcW w:w="795"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20.45</w:t>
            </w:r>
          </w:p>
        </w:tc>
        <w:tc>
          <w:tcPr>
            <w:tcW w:w="532"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w:t>
            </w:r>
          </w:p>
        </w:tc>
        <w:tc>
          <w:tcPr>
            <w:tcW w:w="863"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w:t>
            </w:r>
          </w:p>
        </w:tc>
        <w:tc>
          <w:tcPr>
            <w:tcW w:w="1526"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1824" w:type="dxa"/>
            <w:gridSpan w:val="2"/>
            <w:vMerge w:val="continue"/>
            <w:vAlign w:val="center"/>
          </w:tcPr>
          <w:p>
            <w:pPr>
              <w:rPr>
                <w:rFonts w:hint="default" w:ascii="宋体" w:hAnsi="宋体" w:eastAsia="宋体" w:cs="宋体"/>
                <w:color w:val="000000"/>
                <w:sz w:val="18"/>
                <w:szCs w:val="18"/>
              </w:rPr>
            </w:pPr>
          </w:p>
        </w:tc>
        <w:tc>
          <w:tcPr>
            <w:tcW w:w="810"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上年结转资金</w:t>
            </w:r>
          </w:p>
        </w:tc>
        <w:tc>
          <w:tcPr>
            <w:tcW w:w="1069"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0</w:t>
            </w:r>
          </w:p>
        </w:tc>
        <w:tc>
          <w:tcPr>
            <w:tcW w:w="810"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0</w:t>
            </w:r>
          </w:p>
        </w:tc>
        <w:tc>
          <w:tcPr>
            <w:tcW w:w="795"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0</w:t>
            </w:r>
          </w:p>
        </w:tc>
        <w:tc>
          <w:tcPr>
            <w:tcW w:w="532"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w:t>
            </w:r>
          </w:p>
        </w:tc>
        <w:tc>
          <w:tcPr>
            <w:tcW w:w="863"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w:t>
            </w:r>
          </w:p>
        </w:tc>
        <w:tc>
          <w:tcPr>
            <w:tcW w:w="1526"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1824" w:type="dxa"/>
            <w:gridSpan w:val="2"/>
            <w:vMerge w:val="continue"/>
            <w:vAlign w:val="center"/>
          </w:tcPr>
          <w:p>
            <w:pPr>
              <w:rPr>
                <w:rFonts w:hint="default" w:ascii="宋体" w:hAnsi="宋体" w:eastAsia="宋体" w:cs="宋体"/>
                <w:color w:val="000000"/>
                <w:sz w:val="18"/>
                <w:szCs w:val="18"/>
              </w:rPr>
            </w:pPr>
          </w:p>
        </w:tc>
        <w:tc>
          <w:tcPr>
            <w:tcW w:w="810"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其他资金</w:t>
            </w:r>
          </w:p>
        </w:tc>
        <w:tc>
          <w:tcPr>
            <w:tcW w:w="1069"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0</w:t>
            </w:r>
          </w:p>
        </w:tc>
        <w:tc>
          <w:tcPr>
            <w:tcW w:w="810"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0</w:t>
            </w:r>
          </w:p>
        </w:tc>
        <w:tc>
          <w:tcPr>
            <w:tcW w:w="795"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0</w:t>
            </w:r>
          </w:p>
        </w:tc>
        <w:tc>
          <w:tcPr>
            <w:tcW w:w="532"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w:t>
            </w:r>
          </w:p>
        </w:tc>
        <w:tc>
          <w:tcPr>
            <w:tcW w:w="863"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w:t>
            </w:r>
          </w:p>
        </w:tc>
        <w:tc>
          <w:tcPr>
            <w:tcW w:w="1526"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999" w:type="dxa"/>
            <w:vMerge w:val="restart"/>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年度总体目标</w:t>
            </w:r>
          </w:p>
        </w:tc>
        <w:tc>
          <w:tcPr>
            <w:tcW w:w="3514" w:type="dxa"/>
            <w:gridSpan w:val="4"/>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预期目标</w:t>
            </w:r>
          </w:p>
        </w:tc>
        <w:tc>
          <w:tcPr>
            <w:tcW w:w="3716" w:type="dxa"/>
            <w:gridSpan w:val="4"/>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999" w:type="dxa"/>
            <w:vMerge w:val="continue"/>
            <w:vAlign w:val="center"/>
          </w:tcPr>
          <w:p>
            <w:pPr>
              <w:rPr>
                <w:rFonts w:hint="default" w:ascii="宋体" w:hAnsi="宋体" w:eastAsia="宋体" w:cs="宋体"/>
                <w:color w:val="000000"/>
                <w:sz w:val="18"/>
                <w:szCs w:val="18"/>
              </w:rPr>
            </w:pPr>
          </w:p>
        </w:tc>
        <w:tc>
          <w:tcPr>
            <w:tcW w:w="3514" w:type="dxa"/>
            <w:gridSpan w:val="4"/>
            <w:shd w:val="clear" w:color="auto" w:fill="auto"/>
            <w:vAlign w:val="center"/>
          </w:tcPr>
          <w:p>
            <w:pPr>
              <w:jc w:val="left"/>
              <w:rPr>
                <w:rFonts w:hint="default" w:ascii="宋体" w:hAnsi="宋体" w:eastAsia="宋体"/>
                <w:color w:val="000000"/>
                <w:sz w:val="18"/>
                <w:szCs w:val="18"/>
              </w:rPr>
            </w:pPr>
            <w:r>
              <w:rPr>
                <w:rFonts w:ascii="宋体" w:hAnsi="宋体" w:eastAsia="宋体"/>
                <w:color w:val="000000"/>
                <w:sz w:val="18"/>
                <w:szCs w:val="18"/>
              </w:rPr>
              <w:t>弥补因免除学费导致学校运转出现的经费缺口，保障学校正常运转，2023年预算资金专项22万元。用于保障学校1061名学生的正常学习，通过实施本项目，可以提高学生的升学率，提高学校声誉，帮助学生正常完成学业。</w:t>
            </w:r>
          </w:p>
        </w:tc>
        <w:tc>
          <w:tcPr>
            <w:tcW w:w="3716" w:type="dxa"/>
            <w:gridSpan w:val="4"/>
            <w:shd w:val="clear" w:color="auto" w:fill="auto"/>
            <w:vAlign w:val="center"/>
          </w:tcPr>
          <w:p>
            <w:pPr>
              <w:rPr>
                <w:rFonts w:hint="default" w:ascii="宋体" w:hAnsi="宋体" w:eastAsia="宋体"/>
                <w:color w:val="000000"/>
                <w:sz w:val="18"/>
                <w:szCs w:val="18"/>
              </w:rPr>
            </w:pPr>
            <w:r>
              <w:rPr>
                <w:rFonts w:ascii="宋体" w:hAnsi="宋体" w:eastAsia="宋体"/>
                <w:color w:val="000000"/>
                <w:sz w:val="18"/>
                <w:szCs w:val="18"/>
              </w:rPr>
              <w:t>实际拨付资金204475.15元，用于公用经费支出，保障学校正常运转。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999" w:type="dxa"/>
            <w:vMerge w:val="restart"/>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　</w:t>
            </w:r>
          </w:p>
        </w:tc>
        <w:tc>
          <w:tcPr>
            <w:tcW w:w="825" w:type="dxa"/>
            <w:vMerge w:val="restart"/>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一级指标</w:t>
            </w:r>
          </w:p>
        </w:tc>
        <w:tc>
          <w:tcPr>
            <w:tcW w:w="810" w:type="dxa"/>
            <w:vMerge w:val="restart"/>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二级指标</w:t>
            </w:r>
          </w:p>
        </w:tc>
        <w:tc>
          <w:tcPr>
            <w:tcW w:w="1069" w:type="dxa"/>
            <w:vMerge w:val="restart"/>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三级指标</w:t>
            </w:r>
          </w:p>
        </w:tc>
        <w:tc>
          <w:tcPr>
            <w:tcW w:w="810" w:type="dxa"/>
            <w:vMerge w:val="restart"/>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年度指标值</w:t>
            </w:r>
          </w:p>
        </w:tc>
        <w:tc>
          <w:tcPr>
            <w:tcW w:w="795" w:type="dxa"/>
            <w:vMerge w:val="restart"/>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实际完成值</w:t>
            </w:r>
          </w:p>
        </w:tc>
        <w:tc>
          <w:tcPr>
            <w:tcW w:w="532" w:type="dxa"/>
            <w:vMerge w:val="restart"/>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分值</w:t>
            </w:r>
          </w:p>
        </w:tc>
        <w:tc>
          <w:tcPr>
            <w:tcW w:w="863" w:type="dxa"/>
            <w:vMerge w:val="restart"/>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得分</w:t>
            </w:r>
          </w:p>
        </w:tc>
        <w:tc>
          <w:tcPr>
            <w:tcW w:w="1526" w:type="dxa"/>
            <w:vMerge w:val="restart"/>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999" w:type="dxa"/>
            <w:vMerge w:val="continue"/>
            <w:vAlign w:val="center"/>
          </w:tcPr>
          <w:p>
            <w:pPr>
              <w:rPr>
                <w:rFonts w:hint="default" w:ascii="宋体" w:hAnsi="宋体" w:eastAsia="宋体" w:cs="宋体"/>
                <w:color w:val="000000"/>
                <w:sz w:val="18"/>
                <w:szCs w:val="18"/>
              </w:rPr>
            </w:pPr>
          </w:p>
        </w:tc>
        <w:tc>
          <w:tcPr>
            <w:tcW w:w="825" w:type="dxa"/>
            <w:vMerge w:val="continue"/>
            <w:vAlign w:val="center"/>
          </w:tcPr>
          <w:p>
            <w:pPr>
              <w:rPr>
                <w:rFonts w:hint="default" w:ascii="宋体" w:hAnsi="宋体" w:eastAsia="宋体" w:cs="宋体"/>
                <w:color w:val="000000"/>
                <w:sz w:val="18"/>
                <w:szCs w:val="18"/>
              </w:rPr>
            </w:pPr>
          </w:p>
        </w:tc>
        <w:tc>
          <w:tcPr>
            <w:tcW w:w="810" w:type="dxa"/>
            <w:vMerge w:val="continue"/>
            <w:vAlign w:val="center"/>
          </w:tcPr>
          <w:p>
            <w:pPr>
              <w:rPr>
                <w:rFonts w:hint="default" w:ascii="宋体" w:hAnsi="宋体" w:eastAsia="宋体" w:cs="宋体"/>
                <w:color w:val="000000"/>
                <w:sz w:val="18"/>
                <w:szCs w:val="18"/>
              </w:rPr>
            </w:pPr>
          </w:p>
        </w:tc>
        <w:tc>
          <w:tcPr>
            <w:tcW w:w="1069" w:type="dxa"/>
            <w:vMerge w:val="continue"/>
            <w:vAlign w:val="center"/>
          </w:tcPr>
          <w:p>
            <w:pPr>
              <w:rPr>
                <w:rFonts w:hint="default" w:ascii="宋体" w:hAnsi="宋体" w:eastAsia="宋体" w:cs="宋体"/>
                <w:color w:val="000000"/>
                <w:sz w:val="18"/>
                <w:szCs w:val="18"/>
              </w:rPr>
            </w:pPr>
          </w:p>
        </w:tc>
        <w:tc>
          <w:tcPr>
            <w:tcW w:w="810" w:type="dxa"/>
            <w:vMerge w:val="continue"/>
            <w:vAlign w:val="center"/>
          </w:tcPr>
          <w:p>
            <w:pPr>
              <w:rPr>
                <w:rFonts w:hint="default" w:ascii="宋体" w:hAnsi="宋体" w:eastAsia="宋体" w:cs="宋体"/>
                <w:color w:val="000000"/>
                <w:sz w:val="18"/>
                <w:szCs w:val="18"/>
              </w:rPr>
            </w:pPr>
          </w:p>
        </w:tc>
        <w:tc>
          <w:tcPr>
            <w:tcW w:w="795" w:type="dxa"/>
            <w:vMerge w:val="continue"/>
            <w:vAlign w:val="center"/>
          </w:tcPr>
          <w:p>
            <w:pPr>
              <w:rPr>
                <w:rFonts w:hint="default" w:ascii="宋体" w:hAnsi="宋体" w:eastAsia="宋体" w:cs="宋体"/>
                <w:color w:val="000000"/>
                <w:sz w:val="18"/>
                <w:szCs w:val="18"/>
              </w:rPr>
            </w:pPr>
          </w:p>
        </w:tc>
        <w:tc>
          <w:tcPr>
            <w:tcW w:w="532" w:type="dxa"/>
            <w:vMerge w:val="continue"/>
            <w:vAlign w:val="center"/>
          </w:tcPr>
          <w:p>
            <w:pPr>
              <w:rPr>
                <w:rFonts w:hint="default" w:ascii="宋体" w:hAnsi="宋体" w:eastAsia="宋体" w:cs="宋体"/>
                <w:color w:val="000000"/>
                <w:sz w:val="18"/>
                <w:szCs w:val="18"/>
              </w:rPr>
            </w:pPr>
          </w:p>
        </w:tc>
        <w:tc>
          <w:tcPr>
            <w:tcW w:w="863" w:type="dxa"/>
            <w:vMerge w:val="continue"/>
            <w:vAlign w:val="center"/>
          </w:tcPr>
          <w:p>
            <w:pPr>
              <w:rPr>
                <w:rFonts w:hint="default" w:ascii="宋体" w:hAnsi="宋体" w:eastAsia="宋体" w:cs="宋体"/>
                <w:color w:val="000000"/>
                <w:sz w:val="18"/>
                <w:szCs w:val="18"/>
              </w:rPr>
            </w:pPr>
          </w:p>
        </w:tc>
        <w:tc>
          <w:tcPr>
            <w:tcW w:w="1526" w:type="dxa"/>
            <w:vMerge w:val="continue"/>
            <w:vAlign w:val="center"/>
          </w:tcPr>
          <w:p>
            <w:pPr>
              <w:rPr>
                <w:rFonts w:hint="default" w:ascii="宋体" w:hAnsi="宋体" w:eastAsia="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999" w:type="dxa"/>
            <w:vMerge w:val="restart"/>
            <w:shd w:val="clear" w:color="auto" w:fill="auto"/>
            <w:vAlign w:val="center"/>
          </w:tcPr>
          <w:p>
            <w:pPr>
              <w:jc w:val="center"/>
              <w:rPr>
                <w:rFonts w:hint="default" w:ascii="宋体" w:hAnsi="宋体" w:eastAsia="宋体" w:cs="宋体"/>
                <w:color w:val="000000"/>
                <w:sz w:val="18"/>
                <w:szCs w:val="18"/>
              </w:rPr>
            </w:pPr>
            <w:r>
              <w:rPr>
                <w:rFonts w:ascii="宋体" w:hAnsi="宋体" w:eastAsia="宋体"/>
                <w:color w:val="000000"/>
                <w:sz w:val="18"/>
                <w:szCs w:val="18"/>
              </w:rPr>
              <w:t>年度绩效指标完成情况</w:t>
            </w:r>
          </w:p>
        </w:tc>
        <w:tc>
          <w:tcPr>
            <w:tcW w:w="825" w:type="dxa"/>
            <w:vMerge w:val="restart"/>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产出指标</w:t>
            </w:r>
          </w:p>
        </w:tc>
        <w:tc>
          <w:tcPr>
            <w:tcW w:w="810"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数量指标</w:t>
            </w:r>
          </w:p>
        </w:tc>
        <w:tc>
          <w:tcPr>
            <w:tcW w:w="1069" w:type="dxa"/>
            <w:shd w:val="clear" w:color="auto" w:fill="auto"/>
            <w:noWrap/>
            <w:vAlign w:val="center"/>
          </w:tcPr>
          <w:p>
            <w:pPr>
              <w:jc w:val="left"/>
              <w:rPr>
                <w:rFonts w:hint="default" w:ascii="宋体" w:hAnsi="宋体" w:eastAsia="宋体"/>
                <w:color w:val="000000"/>
                <w:sz w:val="18"/>
                <w:szCs w:val="18"/>
              </w:rPr>
            </w:pPr>
            <w:r>
              <w:rPr>
                <w:rFonts w:ascii="宋体" w:hAnsi="宋体" w:eastAsia="宋体"/>
                <w:color w:val="000000"/>
                <w:sz w:val="18"/>
                <w:szCs w:val="18"/>
              </w:rPr>
              <w:t>免学费学生受助人数</w:t>
            </w:r>
          </w:p>
        </w:tc>
        <w:tc>
          <w:tcPr>
            <w:tcW w:w="810"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&gt;=1040人</w:t>
            </w:r>
          </w:p>
        </w:tc>
        <w:tc>
          <w:tcPr>
            <w:tcW w:w="795"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1049人</w:t>
            </w:r>
          </w:p>
        </w:tc>
        <w:tc>
          <w:tcPr>
            <w:tcW w:w="532"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10</w:t>
            </w:r>
          </w:p>
        </w:tc>
        <w:tc>
          <w:tcPr>
            <w:tcW w:w="863"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10</w:t>
            </w:r>
          </w:p>
        </w:tc>
        <w:tc>
          <w:tcPr>
            <w:tcW w:w="1526" w:type="dxa"/>
            <w:shd w:val="clear" w:color="auto" w:fill="auto"/>
            <w:vAlign w:val="center"/>
          </w:tcPr>
          <w:p>
            <w:pPr>
              <w:jc w:val="left"/>
              <w:rPr>
                <w:rFonts w:hint="default" w:ascii="宋体" w:hAnsi="宋体" w:eastAsia="宋体"/>
                <w:color w:val="000000"/>
                <w:sz w:val="18"/>
                <w:szCs w:val="18"/>
              </w:rPr>
            </w:pPr>
            <w:r>
              <w:rPr>
                <w:rFonts w:ascii="宋体" w:hAnsi="宋体" w:eastAsia="宋体"/>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999" w:type="dxa"/>
            <w:vMerge w:val="continue"/>
            <w:vAlign w:val="center"/>
          </w:tcPr>
          <w:p>
            <w:pPr>
              <w:rPr>
                <w:rFonts w:hint="default" w:ascii="宋体" w:hAnsi="宋体" w:eastAsia="宋体" w:cs="宋体"/>
                <w:color w:val="000000"/>
                <w:sz w:val="18"/>
                <w:szCs w:val="18"/>
              </w:rPr>
            </w:pPr>
          </w:p>
        </w:tc>
        <w:tc>
          <w:tcPr>
            <w:tcW w:w="825" w:type="dxa"/>
            <w:vMerge w:val="continue"/>
            <w:vAlign w:val="center"/>
          </w:tcPr>
          <w:p>
            <w:pPr>
              <w:rPr>
                <w:rFonts w:hint="default" w:ascii="宋体" w:hAnsi="宋体" w:eastAsia="宋体" w:cs="宋体"/>
                <w:color w:val="000000"/>
                <w:sz w:val="18"/>
                <w:szCs w:val="18"/>
              </w:rPr>
            </w:pPr>
          </w:p>
        </w:tc>
        <w:tc>
          <w:tcPr>
            <w:tcW w:w="810"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质量指标</w:t>
            </w:r>
          </w:p>
        </w:tc>
        <w:tc>
          <w:tcPr>
            <w:tcW w:w="1069" w:type="dxa"/>
            <w:shd w:val="clear" w:color="auto" w:fill="auto"/>
            <w:noWrap/>
            <w:vAlign w:val="center"/>
          </w:tcPr>
          <w:p>
            <w:pPr>
              <w:jc w:val="left"/>
              <w:rPr>
                <w:rFonts w:hint="default" w:ascii="宋体" w:hAnsi="宋体" w:eastAsia="宋体"/>
                <w:color w:val="000000"/>
                <w:sz w:val="18"/>
                <w:szCs w:val="18"/>
              </w:rPr>
            </w:pPr>
            <w:r>
              <w:rPr>
                <w:rFonts w:ascii="宋体" w:hAnsi="宋体" w:eastAsia="宋体"/>
                <w:color w:val="000000"/>
                <w:sz w:val="18"/>
                <w:szCs w:val="18"/>
              </w:rPr>
              <w:t>资金使用合规率</w:t>
            </w:r>
          </w:p>
        </w:tc>
        <w:tc>
          <w:tcPr>
            <w:tcW w:w="810"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=100%</w:t>
            </w:r>
          </w:p>
        </w:tc>
        <w:tc>
          <w:tcPr>
            <w:tcW w:w="795"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100%</w:t>
            </w:r>
          </w:p>
        </w:tc>
        <w:tc>
          <w:tcPr>
            <w:tcW w:w="532"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10</w:t>
            </w:r>
          </w:p>
        </w:tc>
        <w:tc>
          <w:tcPr>
            <w:tcW w:w="863"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10</w:t>
            </w:r>
          </w:p>
        </w:tc>
        <w:tc>
          <w:tcPr>
            <w:tcW w:w="1526" w:type="dxa"/>
            <w:shd w:val="clear" w:color="auto" w:fill="auto"/>
            <w:vAlign w:val="center"/>
          </w:tcPr>
          <w:p>
            <w:pPr>
              <w:jc w:val="left"/>
              <w:rPr>
                <w:rFonts w:hint="default" w:ascii="宋体" w:hAnsi="宋体" w:eastAsia="宋体"/>
                <w:color w:val="000000"/>
                <w:sz w:val="18"/>
                <w:szCs w:val="18"/>
              </w:rPr>
            </w:pPr>
            <w:r>
              <w:rPr>
                <w:rFonts w:ascii="宋体" w:hAnsi="宋体" w:eastAsia="宋体"/>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999" w:type="dxa"/>
            <w:vMerge w:val="continue"/>
            <w:vAlign w:val="center"/>
          </w:tcPr>
          <w:p>
            <w:pPr>
              <w:rPr>
                <w:rFonts w:hint="default" w:ascii="宋体" w:hAnsi="宋体" w:eastAsia="宋体" w:cs="宋体"/>
                <w:color w:val="000000"/>
                <w:sz w:val="18"/>
                <w:szCs w:val="18"/>
              </w:rPr>
            </w:pPr>
          </w:p>
        </w:tc>
        <w:tc>
          <w:tcPr>
            <w:tcW w:w="825" w:type="dxa"/>
            <w:vMerge w:val="continue"/>
            <w:vAlign w:val="center"/>
          </w:tcPr>
          <w:p>
            <w:pPr>
              <w:rPr>
                <w:rFonts w:hint="default" w:ascii="宋体" w:hAnsi="宋体" w:eastAsia="宋体" w:cs="宋体"/>
                <w:color w:val="000000"/>
                <w:sz w:val="18"/>
                <w:szCs w:val="18"/>
              </w:rPr>
            </w:pPr>
          </w:p>
        </w:tc>
        <w:tc>
          <w:tcPr>
            <w:tcW w:w="810"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质量指标</w:t>
            </w:r>
          </w:p>
        </w:tc>
        <w:tc>
          <w:tcPr>
            <w:tcW w:w="1069" w:type="dxa"/>
            <w:shd w:val="clear" w:color="auto" w:fill="auto"/>
            <w:noWrap/>
            <w:vAlign w:val="center"/>
          </w:tcPr>
          <w:p>
            <w:pPr>
              <w:jc w:val="left"/>
              <w:rPr>
                <w:rFonts w:hint="default" w:ascii="宋体" w:hAnsi="宋体" w:eastAsia="宋体"/>
                <w:color w:val="000000"/>
                <w:sz w:val="18"/>
                <w:szCs w:val="18"/>
              </w:rPr>
            </w:pPr>
            <w:r>
              <w:rPr>
                <w:rFonts w:ascii="宋体" w:hAnsi="宋体" w:eastAsia="宋体"/>
                <w:color w:val="000000"/>
                <w:sz w:val="18"/>
                <w:szCs w:val="18"/>
              </w:rPr>
              <w:t>免学费学生覆盖率（%）</w:t>
            </w:r>
          </w:p>
        </w:tc>
        <w:tc>
          <w:tcPr>
            <w:tcW w:w="810"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=100%</w:t>
            </w:r>
          </w:p>
        </w:tc>
        <w:tc>
          <w:tcPr>
            <w:tcW w:w="795"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100%</w:t>
            </w:r>
          </w:p>
        </w:tc>
        <w:tc>
          <w:tcPr>
            <w:tcW w:w="532"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10</w:t>
            </w:r>
          </w:p>
        </w:tc>
        <w:tc>
          <w:tcPr>
            <w:tcW w:w="863"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10</w:t>
            </w:r>
          </w:p>
        </w:tc>
        <w:tc>
          <w:tcPr>
            <w:tcW w:w="1526" w:type="dxa"/>
            <w:shd w:val="clear" w:color="auto" w:fill="auto"/>
            <w:vAlign w:val="center"/>
          </w:tcPr>
          <w:p>
            <w:pPr>
              <w:jc w:val="left"/>
              <w:rPr>
                <w:rFonts w:hint="default" w:ascii="宋体" w:hAnsi="宋体" w:eastAsia="宋体"/>
                <w:color w:val="000000"/>
                <w:sz w:val="18"/>
                <w:szCs w:val="18"/>
              </w:rPr>
            </w:pPr>
            <w:r>
              <w:rPr>
                <w:rFonts w:ascii="宋体" w:hAnsi="宋体" w:eastAsia="宋体"/>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999" w:type="dxa"/>
            <w:vMerge w:val="continue"/>
            <w:vAlign w:val="center"/>
          </w:tcPr>
          <w:p>
            <w:pPr>
              <w:rPr>
                <w:rFonts w:hint="default" w:ascii="宋体" w:hAnsi="宋体" w:eastAsia="宋体" w:cs="宋体"/>
                <w:color w:val="000000"/>
                <w:sz w:val="18"/>
                <w:szCs w:val="18"/>
              </w:rPr>
            </w:pPr>
          </w:p>
        </w:tc>
        <w:tc>
          <w:tcPr>
            <w:tcW w:w="825" w:type="dxa"/>
            <w:vMerge w:val="continue"/>
            <w:vAlign w:val="center"/>
          </w:tcPr>
          <w:p>
            <w:pPr>
              <w:rPr>
                <w:rFonts w:hint="default" w:ascii="宋体" w:hAnsi="宋体" w:eastAsia="宋体" w:cs="宋体"/>
                <w:color w:val="000000"/>
                <w:sz w:val="18"/>
                <w:szCs w:val="18"/>
              </w:rPr>
            </w:pPr>
          </w:p>
        </w:tc>
        <w:tc>
          <w:tcPr>
            <w:tcW w:w="810"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时效指标</w:t>
            </w:r>
          </w:p>
        </w:tc>
        <w:tc>
          <w:tcPr>
            <w:tcW w:w="1069" w:type="dxa"/>
            <w:shd w:val="clear" w:color="auto" w:fill="auto"/>
            <w:noWrap/>
            <w:vAlign w:val="center"/>
          </w:tcPr>
          <w:p>
            <w:pPr>
              <w:jc w:val="left"/>
              <w:rPr>
                <w:rFonts w:hint="default" w:ascii="宋体" w:hAnsi="宋体" w:eastAsia="宋体"/>
                <w:color w:val="000000"/>
                <w:sz w:val="18"/>
                <w:szCs w:val="18"/>
              </w:rPr>
            </w:pPr>
            <w:r>
              <w:rPr>
                <w:rFonts w:ascii="宋体" w:hAnsi="宋体" w:eastAsia="宋体"/>
                <w:color w:val="000000"/>
                <w:sz w:val="18"/>
                <w:szCs w:val="18"/>
              </w:rPr>
              <w:t>项目完成时限</w:t>
            </w:r>
          </w:p>
        </w:tc>
        <w:tc>
          <w:tcPr>
            <w:tcW w:w="810"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=12个月</w:t>
            </w:r>
          </w:p>
        </w:tc>
        <w:tc>
          <w:tcPr>
            <w:tcW w:w="795"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12个月</w:t>
            </w:r>
          </w:p>
        </w:tc>
        <w:tc>
          <w:tcPr>
            <w:tcW w:w="532"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10</w:t>
            </w:r>
          </w:p>
        </w:tc>
        <w:tc>
          <w:tcPr>
            <w:tcW w:w="863"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10</w:t>
            </w:r>
          </w:p>
        </w:tc>
        <w:tc>
          <w:tcPr>
            <w:tcW w:w="1526" w:type="dxa"/>
            <w:shd w:val="clear" w:color="auto" w:fill="auto"/>
            <w:vAlign w:val="center"/>
          </w:tcPr>
          <w:p>
            <w:pPr>
              <w:jc w:val="left"/>
              <w:rPr>
                <w:rFonts w:hint="default" w:ascii="宋体" w:hAnsi="宋体" w:eastAsia="宋体"/>
                <w:color w:val="000000"/>
                <w:sz w:val="18"/>
                <w:szCs w:val="18"/>
              </w:rPr>
            </w:pPr>
            <w:r>
              <w:rPr>
                <w:rFonts w:ascii="宋体" w:hAnsi="宋体" w:eastAsia="宋体"/>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999" w:type="dxa"/>
            <w:vMerge w:val="continue"/>
            <w:vAlign w:val="center"/>
          </w:tcPr>
          <w:p>
            <w:pPr>
              <w:rPr>
                <w:rFonts w:hint="default" w:ascii="宋体" w:hAnsi="宋体" w:eastAsia="宋体" w:cs="宋体"/>
                <w:color w:val="000000"/>
                <w:sz w:val="18"/>
                <w:szCs w:val="18"/>
              </w:rPr>
            </w:pPr>
          </w:p>
        </w:tc>
        <w:tc>
          <w:tcPr>
            <w:tcW w:w="825" w:type="dxa"/>
            <w:vMerge w:val="continue"/>
            <w:vAlign w:val="center"/>
          </w:tcPr>
          <w:p>
            <w:pPr>
              <w:rPr>
                <w:rFonts w:hint="default" w:ascii="宋体" w:hAnsi="宋体" w:eastAsia="宋体" w:cs="宋体"/>
                <w:color w:val="000000"/>
                <w:sz w:val="18"/>
                <w:szCs w:val="18"/>
              </w:rPr>
            </w:pPr>
          </w:p>
        </w:tc>
        <w:tc>
          <w:tcPr>
            <w:tcW w:w="810"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成本指标</w:t>
            </w:r>
          </w:p>
        </w:tc>
        <w:tc>
          <w:tcPr>
            <w:tcW w:w="1069" w:type="dxa"/>
            <w:shd w:val="clear" w:color="auto" w:fill="auto"/>
            <w:noWrap/>
            <w:vAlign w:val="center"/>
          </w:tcPr>
          <w:p>
            <w:pPr>
              <w:jc w:val="left"/>
              <w:rPr>
                <w:rFonts w:hint="default" w:ascii="宋体" w:hAnsi="宋体" w:eastAsia="宋体"/>
                <w:color w:val="000000"/>
                <w:sz w:val="18"/>
                <w:szCs w:val="18"/>
              </w:rPr>
            </w:pPr>
            <w:r>
              <w:rPr>
                <w:rFonts w:ascii="宋体" w:hAnsi="宋体" w:eastAsia="宋体"/>
                <w:color w:val="000000"/>
                <w:sz w:val="18"/>
                <w:szCs w:val="18"/>
              </w:rPr>
              <w:t>免学费资金生均标准</w:t>
            </w:r>
          </w:p>
        </w:tc>
        <w:tc>
          <w:tcPr>
            <w:tcW w:w="810"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&lt;=2000元/生/年</w:t>
            </w:r>
          </w:p>
        </w:tc>
        <w:tc>
          <w:tcPr>
            <w:tcW w:w="795"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2000元/生/年</w:t>
            </w:r>
          </w:p>
        </w:tc>
        <w:tc>
          <w:tcPr>
            <w:tcW w:w="532"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10</w:t>
            </w:r>
          </w:p>
        </w:tc>
        <w:tc>
          <w:tcPr>
            <w:tcW w:w="863"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10</w:t>
            </w:r>
          </w:p>
        </w:tc>
        <w:tc>
          <w:tcPr>
            <w:tcW w:w="1526" w:type="dxa"/>
            <w:shd w:val="clear" w:color="auto" w:fill="auto"/>
            <w:vAlign w:val="center"/>
          </w:tcPr>
          <w:p>
            <w:pPr>
              <w:jc w:val="left"/>
              <w:rPr>
                <w:rFonts w:hint="default" w:ascii="宋体" w:hAnsi="宋体" w:eastAsia="宋体"/>
                <w:color w:val="000000"/>
                <w:sz w:val="18"/>
                <w:szCs w:val="18"/>
              </w:rPr>
            </w:pPr>
            <w:r>
              <w:rPr>
                <w:rFonts w:ascii="宋体" w:hAnsi="宋体" w:eastAsia="宋体"/>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999" w:type="dxa"/>
            <w:vMerge w:val="continue"/>
            <w:vAlign w:val="center"/>
          </w:tcPr>
          <w:p>
            <w:pPr>
              <w:rPr>
                <w:rFonts w:hint="default" w:ascii="宋体" w:hAnsi="宋体" w:eastAsia="宋体" w:cs="宋体"/>
                <w:color w:val="000000"/>
                <w:sz w:val="18"/>
                <w:szCs w:val="18"/>
              </w:rPr>
            </w:pPr>
          </w:p>
        </w:tc>
        <w:tc>
          <w:tcPr>
            <w:tcW w:w="825" w:type="dxa"/>
            <w:vMerge w:val="restart"/>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效益指标</w:t>
            </w:r>
          </w:p>
        </w:tc>
        <w:tc>
          <w:tcPr>
            <w:tcW w:w="810"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经济效益指标</w:t>
            </w:r>
          </w:p>
        </w:tc>
        <w:tc>
          <w:tcPr>
            <w:tcW w:w="1069" w:type="dxa"/>
            <w:shd w:val="clear" w:color="auto" w:fill="auto"/>
            <w:noWrap/>
            <w:vAlign w:val="center"/>
          </w:tcPr>
          <w:p>
            <w:pPr>
              <w:jc w:val="left"/>
              <w:rPr>
                <w:rFonts w:hint="default" w:ascii="宋体" w:hAnsi="宋体" w:eastAsia="宋体"/>
                <w:color w:val="000000"/>
                <w:sz w:val="18"/>
                <w:szCs w:val="18"/>
              </w:rPr>
            </w:pPr>
            <w:r>
              <w:rPr>
                <w:rFonts w:ascii="宋体" w:hAnsi="宋体" w:eastAsia="宋体"/>
                <w:color w:val="000000"/>
                <w:sz w:val="18"/>
                <w:szCs w:val="18"/>
              </w:rPr>
              <w:t>　</w:t>
            </w:r>
          </w:p>
        </w:tc>
        <w:tc>
          <w:tcPr>
            <w:tcW w:w="810"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　</w:t>
            </w:r>
          </w:p>
        </w:tc>
        <w:tc>
          <w:tcPr>
            <w:tcW w:w="795"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　</w:t>
            </w:r>
          </w:p>
        </w:tc>
        <w:tc>
          <w:tcPr>
            <w:tcW w:w="532"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　</w:t>
            </w:r>
          </w:p>
        </w:tc>
        <w:tc>
          <w:tcPr>
            <w:tcW w:w="863"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　</w:t>
            </w:r>
          </w:p>
        </w:tc>
        <w:tc>
          <w:tcPr>
            <w:tcW w:w="1526" w:type="dxa"/>
            <w:shd w:val="clear" w:color="auto" w:fill="auto"/>
            <w:vAlign w:val="center"/>
          </w:tcPr>
          <w:p>
            <w:pPr>
              <w:jc w:val="left"/>
              <w:rPr>
                <w:rFonts w:hint="default" w:ascii="宋体" w:hAnsi="宋体" w:eastAsia="宋体"/>
                <w:color w:val="000000"/>
                <w:sz w:val="18"/>
                <w:szCs w:val="18"/>
              </w:rPr>
            </w:pPr>
            <w:r>
              <w:rPr>
                <w:rFonts w:ascii="宋体" w:hAnsi="宋体" w:eastAsia="宋体"/>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999" w:type="dxa"/>
            <w:vMerge w:val="continue"/>
            <w:vAlign w:val="center"/>
          </w:tcPr>
          <w:p>
            <w:pPr>
              <w:rPr>
                <w:rFonts w:hint="default" w:ascii="宋体" w:hAnsi="宋体" w:eastAsia="宋体" w:cs="宋体"/>
                <w:color w:val="000000"/>
                <w:sz w:val="18"/>
                <w:szCs w:val="18"/>
              </w:rPr>
            </w:pPr>
          </w:p>
        </w:tc>
        <w:tc>
          <w:tcPr>
            <w:tcW w:w="825" w:type="dxa"/>
            <w:vMerge w:val="continue"/>
            <w:vAlign w:val="center"/>
          </w:tcPr>
          <w:p>
            <w:pPr>
              <w:rPr>
                <w:rFonts w:hint="default" w:ascii="宋体" w:hAnsi="宋体" w:eastAsia="宋体" w:cs="宋体"/>
                <w:color w:val="000000"/>
                <w:sz w:val="18"/>
                <w:szCs w:val="18"/>
              </w:rPr>
            </w:pPr>
          </w:p>
        </w:tc>
        <w:tc>
          <w:tcPr>
            <w:tcW w:w="810"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社会效益指标</w:t>
            </w:r>
          </w:p>
        </w:tc>
        <w:tc>
          <w:tcPr>
            <w:tcW w:w="1069" w:type="dxa"/>
            <w:shd w:val="clear" w:color="auto" w:fill="auto"/>
            <w:noWrap/>
            <w:vAlign w:val="center"/>
          </w:tcPr>
          <w:p>
            <w:pPr>
              <w:jc w:val="left"/>
              <w:rPr>
                <w:rFonts w:hint="default" w:ascii="宋体" w:hAnsi="宋体" w:eastAsia="宋体"/>
                <w:color w:val="000000"/>
                <w:sz w:val="18"/>
                <w:szCs w:val="18"/>
              </w:rPr>
            </w:pPr>
            <w:r>
              <w:rPr>
                <w:rFonts w:ascii="宋体" w:hAnsi="宋体" w:eastAsia="宋体"/>
                <w:color w:val="000000"/>
                <w:sz w:val="18"/>
                <w:szCs w:val="18"/>
              </w:rPr>
              <w:t>提高职业学校平均就业率、升学率</w:t>
            </w:r>
          </w:p>
        </w:tc>
        <w:tc>
          <w:tcPr>
            <w:tcW w:w="810"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提高职业学校平均就业率、升学率</w:t>
            </w:r>
          </w:p>
        </w:tc>
        <w:tc>
          <w:tcPr>
            <w:tcW w:w="795"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完全达到预期效果</w:t>
            </w:r>
          </w:p>
        </w:tc>
        <w:tc>
          <w:tcPr>
            <w:tcW w:w="532"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15</w:t>
            </w:r>
          </w:p>
        </w:tc>
        <w:tc>
          <w:tcPr>
            <w:tcW w:w="863"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15</w:t>
            </w:r>
          </w:p>
        </w:tc>
        <w:tc>
          <w:tcPr>
            <w:tcW w:w="1526" w:type="dxa"/>
            <w:shd w:val="clear" w:color="auto" w:fill="auto"/>
            <w:vAlign w:val="center"/>
          </w:tcPr>
          <w:p>
            <w:pPr>
              <w:jc w:val="left"/>
              <w:rPr>
                <w:rFonts w:hint="default" w:ascii="宋体" w:hAnsi="宋体" w:eastAsia="宋体"/>
                <w:color w:val="000000"/>
                <w:sz w:val="18"/>
                <w:szCs w:val="18"/>
              </w:rPr>
            </w:pPr>
            <w:r>
              <w:rPr>
                <w:rFonts w:ascii="宋体" w:hAnsi="宋体" w:eastAsia="宋体"/>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999" w:type="dxa"/>
            <w:vMerge w:val="continue"/>
            <w:vAlign w:val="center"/>
          </w:tcPr>
          <w:p>
            <w:pPr>
              <w:rPr>
                <w:rFonts w:hint="default" w:ascii="宋体" w:hAnsi="宋体" w:eastAsia="宋体" w:cs="宋体"/>
                <w:color w:val="000000"/>
                <w:sz w:val="18"/>
                <w:szCs w:val="18"/>
              </w:rPr>
            </w:pPr>
          </w:p>
        </w:tc>
        <w:tc>
          <w:tcPr>
            <w:tcW w:w="825" w:type="dxa"/>
            <w:vMerge w:val="continue"/>
            <w:vAlign w:val="center"/>
          </w:tcPr>
          <w:p>
            <w:pPr>
              <w:rPr>
                <w:rFonts w:hint="default" w:ascii="宋体" w:hAnsi="宋体" w:eastAsia="宋体" w:cs="宋体"/>
                <w:color w:val="000000"/>
                <w:sz w:val="18"/>
                <w:szCs w:val="18"/>
              </w:rPr>
            </w:pPr>
          </w:p>
        </w:tc>
        <w:tc>
          <w:tcPr>
            <w:tcW w:w="810"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生态效益指标</w:t>
            </w:r>
          </w:p>
        </w:tc>
        <w:tc>
          <w:tcPr>
            <w:tcW w:w="1069" w:type="dxa"/>
            <w:shd w:val="clear" w:color="auto" w:fill="auto"/>
            <w:noWrap/>
            <w:vAlign w:val="center"/>
          </w:tcPr>
          <w:p>
            <w:pPr>
              <w:jc w:val="left"/>
              <w:rPr>
                <w:rFonts w:hint="default" w:ascii="宋体" w:hAnsi="宋体" w:eastAsia="宋体"/>
                <w:color w:val="000000"/>
                <w:sz w:val="18"/>
                <w:szCs w:val="18"/>
              </w:rPr>
            </w:pPr>
            <w:r>
              <w:rPr>
                <w:rFonts w:ascii="宋体" w:hAnsi="宋体" w:eastAsia="宋体"/>
                <w:color w:val="000000"/>
                <w:sz w:val="18"/>
                <w:szCs w:val="18"/>
              </w:rPr>
              <w:t>　</w:t>
            </w:r>
          </w:p>
        </w:tc>
        <w:tc>
          <w:tcPr>
            <w:tcW w:w="810"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　</w:t>
            </w:r>
          </w:p>
        </w:tc>
        <w:tc>
          <w:tcPr>
            <w:tcW w:w="795"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　</w:t>
            </w:r>
          </w:p>
        </w:tc>
        <w:tc>
          <w:tcPr>
            <w:tcW w:w="532"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　</w:t>
            </w:r>
          </w:p>
        </w:tc>
        <w:tc>
          <w:tcPr>
            <w:tcW w:w="863"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　</w:t>
            </w:r>
          </w:p>
        </w:tc>
        <w:tc>
          <w:tcPr>
            <w:tcW w:w="1526" w:type="dxa"/>
            <w:shd w:val="clear" w:color="auto" w:fill="auto"/>
            <w:vAlign w:val="center"/>
          </w:tcPr>
          <w:p>
            <w:pPr>
              <w:jc w:val="left"/>
              <w:rPr>
                <w:rFonts w:hint="default" w:ascii="宋体" w:hAnsi="宋体" w:eastAsia="宋体"/>
                <w:color w:val="000000"/>
                <w:sz w:val="18"/>
                <w:szCs w:val="18"/>
              </w:rPr>
            </w:pPr>
            <w:r>
              <w:rPr>
                <w:rFonts w:ascii="宋体" w:hAnsi="宋体" w:eastAsia="宋体"/>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999" w:type="dxa"/>
            <w:vMerge w:val="continue"/>
            <w:vAlign w:val="center"/>
          </w:tcPr>
          <w:p>
            <w:pPr>
              <w:rPr>
                <w:rFonts w:hint="default" w:ascii="宋体" w:hAnsi="宋体" w:eastAsia="宋体" w:cs="宋体"/>
                <w:color w:val="000000"/>
                <w:sz w:val="18"/>
                <w:szCs w:val="18"/>
              </w:rPr>
            </w:pPr>
          </w:p>
        </w:tc>
        <w:tc>
          <w:tcPr>
            <w:tcW w:w="825" w:type="dxa"/>
            <w:vMerge w:val="continue"/>
            <w:vAlign w:val="center"/>
          </w:tcPr>
          <w:p>
            <w:pPr>
              <w:rPr>
                <w:rFonts w:hint="default" w:ascii="宋体" w:hAnsi="宋体" w:eastAsia="宋体" w:cs="宋体"/>
                <w:color w:val="000000"/>
                <w:sz w:val="18"/>
                <w:szCs w:val="18"/>
              </w:rPr>
            </w:pPr>
          </w:p>
        </w:tc>
        <w:tc>
          <w:tcPr>
            <w:tcW w:w="810"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可持续影响指标</w:t>
            </w:r>
          </w:p>
        </w:tc>
        <w:tc>
          <w:tcPr>
            <w:tcW w:w="1069" w:type="dxa"/>
            <w:shd w:val="clear" w:color="auto" w:fill="auto"/>
            <w:noWrap/>
            <w:vAlign w:val="center"/>
          </w:tcPr>
          <w:p>
            <w:pPr>
              <w:jc w:val="left"/>
              <w:rPr>
                <w:rFonts w:hint="default" w:ascii="宋体" w:hAnsi="宋体" w:eastAsia="宋体"/>
                <w:color w:val="000000"/>
                <w:sz w:val="18"/>
                <w:szCs w:val="18"/>
              </w:rPr>
            </w:pPr>
            <w:r>
              <w:rPr>
                <w:rFonts w:ascii="宋体" w:hAnsi="宋体" w:eastAsia="宋体"/>
                <w:color w:val="000000"/>
                <w:sz w:val="18"/>
                <w:szCs w:val="18"/>
              </w:rPr>
              <w:t>促进教育公平，提升中职吸引力</w:t>
            </w:r>
          </w:p>
        </w:tc>
        <w:tc>
          <w:tcPr>
            <w:tcW w:w="810"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促进教育公平，提升中职吸引力</w:t>
            </w:r>
          </w:p>
        </w:tc>
        <w:tc>
          <w:tcPr>
            <w:tcW w:w="795"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完全达到预期效果</w:t>
            </w:r>
          </w:p>
        </w:tc>
        <w:tc>
          <w:tcPr>
            <w:tcW w:w="532"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15</w:t>
            </w:r>
          </w:p>
        </w:tc>
        <w:tc>
          <w:tcPr>
            <w:tcW w:w="863"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15</w:t>
            </w:r>
          </w:p>
        </w:tc>
        <w:tc>
          <w:tcPr>
            <w:tcW w:w="1526" w:type="dxa"/>
            <w:shd w:val="clear" w:color="auto" w:fill="auto"/>
            <w:vAlign w:val="center"/>
          </w:tcPr>
          <w:p>
            <w:pPr>
              <w:jc w:val="left"/>
              <w:rPr>
                <w:rFonts w:hint="default" w:ascii="宋体" w:hAnsi="宋体" w:eastAsia="宋体"/>
                <w:color w:val="000000"/>
                <w:sz w:val="18"/>
                <w:szCs w:val="18"/>
              </w:rPr>
            </w:pPr>
            <w:r>
              <w:rPr>
                <w:rFonts w:ascii="宋体" w:hAnsi="宋体" w:eastAsia="宋体"/>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999" w:type="dxa"/>
            <w:vMerge w:val="continue"/>
            <w:vAlign w:val="center"/>
          </w:tcPr>
          <w:p>
            <w:pPr>
              <w:rPr>
                <w:rFonts w:hint="default" w:ascii="宋体" w:hAnsi="宋体" w:eastAsia="宋体" w:cs="宋体"/>
                <w:color w:val="000000"/>
                <w:sz w:val="18"/>
                <w:szCs w:val="18"/>
              </w:rPr>
            </w:pPr>
          </w:p>
        </w:tc>
        <w:tc>
          <w:tcPr>
            <w:tcW w:w="825"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满意度指标</w:t>
            </w:r>
          </w:p>
        </w:tc>
        <w:tc>
          <w:tcPr>
            <w:tcW w:w="810"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满意度指标</w:t>
            </w:r>
          </w:p>
        </w:tc>
        <w:tc>
          <w:tcPr>
            <w:tcW w:w="1069" w:type="dxa"/>
            <w:shd w:val="clear" w:color="auto" w:fill="auto"/>
            <w:noWrap/>
            <w:vAlign w:val="center"/>
          </w:tcPr>
          <w:p>
            <w:pPr>
              <w:jc w:val="left"/>
              <w:rPr>
                <w:rFonts w:hint="default" w:ascii="宋体" w:hAnsi="宋体" w:eastAsia="宋体"/>
                <w:color w:val="000000"/>
                <w:sz w:val="18"/>
                <w:szCs w:val="18"/>
              </w:rPr>
            </w:pPr>
            <w:r>
              <w:rPr>
                <w:rFonts w:ascii="宋体" w:hAnsi="宋体" w:eastAsia="宋体"/>
                <w:color w:val="000000"/>
                <w:sz w:val="18"/>
                <w:szCs w:val="18"/>
              </w:rPr>
              <w:t>受助学生满意度</w:t>
            </w:r>
          </w:p>
        </w:tc>
        <w:tc>
          <w:tcPr>
            <w:tcW w:w="810"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&gt;=90%</w:t>
            </w:r>
          </w:p>
        </w:tc>
        <w:tc>
          <w:tcPr>
            <w:tcW w:w="795"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90%</w:t>
            </w:r>
          </w:p>
        </w:tc>
        <w:tc>
          <w:tcPr>
            <w:tcW w:w="532"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10</w:t>
            </w:r>
          </w:p>
        </w:tc>
        <w:tc>
          <w:tcPr>
            <w:tcW w:w="863"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10</w:t>
            </w:r>
          </w:p>
        </w:tc>
        <w:tc>
          <w:tcPr>
            <w:tcW w:w="1526" w:type="dxa"/>
            <w:shd w:val="clear" w:color="auto" w:fill="auto"/>
            <w:vAlign w:val="center"/>
          </w:tcPr>
          <w:p>
            <w:pPr>
              <w:jc w:val="left"/>
              <w:rPr>
                <w:rFonts w:hint="default" w:ascii="宋体" w:hAnsi="宋体" w:eastAsia="宋体"/>
                <w:color w:val="000000"/>
                <w:sz w:val="18"/>
                <w:szCs w:val="18"/>
              </w:rPr>
            </w:pPr>
            <w:r>
              <w:rPr>
                <w:rFonts w:ascii="宋体" w:hAnsi="宋体" w:eastAsia="宋体"/>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5840" w:type="dxa"/>
            <w:gridSpan w:val="7"/>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总分</w:t>
            </w:r>
          </w:p>
        </w:tc>
        <w:tc>
          <w:tcPr>
            <w:tcW w:w="863"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100</w:t>
            </w:r>
          </w:p>
        </w:tc>
        <w:tc>
          <w:tcPr>
            <w:tcW w:w="1526" w:type="dxa"/>
            <w:shd w:val="clear" w:color="auto" w:fill="auto"/>
            <w:vAlign w:val="center"/>
          </w:tcPr>
          <w:p>
            <w:pPr>
              <w:jc w:val="center"/>
              <w:rPr>
                <w:rFonts w:hint="default" w:ascii="宋体" w:hAnsi="宋体" w:eastAsia="宋体"/>
                <w:color w:val="000000"/>
                <w:sz w:val="18"/>
                <w:szCs w:val="18"/>
              </w:rPr>
            </w:pPr>
            <w:r>
              <w:rPr>
                <w:rFonts w:ascii="宋体" w:hAnsi="宋体" w:eastAsia="宋体"/>
                <w:color w:val="000000"/>
                <w:sz w:val="18"/>
                <w:szCs w:val="18"/>
              </w:rPr>
              <w:t>99.30分</w:t>
            </w:r>
          </w:p>
        </w:tc>
      </w:tr>
    </w:tbl>
    <w:p>
      <w:pPr>
        <w:rPr>
          <w:rFonts w:hint="default"/>
          <w:sz w:val="18"/>
          <w:szCs w:val="18"/>
        </w:rPr>
      </w:pPr>
    </w:p>
    <w:tbl>
      <w:tblPr>
        <w:tblStyle w:val="4"/>
        <w:tblW w:w="8328" w:type="dxa"/>
        <w:jc w:val="center"/>
        <w:tblLayout w:type="fixed"/>
        <w:tblCellMar>
          <w:top w:w="0" w:type="dxa"/>
          <w:left w:w="108" w:type="dxa"/>
          <w:bottom w:w="0" w:type="dxa"/>
          <w:right w:w="108" w:type="dxa"/>
        </w:tblCellMar>
      </w:tblPr>
      <w:tblGrid>
        <w:gridCol w:w="842"/>
        <w:gridCol w:w="900"/>
        <w:gridCol w:w="691"/>
        <w:gridCol w:w="1383"/>
        <w:gridCol w:w="950"/>
        <w:gridCol w:w="975"/>
        <w:gridCol w:w="15"/>
        <w:gridCol w:w="660"/>
        <w:gridCol w:w="858"/>
        <w:gridCol w:w="1054"/>
      </w:tblGrid>
      <w:tr>
        <w:tblPrEx>
          <w:tblCellMar>
            <w:top w:w="0" w:type="dxa"/>
            <w:left w:w="108" w:type="dxa"/>
            <w:bottom w:w="0" w:type="dxa"/>
            <w:right w:w="108" w:type="dxa"/>
          </w:tblCellMar>
        </w:tblPrEx>
        <w:trPr>
          <w:trHeight w:val="405" w:hRule="atLeast"/>
          <w:jc w:val="center"/>
        </w:trPr>
        <w:tc>
          <w:tcPr>
            <w:tcW w:w="8328" w:type="dxa"/>
            <w:gridSpan w:val="10"/>
            <w:tcBorders>
              <w:top w:val="nil"/>
              <w:left w:val="nil"/>
              <w:bottom w:val="nil"/>
              <w:right w:val="nil"/>
            </w:tcBorders>
            <w:shd w:val="clear" w:color="auto" w:fill="auto"/>
            <w:vAlign w:val="center"/>
          </w:tcPr>
          <w:p>
            <w:pPr>
              <w:widowControl/>
              <w:jc w:val="center"/>
              <w:rPr>
                <w:rFonts w:hint="default" w:ascii="宋体" w:hAnsi="宋体" w:eastAsia="宋体" w:cs="宋体"/>
                <w:b/>
                <w:bCs/>
                <w:color w:val="000000"/>
                <w:kern w:val="0"/>
                <w:sz w:val="32"/>
                <w:szCs w:val="32"/>
              </w:rPr>
            </w:pPr>
            <w:r>
              <w:rPr>
                <w:rFonts w:ascii="宋体" w:hAnsi="宋体" w:eastAsia="宋体" w:cs="宋体"/>
                <w:b/>
                <w:bCs/>
                <w:color w:val="000000"/>
                <w:kern w:val="0"/>
                <w:sz w:val="32"/>
                <w:szCs w:val="32"/>
              </w:rPr>
              <w:t>项目支出绩效自评表</w:t>
            </w:r>
          </w:p>
        </w:tc>
      </w:tr>
      <w:tr>
        <w:tblPrEx>
          <w:tblCellMar>
            <w:top w:w="0" w:type="dxa"/>
            <w:left w:w="108" w:type="dxa"/>
            <w:bottom w:w="0" w:type="dxa"/>
            <w:right w:w="108" w:type="dxa"/>
          </w:tblCellMar>
        </w:tblPrEx>
        <w:trPr>
          <w:trHeight w:val="270" w:hRule="atLeast"/>
          <w:jc w:val="center"/>
        </w:trPr>
        <w:tc>
          <w:tcPr>
            <w:tcW w:w="8328" w:type="dxa"/>
            <w:gridSpan w:val="10"/>
            <w:tcBorders>
              <w:top w:val="nil"/>
              <w:left w:val="nil"/>
              <w:bottom w:val="single" w:color="auto" w:sz="4" w:space="0"/>
              <w:right w:val="nil"/>
            </w:tcBorders>
            <w:shd w:val="clear" w:color="auto" w:fill="auto"/>
            <w:vAlign w:val="center"/>
          </w:tcPr>
          <w:p>
            <w:pPr>
              <w:widowControl/>
              <w:jc w:val="center"/>
              <w:rPr>
                <w:rFonts w:hint="default" w:ascii="宋体" w:hAnsi="宋体" w:eastAsia="宋体" w:cs="宋体"/>
                <w:color w:val="000000"/>
                <w:kern w:val="0"/>
                <w:sz w:val="20"/>
                <w:szCs w:val="20"/>
              </w:rPr>
            </w:pPr>
            <w:r>
              <w:rPr>
                <w:rFonts w:ascii="宋体" w:hAnsi="宋体" w:eastAsia="宋体" w:cs="宋体"/>
                <w:color w:val="000000"/>
                <w:kern w:val="0"/>
                <w:sz w:val="20"/>
                <w:szCs w:val="20"/>
              </w:rPr>
              <w:t>(2022年度)</w:t>
            </w:r>
          </w:p>
        </w:tc>
      </w:tr>
      <w:tr>
        <w:tblPrEx>
          <w:tblCellMar>
            <w:top w:w="0" w:type="dxa"/>
            <w:left w:w="108" w:type="dxa"/>
            <w:bottom w:w="0" w:type="dxa"/>
            <w:right w:w="108" w:type="dxa"/>
          </w:tblCellMar>
        </w:tblPrEx>
        <w:trPr>
          <w:trHeight w:val="398" w:hRule="atLeast"/>
          <w:jc w:val="center"/>
        </w:trPr>
        <w:tc>
          <w:tcPr>
            <w:tcW w:w="17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项目名称</w:t>
            </w:r>
          </w:p>
        </w:tc>
        <w:tc>
          <w:tcPr>
            <w:tcW w:w="6586" w:type="dxa"/>
            <w:gridSpan w:val="8"/>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乌财科教[2022]45号--关于拨付2022年中小学和幼儿园自聘教师补助资金的通知</w:t>
            </w:r>
          </w:p>
        </w:tc>
      </w:tr>
      <w:tr>
        <w:tblPrEx>
          <w:tblCellMar>
            <w:top w:w="0" w:type="dxa"/>
            <w:left w:w="108" w:type="dxa"/>
            <w:bottom w:w="0" w:type="dxa"/>
            <w:right w:w="108" w:type="dxa"/>
          </w:tblCellMar>
        </w:tblPrEx>
        <w:trPr>
          <w:trHeight w:val="398" w:hRule="atLeast"/>
          <w:jc w:val="center"/>
        </w:trPr>
        <w:tc>
          <w:tcPr>
            <w:tcW w:w="17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主管部门</w:t>
            </w:r>
          </w:p>
        </w:tc>
        <w:tc>
          <w:tcPr>
            <w:tcW w:w="3024"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职业中等专业学校</w:t>
            </w:r>
          </w:p>
        </w:tc>
        <w:tc>
          <w:tcPr>
            <w:tcW w:w="9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实施单位</w:t>
            </w:r>
          </w:p>
        </w:tc>
        <w:tc>
          <w:tcPr>
            <w:tcW w:w="2572"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职业中等专业学校</w:t>
            </w:r>
          </w:p>
        </w:tc>
      </w:tr>
      <w:tr>
        <w:tblPrEx>
          <w:tblCellMar>
            <w:top w:w="0" w:type="dxa"/>
            <w:left w:w="108" w:type="dxa"/>
            <w:bottom w:w="0" w:type="dxa"/>
            <w:right w:w="108" w:type="dxa"/>
          </w:tblCellMar>
        </w:tblPrEx>
        <w:trPr>
          <w:trHeight w:val="398" w:hRule="atLeast"/>
          <w:jc w:val="center"/>
        </w:trPr>
        <w:tc>
          <w:tcPr>
            <w:tcW w:w="174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项目资金</w:t>
            </w:r>
          </w:p>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（万元）</w:t>
            </w:r>
          </w:p>
        </w:tc>
        <w:tc>
          <w:tcPr>
            <w:tcW w:w="69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c>
          <w:tcPr>
            <w:tcW w:w="138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年初预算数</w:t>
            </w:r>
          </w:p>
        </w:tc>
        <w:tc>
          <w:tcPr>
            <w:tcW w:w="95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全年预算数</w:t>
            </w:r>
          </w:p>
        </w:tc>
        <w:tc>
          <w:tcPr>
            <w:tcW w:w="9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全年执行数</w:t>
            </w:r>
          </w:p>
        </w:tc>
        <w:tc>
          <w:tcPr>
            <w:tcW w:w="6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分值</w:t>
            </w:r>
          </w:p>
        </w:tc>
        <w:tc>
          <w:tcPr>
            <w:tcW w:w="85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执行率</w:t>
            </w:r>
          </w:p>
        </w:tc>
        <w:tc>
          <w:tcPr>
            <w:tcW w:w="105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得分</w:t>
            </w:r>
          </w:p>
        </w:tc>
      </w:tr>
      <w:tr>
        <w:tblPrEx>
          <w:tblCellMar>
            <w:top w:w="0" w:type="dxa"/>
            <w:left w:w="108" w:type="dxa"/>
            <w:bottom w:w="0" w:type="dxa"/>
            <w:right w:w="108" w:type="dxa"/>
          </w:tblCellMar>
        </w:tblPrEx>
        <w:trPr>
          <w:trHeight w:val="398" w:hRule="atLeast"/>
          <w:jc w:val="center"/>
        </w:trPr>
        <w:tc>
          <w:tcPr>
            <w:tcW w:w="174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18"/>
                <w:szCs w:val="18"/>
              </w:rPr>
            </w:pPr>
          </w:p>
        </w:tc>
        <w:tc>
          <w:tcPr>
            <w:tcW w:w="69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年度资金总额</w:t>
            </w:r>
          </w:p>
        </w:tc>
        <w:tc>
          <w:tcPr>
            <w:tcW w:w="138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0.00</w:t>
            </w:r>
          </w:p>
        </w:tc>
        <w:tc>
          <w:tcPr>
            <w:tcW w:w="95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14.52</w:t>
            </w:r>
          </w:p>
        </w:tc>
        <w:tc>
          <w:tcPr>
            <w:tcW w:w="9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2.61</w:t>
            </w:r>
          </w:p>
        </w:tc>
        <w:tc>
          <w:tcPr>
            <w:tcW w:w="6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10</w:t>
            </w:r>
          </w:p>
        </w:tc>
        <w:tc>
          <w:tcPr>
            <w:tcW w:w="85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17.98%</w:t>
            </w:r>
          </w:p>
        </w:tc>
        <w:tc>
          <w:tcPr>
            <w:tcW w:w="105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1.80分</w:t>
            </w:r>
          </w:p>
        </w:tc>
      </w:tr>
      <w:tr>
        <w:tblPrEx>
          <w:tblCellMar>
            <w:top w:w="0" w:type="dxa"/>
            <w:left w:w="108" w:type="dxa"/>
            <w:bottom w:w="0" w:type="dxa"/>
            <w:right w:w="108" w:type="dxa"/>
          </w:tblCellMar>
        </w:tblPrEx>
        <w:trPr>
          <w:trHeight w:val="398" w:hRule="atLeast"/>
          <w:jc w:val="center"/>
        </w:trPr>
        <w:tc>
          <w:tcPr>
            <w:tcW w:w="174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18"/>
                <w:szCs w:val="18"/>
              </w:rPr>
            </w:pPr>
          </w:p>
        </w:tc>
        <w:tc>
          <w:tcPr>
            <w:tcW w:w="69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其中：当年财政拨款</w:t>
            </w:r>
          </w:p>
        </w:tc>
        <w:tc>
          <w:tcPr>
            <w:tcW w:w="138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0.00</w:t>
            </w:r>
          </w:p>
        </w:tc>
        <w:tc>
          <w:tcPr>
            <w:tcW w:w="95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14.52</w:t>
            </w:r>
          </w:p>
        </w:tc>
        <w:tc>
          <w:tcPr>
            <w:tcW w:w="9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2.61</w:t>
            </w:r>
          </w:p>
        </w:tc>
        <w:tc>
          <w:tcPr>
            <w:tcW w:w="6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w:t>
            </w:r>
          </w:p>
        </w:tc>
        <w:tc>
          <w:tcPr>
            <w:tcW w:w="85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w:t>
            </w:r>
          </w:p>
        </w:tc>
        <w:tc>
          <w:tcPr>
            <w:tcW w:w="105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w:t>
            </w:r>
          </w:p>
        </w:tc>
      </w:tr>
      <w:tr>
        <w:tblPrEx>
          <w:tblCellMar>
            <w:top w:w="0" w:type="dxa"/>
            <w:left w:w="108" w:type="dxa"/>
            <w:bottom w:w="0" w:type="dxa"/>
            <w:right w:w="108" w:type="dxa"/>
          </w:tblCellMar>
        </w:tblPrEx>
        <w:trPr>
          <w:trHeight w:val="398" w:hRule="atLeast"/>
          <w:jc w:val="center"/>
        </w:trPr>
        <w:tc>
          <w:tcPr>
            <w:tcW w:w="174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18"/>
                <w:szCs w:val="18"/>
              </w:rPr>
            </w:pPr>
          </w:p>
        </w:tc>
        <w:tc>
          <w:tcPr>
            <w:tcW w:w="69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上年结转资金</w:t>
            </w:r>
          </w:p>
        </w:tc>
        <w:tc>
          <w:tcPr>
            <w:tcW w:w="138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0</w:t>
            </w:r>
          </w:p>
        </w:tc>
        <w:tc>
          <w:tcPr>
            <w:tcW w:w="95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0</w:t>
            </w:r>
          </w:p>
        </w:tc>
        <w:tc>
          <w:tcPr>
            <w:tcW w:w="9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0</w:t>
            </w:r>
          </w:p>
        </w:tc>
        <w:tc>
          <w:tcPr>
            <w:tcW w:w="6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w:t>
            </w:r>
          </w:p>
        </w:tc>
        <w:tc>
          <w:tcPr>
            <w:tcW w:w="85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w:t>
            </w:r>
          </w:p>
        </w:tc>
        <w:tc>
          <w:tcPr>
            <w:tcW w:w="105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w:t>
            </w:r>
          </w:p>
        </w:tc>
      </w:tr>
      <w:tr>
        <w:tblPrEx>
          <w:tblCellMar>
            <w:top w:w="0" w:type="dxa"/>
            <w:left w:w="108" w:type="dxa"/>
            <w:bottom w:w="0" w:type="dxa"/>
            <w:right w:w="108" w:type="dxa"/>
          </w:tblCellMar>
        </w:tblPrEx>
        <w:trPr>
          <w:trHeight w:val="398" w:hRule="atLeast"/>
          <w:jc w:val="center"/>
        </w:trPr>
        <w:tc>
          <w:tcPr>
            <w:tcW w:w="1742"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18"/>
                <w:szCs w:val="18"/>
              </w:rPr>
            </w:pPr>
          </w:p>
        </w:tc>
        <w:tc>
          <w:tcPr>
            <w:tcW w:w="69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其他资金</w:t>
            </w:r>
          </w:p>
        </w:tc>
        <w:tc>
          <w:tcPr>
            <w:tcW w:w="138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0</w:t>
            </w:r>
          </w:p>
        </w:tc>
        <w:tc>
          <w:tcPr>
            <w:tcW w:w="95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0</w:t>
            </w:r>
          </w:p>
        </w:tc>
        <w:tc>
          <w:tcPr>
            <w:tcW w:w="99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0</w:t>
            </w:r>
          </w:p>
        </w:tc>
        <w:tc>
          <w:tcPr>
            <w:tcW w:w="6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w:t>
            </w:r>
          </w:p>
        </w:tc>
        <w:tc>
          <w:tcPr>
            <w:tcW w:w="85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w:t>
            </w:r>
          </w:p>
        </w:tc>
        <w:tc>
          <w:tcPr>
            <w:tcW w:w="105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w:t>
            </w:r>
          </w:p>
        </w:tc>
      </w:tr>
      <w:tr>
        <w:tblPrEx>
          <w:tblCellMar>
            <w:top w:w="0" w:type="dxa"/>
            <w:left w:w="108" w:type="dxa"/>
            <w:bottom w:w="0" w:type="dxa"/>
            <w:right w:w="108" w:type="dxa"/>
          </w:tblCellMar>
        </w:tblPrEx>
        <w:trPr>
          <w:trHeight w:val="398" w:hRule="atLeast"/>
          <w:jc w:val="center"/>
        </w:trPr>
        <w:tc>
          <w:tcPr>
            <w:tcW w:w="84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年度总体目标</w:t>
            </w:r>
          </w:p>
        </w:tc>
        <w:tc>
          <w:tcPr>
            <w:tcW w:w="3924"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预期目标</w:t>
            </w:r>
          </w:p>
        </w:tc>
        <w:tc>
          <w:tcPr>
            <w:tcW w:w="3562"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实际完成情况</w:t>
            </w:r>
          </w:p>
        </w:tc>
      </w:tr>
      <w:tr>
        <w:tblPrEx>
          <w:tblCellMar>
            <w:top w:w="0" w:type="dxa"/>
            <w:left w:w="108" w:type="dxa"/>
            <w:bottom w:w="0" w:type="dxa"/>
            <w:right w:w="108" w:type="dxa"/>
          </w:tblCellMar>
        </w:tblPrEx>
        <w:trPr>
          <w:trHeight w:val="398" w:hRule="atLeast"/>
          <w:jc w:val="center"/>
        </w:trPr>
        <w:tc>
          <w:tcPr>
            <w:tcW w:w="84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18"/>
                <w:szCs w:val="18"/>
              </w:rPr>
            </w:pPr>
          </w:p>
        </w:tc>
        <w:tc>
          <w:tcPr>
            <w:tcW w:w="3924"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中小学和幼儿园自聘教师补助资金，2022年上级补助资金14.52万元，用于同工同酬教师工资及绩效发放，提高教师工作积极性，提高学校升学率。</w:t>
            </w:r>
          </w:p>
        </w:tc>
        <w:tc>
          <w:tcPr>
            <w:tcW w:w="3562"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2022年实际拨款2.61万元用于同工同酬教师工资发放。</w:t>
            </w:r>
          </w:p>
        </w:tc>
      </w:tr>
      <w:tr>
        <w:tblPrEx>
          <w:tblCellMar>
            <w:top w:w="0" w:type="dxa"/>
            <w:left w:w="108" w:type="dxa"/>
            <w:bottom w:w="0" w:type="dxa"/>
            <w:right w:w="108" w:type="dxa"/>
          </w:tblCellMar>
        </w:tblPrEx>
        <w:trPr>
          <w:trHeight w:val="398" w:hRule="atLeast"/>
          <w:jc w:val="center"/>
        </w:trPr>
        <w:tc>
          <w:tcPr>
            <w:tcW w:w="84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c>
          <w:tcPr>
            <w:tcW w:w="90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一级指标</w:t>
            </w:r>
          </w:p>
        </w:tc>
        <w:tc>
          <w:tcPr>
            <w:tcW w:w="69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二级指标</w:t>
            </w:r>
          </w:p>
        </w:tc>
        <w:tc>
          <w:tcPr>
            <w:tcW w:w="138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三级指标</w:t>
            </w:r>
          </w:p>
        </w:tc>
        <w:tc>
          <w:tcPr>
            <w:tcW w:w="95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年度指标值</w:t>
            </w:r>
          </w:p>
        </w:tc>
        <w:tc>
          <w:tcPr>
            <w:tcW w:w="9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实际完成值</w:t>
            </w:r>
          </w:p>
        </w:tc>
        <w:tc>
          <w:tcPr>
            <w:tcW w:w="67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分值</w:t>
            </w:r>
          </w:p>
        </w:tc>
        <w:tc>
          <w:tcPr>
            <w:tcW w:w="85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得分</w:t>
            </w:r>
          </w:p>
        </w:tc>
        <w:tc>
          <w:tcPr>
            <w:tcW w:w="105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偏差原因分析及改进措施</w:t>
            </w:r>
          </w:p>
        </w:tc>
      </w:tr>
      <w:tr>
        <w:tblPrEx>
          <w:tblCellMar>
            <w:top w:w="0" w:type="dxa"/>
            <w:left w:w="108" w:type="dxa"/>
            <w:bottom w:w="0" w:type="dxa"/>
            <w:right w:w="108" w:type="dxa"/>
          </w:tblCellMar>
        </w:tblPrEx>
        <w:trPr>
          <w:trHeight w:val="398" w:hRule="atLeast"/>
          <w:jc w:val="center"/>
        </w:trPr>
        <w:tc>
          <w:tcPr>
            <w:tcW w:w="84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18"/>
                <w:szCs w:val="18"/>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18"/>
                <w:szCs w:val="18"/>
              </w:rPr>
            </w:pPr>
          </w:p>
        </w:tc>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18"/>
                <w:szCs w:val="18"/>
              </w:rPr>
            </w:pPr>
          </w:p>
        </w:tc>
        <w:tc>
          <w:tcPr>
            <w:tcW w:w="138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18"/>
                <w:szCs w:val="18"/>
              </w:rPr>
            </w:pPr>
          </w:p>
        </w:tc>
        <w:tc>
          <w:tcPr>
            <w:tcW w:w="95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18"/>
                <w:szCs w:val="18"/>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18"/>
                <w:szCs w:val="18"/>
              </w:rPr>
            </w:pPr>
          </w:p>
        </w:tc>
        <w:tc>
          <w:tcPr>
            <w:tcW w:w="67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18"/>
                <w:szCs w:val="18"/>
              </w:rPr>
            </w:pPr>
          </w:p>
        </w:tc>
        <w:tc>
          <w:tcPr>
            <w:tcW w:w="85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18"/>
                <w:szCs w:val="18"/>
              </w:rPr>
            </w:pPr>
          </w:p>
        </w:tc>
        <w:tc>
          <w:tcPr>
            <w:tcW w:w="105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18"/>
                <w:szCs w:val="18"/>
              </w:rPr>
            </w:pPr>
          </w:p>
        </w:tc>
      </w:tr>
      <w:tr>
        <w:tblPrEx>
          <w:tblCellMar>
            <w:top w:w="0" w:type="dxa"/>
            <w:left w:w="108" w:type="dxa"/>
            <w:bottom w:w="0" w:type="dxa"/>
            <w:right w:w="108" w:type="dxa"/>
          </w:tblCellMar>
        </w:tblPrEx>
        <w:trPr>
          <w:trHeight w:val="398" w:hRule="atLeast"/>
          <w:jc w:val="center"/>
        </w:trPr>
        <w:tc>
          <w:tcPr>
            <w:tcW w:w="84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年度绩效指标完成情况</w:t>
            </w:r>
          </w:p>
        </w:tc>
        <w:tc>
          <w:tcPr>
            <w:tcW w:w="90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产出指标</w:t>
            </w:r>
          </w:p>
        </w:tc>
        <w:tc>
          <w:tcPr>
            <w:tcW w:w="6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数量指标</w:t>
            </w:r>
          </w:p>
        </w:tc>
        <w:tc>
          <w:tcPr>
            <w:tcW w:w="13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学校自聘同工同酬教师人数</w:t>
            </w:r>
          </w:p>
        </w:tc>
        <w:tc>
          <w:tcPr>
            <w:tcW w:w="9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=6人</w:t>
            </w: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6人</w:t>
            </w:r>
          </w:p>
        </w:tc>
        <w:tc>
          <w:tcPr>
            <w:tcW w:w="6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10</w:t>
            </w:r>
          </w:p>
        </w:tc>
        <w:tc>
          <w:tcPr>
            <w:tcW w:w="8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10</w:t>
            </w:r>
          </w:p>
        </w:tc>
        <w:tc>
          <w:tcPr>
            <w:tcW w:w="10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98" w:hRule="atLeast"/>
          <w:jc w:val="center"/>
        </w:trPr>
        <w:tc>
          <w:tcPr>
            <w:tcW w:w="84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18"/>
                <w:szCs w:val="18"/>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18"/>
                <w:szCs w:val="18"/>
              </w:rPr>
            </w:pPr>
          </w:p>
        </w:tc>
        <w:tc>
          <w:tcPr>
            <w:tcW w:w="6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质量指标</w:t>
            </w:r>
          </w:p>
        </w:tc>
        <w:tc>
          <w:tcPr>
            <w:tcW w:w="13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资金使用合规率（%）</w:t>
            </w:r>
          </w:p>
        </w:tc>
        <w:tc>
          <w:tcPr>
            <w:tcW w:w="9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=100%</w:t>
            </w: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100%</w:t>
            </w:r>
          </w:p>
        </w:tc>
        <w:tc>
          <w:tcPr>
            <w:tcW w:w="6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10</w:t>
            </w:r>
          </w:p>
        </w:tc>
        <w:tc>
          <w:tcPr>
            <w:tcW w:w="8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10</w:t>
            </w:r>
          </w:p>
        </w:tc>
        <w:tc>
          <w:tcPr>
            <w:tcW w:w="10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98" w:hRule="atLeast"/>
          <w:jc w:val="center"/>
        </w:trPr>
        <w:tc>
          <w:tcPr>
            <w:tcW w:w="84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18"/>
                <w:szCs w:val="18"/>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18"/>
                <w:szCs w:val="18"/>
              </w:rPr>
            </w:pPr>
          </w:p>
        </w:tc>
        <w:tc>
          <w:tcPr>
            <w:tcW w:w="6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时效指标</w:t>
            </w:r>
          </w:p>
        </w:tc>
        <w:tc>
          <w:tcPr>
            <w:tcW w:w="13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项目完成时限</w:t>
            </w:r>
          </w:p>
        </w:tc>
        <w:tc>
          <w:tcPr>
            <w:tcW w:w="9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=12个月</w:t>
            </w: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12个月</w:t>
            </w:r>
          </w:p>
        </w:tc>
        <w:tc>
          <w:tcPr>
            <w:tcW w:w="6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10</w:t>
            </w:r>
          </w:p>
        </w:tc>
        <w:tc>
          <w:tcPr>
            <w:tcW w:w="8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10</w:t>
            </w:r>
          </w:p>
        </w:tc>
        <w:tc>
          <w:tcPr>
            <w:tcW w:w="10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98" w:hRule="atLeast"/>
          <w:jc w:val="center"/>
        </w:trPr>
        <w:tc>
          <w:tcPr>
            <w:tcW w:w="84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18"/>
                <w:szCs w:val="18"/>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18"/>
                <w:szCs w:val="18"/>
              </w:rPr>
            </w:pPr>
          </w:p>
        </w:tc>
        <w:tc>
          <w:tcPr>
            <w:tcW w:w="6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成本指标</w:t>
            </w:r>
          </w:p>
        </w:tc>
        <w:tc>
          <w:tcPr>
            <w:tcW w:w="13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工资标准（研究生）</w:t>
            </w:r>
          </w:p>
        </w:tc>
        <w:tc>
          <w:tcPr>
            <w:tcW w:w="9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=7023.26元/月</w:t>
            </w: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7023.26元/月</w:t>
            </w:r>
          </w:p>
        </w:tc>
        <w:tc>
          <w:tcPr>
            <w:tcW w:w="6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10</w:t>
            </w:r>
          </w:p>
        </w:tc>
        <w:tc>
          <w:tcPr>
            <w:tcW w:w="8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10</w:t>
            </w:r>
          </w:p>
        </w:tc>
        <w:tc>
          <w:tcPr>
            <w:tcW w:w="10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98" w:hRule="atLeast"/>
          <w:jc w:val="center"/>
        </w:trPr>
        <w:tc>
          <w:tcPr>
            <w:tcW w:w="84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18"/>
                <w:szCs w:val="18"/>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18"/>
                <w:szCs w:val="18"/>
              </w:rPr>
            </w:pPr>
          </w:p>
        </w:tc>
        <w:tc>
          <w:tcPr>
            <w:tcW w:w="6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成本指标</w:t>
            </w:r>
          </w:p>
        </w:tc>
        <w:tc>
          <w:tcPr>
            <w:tcW w:w="13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工资标准（本科生）</w:t>
            </w:r>
          </w:p>
        </w:tc>
        <w:tc>
          <w:tcPr>
            <w:tcW w:w="9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=6772.26元/月</w:t>
            </w: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6772.26元/月</w:t>
            </w:r>
          </w:p>
        </w:tc>
        <w:tc>
          <w:tcPr>
            <w:tcW w:w="6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10</w:t>
            </w:r>
          </w:p>
        </w:tc>
        <w:tc>
          <w:tcPr>
            <w:tcW w:w="8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10</w:t>
            </w:r>
          </w:p>
        </w:tc>
        <w:tc>
          <w:tcPr>
            <w:tcW w:w="10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98" w:hRule="atLeast"/>
          <w:jc w:val="center"/>
        </w:trPr>
        <w:tc>
          <w:tcPr>
            <w:tcW w:w="84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18"/>
                <w:szCs w:val="18"/>
              </w:rPr>
            </w:pPr>
          </w:p>
        </w:tc>
        <w:tc>
          <w:tcPr>
            <w:tcW w:w="90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效益指标</w:t>
            </w:r>
          </w:p>
        </w:tc>
        <w:tc>
          <w:tcPr>
            <w:tcW w:w="6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经济效益指标</w:t>
            </w:r>
          </w:p>
        </w:tc>
        <w:tc>
          <w:tcPr>
            <w:tcW w:w="13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c>
          <w:tcPr>
            <w:tcW w:w="9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c>
          <w:tcPr>
            <w:tcW w:w="6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c>
          <w:tcPr>
            <w:tcW w:w="8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c>
          <w:tcPr>
            <w:tcW w:w="10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98" w:hRule="atLeast"/>
          <w:jc w:val="center"/>
        </w:trPr>
        <w:tc>
          <w:tcPr>
            <w:tcW w:w="84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18"/>
                <w:szCs w:val="18"/>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18"/>
                <w:szCs w:val="18"/>
              </w:rPr>
            </w:pPr>
          </w:p>
        </w:tc>
        <w:tc>
          <w:tcPr>
            <w:tcW w:w="6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社会效益指标</w:t>
            </w:r>
          </w:p>
        </w:tc>
        <w:tc>
          <w:tcPr>
            <w:tcW w:w="13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社会认知度、提高办学影响力</w:t>
            </w:r>
          </w:p>
        </w:tc>
        <w:tc>
          <w:tcPr>
            <w:tcW w:w="9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逐年扩大</w:t>
            </w: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完全达到预期效果</w:t>
            </w:r>
          </w:p>
        </w:tc>
        <w:tc>
          <w:tcPr>
            <w:tcW w:w="6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15</w:t>
            </w:r>
          </w:p>
        </w:tc>
        <w:tc>
          <w:tcPr>
            <w:tcW w:w="8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15</w:t>
            </w:r>
          </w:p>
        </w:tc>
        <w:tc>
          <w:tcPr>
            <w:tcW w:w="10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98" w:hRule="atLeast"/>
          <w:jc w:val="center"/>
        </w:trPr>
        <w:tc>
          <w:tcPr>
            <w:tcW w:w="84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18"/>
                <w:szCs w:val="18"/>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18"/>
                <w:szCs w:val="18"/>
              </w:rPr>
            </w:pPr>
          </w:p>
        </w:tc>
        <w:tc>
          <w:tcPr>
            <w:tcW w:w="6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生态效益指标</w:t>
            </w:r>
          </w:p>
        </w:tc>
        <w:tc>
          <w:tcPr>
            <w:tcW w:w="13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c>
          <w:tcPr>
            <w:tcW w:w="9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c>
          <w:tcPr>
            <w:tcW w:w="6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c>
          <w:tcPr>
            <w:tcW w:w="8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c>
          <w:tcPr>
            <w:tcW w:w="10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98" w:hRule="atLeast"/>
          <w:jc w:val="center"/>
        </w:trPr>
        <w:tc>
          <w:tcPr>
            <w:tcW w:w="84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18"/>
                <w:szCs w:val="18"/>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18"/>
                <w:szCs w:val="18"/>
              </w:rPr>
            </w:pPr>
          </w:p>
        </w:tc>
        <w:tc>
          <w:tcPr>
            <w:tcW w:w="6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可持续影响指标</w:t>
            </w:r>
          </w:p>
        </w:tc>
        <w:tc>
          <w:tcPr>
            <w:tcW w:w="13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学校培养人才发挥的作用</w:t>
            </w:r>
          </w:p>
        </w:tc>
        <w:tc>
          <w:tcPr>
            <w:tcW w:w="9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持续发挥</w:t>
            </w: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完全达到预期效果</w:t>
            </w:r>
          </w:p>
        </w:tc>
        <w:tc>
          <w:tcPr>
            <w:tcW w:w="6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15</w:t>
            </w:r>
          </w:p>
        </w:tc>
        <w:tc>
          <w:tcPr>
            <w:tcW w:w="8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15</w:t>
            </w:r>
          </w:p>
        </w:tc>
        <w:tc>
          <w:tcPr>
            <w:tcW w:w="10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98" w:hRule="atLeast"/>
          <w:jc w:val="center"/>
        </w:trPr>
        <w:tc>
          <w:tcPr>
            <w:tcW w:w="84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000000"/>
                <w:kern w:val="0"/>
                <w:sz w:val="18"/>
                <w:szCs w:val="18"/>
              </w:rPr>
            </w:pPr>
          </w:p>
        </w:tc>
        <w:tc>
          <w:tcPr>
            <w:tcW w:w="9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满意度指标</w:t>
            </w:r>
          </w:p>
        </w:tc>
        <w:tc>
          <w:tcPr>
            <w:tcW w:w="6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满意度指标</w:t>
            </w:r>
          </w:p>
        </w:tc>
        <w:tc>
          <w:tcPr>
            <w:tcW w:w="13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教师满意度</w:t>
            </w:r>
          </w:p>
        </w:tc>
        <w:tc>
          <w:tcPr>
            <w:tcW w:w="9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&gt;=95%</w:t>
            </w: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95%</w:t>
            </w:r>
          </w:p>
        </w:tc>
        <w:tc>
          <w:tcPr>
            <w:tcW w:w="6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10</w:t>
            </w:r>
          </w:p>
        </w:tc>
        <w:tc>
          <w:tcPr>
            <w:tcW w:w="85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10</w:t>
            </w:r>
          </w:p>
        </w:tc>
        <w:tc>
          <w:tcPr>
            <w:tcW w:w="105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default" w:ascii="宋体" w:hAnsi="宋体" w:eastAsia="宋体" w:cs="宋体"/>
                <w:color w:val="000000"/>
                <w:kern w:val="0"/>
                <w:sz w:val="18"/>
                <w:szCs w:val="18"/>
              </w:rPr>
            </w:pPr>
            <w:r>
              <w:rPr>
                <w:rFonts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384" w:hRule="atLeast"/>
          <w:jc w:val="center"/>
        </w:trPr>
        <w:tc>
          <w:tcPr>
            <w:tcW w:w="6416"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总分</w:t>
            </w:r>
          </w:p>
        </w:tc>
        <w:tc>
          <w:tcPr>
            <w:tcW w:w="85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100</w:t>
            </w:r>
          </w:p>
        </w:tc>
        <w:tc>
          <w:tcPr>
            <w:tcW w:w="105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color w:val="000000"/>
                <w:kern w:val="0"/>
                <w:sz w:val="18"/>
                <w:szCs w:val="18"/>
              </w:rPr>
            </w:pPr>
            <w:r>
              <w:rPr>
                <w:rFonts w:ascii="宋体" w:hAnsi="宋体" w:eastAsia="宋体" w:cs="宋体"/>
                <w:color w:val="000000"/>
                <w:kern w:val="0"/>
                <w:sz w:val="18"/>
                <w:szCs w:val="18"/>
              </w:rPr>
              <w:t>91.80分　</w:t>
            </w:r>
          </w:p>
        </w:tc>
      </w:tr>
    </w:tbl>
    <w:p>
      <w:pPr>
        <w:shd w:val="clear" w:color="auto" w:fill="FFFFFF"/>
        <w:autoSpaceDE w:val="0"/>
        <w:autoSpaceDN w:val="0"/>
        <w:adjustRightInd w:val="0"/>
        <w:spacing w:before="100" w:line="520" w:lineRule="exact"/>
        <w:rPr>
          <w:rFonts w:hint="default" w:ascii="Times New Roman" w:hAnsi="Times New Roman" w:eastAsia="仿宋_GB2312"/>
          <w:kern w:val="0"/>
          <w:sz w:val="24"/>
          <w:szCs w:val="24"/>
        </w:rPr>
      </w:pPr>
    </w:p>
    <w:p>
      <w:pPr>
        <w:shd w:val="clear" w:color="auto" w:fill="FFFFFF"/>
        <w:autoSpaceDE w:val="0"/>
        <w:autoSpaceDN w:val="0"/>
        <w:adjustRightInd w:val="0"/>
        <w:spacing w:before="100" w:after="240"/>
        <w:jc w:val="center"/>
        <w:rPr>
          <w:rFonts w:hint="default" w:ascii="Times New Roman" w:hAnsi="Times New Roman" w:eastAsia="黑体"/>
          <w:b/>
          <w:kern w:val="0"/>
          <w:sz w:val="28"/>
          <w:szCs w:val="28"/>
        </w:rPr>
      </w:pPr>
      <w:r>
        <w:rPr>
          <w:rFonts w:ascii="黑体" w:hAnsi="Times New Roman" w:eastAsia="黑体" w:cs="黑体"/>
          <w:kern w:val="0"/>
          <w:sz w:val="32"/>
          <w:szCs w:val="32"/>
        </w:rPr>
        <w:t>第三部分 专业名词解释</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ascii="仿宋_GB2312" w:hAnsi="Times New Roman" w:eastAsia="仿宋_GB2312" w:cs="仿宋_GB2312"/>
          <w:kern w:val="0"/>
          <w:sz w:val="32"/>
          <w:szCs w:val="32"/>
        </w:rPr>
        <w:t>财政拨款收入：指同级财政当年拨付的资金。</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ascii="仿宋_GB2312" w:hAnsi="Times New Roman" w:eastAsia="仿宋_GB2312" w:cs="仿宋_GB2312"/>
          <w:kern w:val="0"/>
          <w:sz w:val="32"/>
          <w:szCs w:val="32"/>
        </w:rPr>
        <w:t>上级补助收入：指事业单位从主管部门和上级单位取得的非财政补助收入。</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ascii="仿宋_GB2312" w:hAnsi="Times New Roman" w:eastAsia="仿宋_GB2312" w:cs="仿宋_GB2312"/>
          <w:kern w:val="0"/>
          <w:sz w:val="32"/>
          <w:szCs w:val="32"/>
        </w:rPr>
        <w:t>事业收入：指事业单位开展专业业务活动及其辅助活动所取得的收入。</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ascii="仿宋_GB2312" w:hAnsi="Times New Roman" w:eastAsia="仿宋_GB2312" w:cs="仿宋_GB2312"/>
          <w:kern w:val="0"/>
          <w:sz w:val="32"/>
          <w:szCs w:val="32"/>
        </w:rPr>
        <w:t>经营收入：指事业单位在专业业务活动及其辅助活动之外开展非独立核算经营活动取得的收入。</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ascii="仿宋_GB2312" w:hAnsi="Times New Roman" w:eastAsia="仿宋_GB2312" w:cs="仿宋_GB2312"/>
          <w:kern w:val="0"/>
          <w:sz w:val="32"/>
          <w:szCs w:val="32"/>
        </w:rPr>
        <w:t>附属单位上缴收入：指事业单位附属的独立核算单位按有关规定上缴的收入。</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ascii="仿宋_GB2312" w:hAnsi="Times New Roman" w:eastAsia="仿宋_GB2312" w:cs="仿宋_GB2312"/>
          <w:kern w:val="0"/>
          <w:sz w:val="32"/>
          <w:szCs w:val="32"/>
        </w:rPr>
        <w:t>其他收入：指除上述</w:t>
      </w:r>
      <w:r>
        <w:rPr>
          <w:rFonts w:hint="default" w:ascii="Times New Roman" w:hAnsi="Times New Roman" w:eastAsia="仿宋_GB2312" w:cs="仿宋_GB2312"/>
          <w:kern w:val="0"/>
          <w:sz w:val="32"/>
          <w:szCs w:val="32"/>
        </w:rPr>
        <w:t>“</w:t>
      </w:r>
      <w:r>
        <w:rPr>
          <w:rFonts w:ascii="仿宋_GB2312" w:hAnsi="Times New Roman" w:eastAsia="仿宋_GB2312" w:cs="仿宋_GB2312"/>
          <w:kern w:val="0"/>
          <w:sz w:val="32"/>
          <w:szCs w:val="32"/>
        </w:rPr>
        <w:t>财政拨款收入</w:t>
      </w:r>
      <w:r>
        <w:rPr>
          <w:rFonts w:hint="default" w:ascii="Times New Roman" w:hAnsi="Times New Roman" w:eastAsia="仿宋_GB2312" w:cs="仿宋_GB2312"/>
          <w:kern w:val="0"/>
          <w:sz w:val="32"/>
          <w:szCs w:val="32"/>
        </w:rPr>
        <w:t>”</w:t>
      </w:r>
      <w:r>
        <w:rPr>
          <w:rFonts w:ascii="仿宋_GB2312" w:hAnsi="Times New Roman" w:eastAsia="仿宋_GB2312" w:cs="仿宋_GB2312"/>
          <w:kern w:val="0"/>
          <w:sz w:val="32"/>
          <w:szCs w:val="32"/>
        </w:rPr>
        <w:t>、</w:t>
      </w:r>
      <w:r>
        <w:rPr>
          <w:rFonts w:hint="default" w:ascii="Times New Roman" w:hAnsi="Times New Roman" w:eastAsia="仿宋_GB2312" w:cs="仿宋_GB2312"/>
          <w:kern w:val="0"/>
          <w:sz w:val="32"/>
          <w:szCs w:val="32"/>
        </w:rPr>
        <w:t>“</w:t>
      </w:r>
      <w:r>
        <w:rPr>
          <w:rFonts w:ascii="仿宋_GB2312" w:hAnsi="Times New Roman" w:eastAsia="仿宋_GB2312" w:cs="仿宋_GB2312"/>
          <w:kern w:val="0"/>
          <w:sz w:val="32"/>
          <w:szCs w:val="32"/>
        </w:rPr>
        <w:t>事业收入</w:t>
      </w:r>
      <w:r>
        <w:rPr>
          <w:rFonts w:hint="default" w:ascii="Times New Roman" w:hAnsi="Times New Roman" w:eastAsia="仿宋_GB2312" w:cs="仿宋_GB2312"/>
          <w:kern w:val="0"/>
          <w:sz w:val="32"/>
          <w:szCs w:val="32"/>
        </w:rPr>
        <w:t>”</w:t>
      </w:r>
      <w:r>
        <w:rPr>
          <w:rFonts w:ascii="仿宋_GB2312" w:hAnsi="Times New Roman" w:eastAsia="仿宋_GB2312" w:cs="仿宋_GB2312"/>
          <w:kern w:val="0"/>
          <w:sz w:val="32"/>
          <w:szCs w:val="32"/>
        </w:rPr>
        <w:t>、</w:t>
      </w:r>
      <w:r>
        <w:rPr>
          <w:rFonts w:hint="default" w:ascii="Times New Roman" w:hAnsi="Times New Roman" w:eastAsia="仿宋_GB2312" w:cs="仿宋_GB2312"/>
          <w:kern w:val="0"/>
          <w:sz w:val="32"/>
          <w:szCs w:val="32"/>
        </w:rPr>
        <w:t>“</w:t>
      </w:r>
      <w:r>
        <w:rPr>
          <w:rFonts w:ascii="仿宋_GB2312" w:hAnsi="Times New Roman" w:eastAsia="仿宋_GB2312" w:cs="仿宋_GB2312"/>
          <w:kern w:val="0"/>
          <w:sz w:val="32"/>
          <w:szCs w:val="32"/>
        </w:rPr>
        <w:t>经营收入</w:t>
      </w:r>
      <w:r>
        <w:rPr>
          <w:rFonts w:hint="default" w:ascii="Times New Roman" w:hAnsi="Times New Roman" w:eastAsia="仿宋_GB2312" w:cs="仿宋_GB2312"/>
          <w:kern w:val="0"/>
          <w:sz w:val="32"/>
          <w:szCs w:val="32"/>
        </w:rPr>
        <w:t>”</w:t>
      </w:r>
      <w:r>
        <w:rPr>
          <w:rFonts w:ascii="仿宋_GB2312" w:hAnsi="Times New Roman" w:eastAsia="仿宋_GB2312" w:cs="仿宋_GB2312"/>
          <w:kern w:val="0"/>
          <w:sz w:val="32"/>
          <w:szCs w:val="32"/>
        </w:rPr>
        <w:t>、</w:t>
      </w:r>
      <w:r>
        <w:rPr>
          <w:rFonts w:hint="default" w:ascii="Times New Roman" w:hAnsi="Times New Roman" w:eastAsia="仿宋_GB2312" w:cs="仿宋_GB2312"/>
          <w:kern w:val="0"/>
          <w:sz w:val="32"/>
          <w:szCs w:val="32"/>
        </w:rPr>
        <w:t>“</w:t>
      </w:r>
      <w:r>
        <w:rPr>
          <w:rFonts w:ascii="仿宋_GB2312" w:hAnsi="Times New Roman" w:eastAsia="仿宋_GB2312" w:cs="仿宋_GB2312"/>
          <w:kern w:val="0"/>
          <w:sz w:val="32"/>
          <w:szCs w:val="32"/>
        </w:rPr>
        <w:t>附属单位上缴收入</w:t>
      </w:r>
      <w:r>
        <w:rPr>
          <w:rFonts w:hint="default" w:ascii="Times New Roman" w:hAnsi="Times New Roman" w:eastAsia="仿宋_GB2312" w:cs="仿宋_GB2312"/>
          <w:kern w:val="0"/>
          <w:sz w:val="32"/>
          <w:szCs w:val="32"/>
        </w:rPr>
        <w:t>”</w:t>
      </w:r>
      <w:r>
        <w:rPr>
          <w:rFonts w:ascii="仿宋_GB2312" w:hAnsi="Times New Roman" w:eastAsia="仿宋_GB2312" w:cs="仿宋_GB2312"/>
          <w:kern w:val="0"/>
          <w:sz w:val="32"/>
          <w:szCs w:val="32"/>
        </w:rPr>
        <w:t>等之外取得的收入。</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ascii="仿宋_GB2312" w:hAnsi="Times New Roman" w:eastAsia="仿宋_GB2312" w:cs="仿宋_GB2312"/>
          <w:kern w:val="0"/>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ascii="仿宋_GB2312" w:hAnsi="Times New Roman" w:eastAsia="仿宋_GB2312" w:cs="仿宋_GB2312"/>
          <w:kern w:val="0"/>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ascii="仿宋_GB2312" w:hAnsi="Times New Roman" w:eastAsia="仿宋_GB2312" w:cs="仿宋_GB2312"/>
          <w:kern w:val="0"/>
          <w:sz w:val="32"/>
          <w:szCs w:val="32"/>
        </w:rPr>
        <w:t>基本支出：指为保障机构正常运转、完成日常工作任务而发生的人员支出和公用支出。</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ascii="仿宋_GB2312" w:hAnsi="Times New Roman" w:eastAsia="仿宋_GB2312" w:cs="仿宋_GB2312"/>
          <w:kern w:val="0"/>
          <w:sz w:val="32"/>
          <w:szCs w:val="32"/>
        </w:rPr>
        <w:t>项目支出：指在基本支出之外为完成特定行政任务和事业发展目标所发生的支出。</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ascii="仿宋_GB2312" w:hAnsi="Times New Roman" w:eastAsia="仿宋_GB2312" w:cs="仿宋_GB2312"/>
          <w:kern w:val="0"/>
          <w:sz w:val="32"/>
          <w:szCs w:val="32"/>
        </w:rPr>
        <w:t>经营支出：指事业单位在专业业务活动及其辅助活动之外开展非独立核算经营活动发生的支出。</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r>
        <w:rPr>
          <w:rFonts w:ascii="仿宋_GB2312" w:hAnsi="Times New Roman" w:eastAsia="仿宋_GB2312" w:cs="仿宋_GB2312"/>
          <w:kern w:val="0"/>
          <w:sz w:val="32"/>
          <w:szCs w:val="32"/>
        </w:rPr>
        <w:t>对附属单位补助支出：指事业单位发生的用非财政预算资金对附属单位的补助支出。</w:t>
      </w:r>
    </w:p>
    <w:p>
      <w:pPr>
        <w:autoSpaceDE w:val="0"/>
        <w:autoSpaceDN w:val="0"/>
        <w:adjustRightInd w:val="0"/>
        <w:spacing w:line="360" w:lineRule="auto"/>
        <w:ind w:firstLine="640"/>
        <w:rPr>
          <w:rFonts w:hint="default" w:ascii="Times New Roman" w:hAnsi="Times New Roman" w:eastAsia="仿宋_GB2312"/>
          <w:sz w:val="32"/>
          <w:szCs w:val="32"/>
        </w:rPr>
      </w:pPr>
      <w:r>
        <w:rPr>
          <w:rFonts w:hint="default" w:ascii="Times New Roman" w:hAnsi="Times New Roman" w:eastAsia="仿宋_GB2312" w:cs="仿宋_GB2312"/>
          <w:sz w:val="32"/>
          <w:szCs w:val="32"/>
        </w:rPr>
        <w:t>“</w:t>
      </w:r>
      <w:r>
        <w:rPr>
          <w:rFonts w:ascii="仿宋_GB2312" w:hAnsi="Times New Roman" w:eastAsia="仿宋_GB2312" w:cs="仿宋_GB2312"/>
          <w:sz w:val="32"/>
          <w:szCs w:val="32"/>
        </w:rPr>
        <w:t>三公</w:t>
      </w:r>
      <w:r>
        <w:rPr>
          <w:rFonts w:hint="default" w:ascii="Times New Roman" w:hAnsi="Times New Roman" w:eastAsia="仿宋_GB2312" w:cs="仿宋_GB2312"/>
          <w:sz w:val="32"/>
          <w:szCs w:val="32"/>
        </w:rPr>
        <w:t>”</w:t>
      </w:r>
      <w:r>
        <w:rPr>
          <w:rFonts w:ascii="仿宋_GB2312" w:hAnsi="Times New Roman" w:eastAsia="仿宋_GB2312" w:cs="仿宋_GB2312"/>
          <w:sz w:val="32"/>
          <w:szCs w:val="32"/>
        </w:rPr>
        <w:t>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autoSpaceDE w:val="0"/>
        <w:autoSpaceDN w:val="0"/>
        <w:adjustRightInd w:val="0"/>
        <w:spacing w:line="360" w:lineRule="auto"/>
        <w:ind w:firstLine="640"/>
        <w:rPr>
          <w:rFonts w:hint="default" w:ascii="Times New Roman" w:hAnsi="Times New Roman" w:eastAsia="仿宋_GB2312"/>
          <w:sz w:val="32"/>
          <w:szCs w:val="32"/>
        </w:rPr>
      </w:pPr>
      <w:r>
        <w:rPr>
          <w:rFonts w:ascii="仿宋_GB2312" w:hAnsi="Times New Roman" w:eastAsia="仿宋_GB2312" w:cs="仿宋_GB2312"/>
          <w:sz w:val="32"/>
          <w:szCs w:val="32"/>
        </w:rPr>
        <w:t>机关运行经费：行政单位和参照公务员法管理的事业单位财政拨款基本支出中的公用经费支出。</w:t>
      </w:r>
    </w:p>
    <w:p>
      <w:pPr>
        <w:shd w:val="clear" w:color="auto" w:fill="FFFFFF"/>
        <w:autoSpaceDE w:val="0"/>
        <w:autoSpaceDN w:val="0"/>
        <w:adjustRightInd w:val="0"/>
        <w:spacing w:line="360" w:lineRule="auto"/>
        <w:ind w:firstLine="640"/>
        <w:rPr>
          <w:rFonts w:hint="default" w:ascii="Times New Roman" w:hAnsi="Times New Roman" w:eastAsia="仿宋_GB2312"/>
          <w:kern w:val="0"/>
          <w:sz w:val="32"/>
          <w:szCs w:val="32"/>
        </w:rPr>
      </w:pPr>
    </w:p>
    <w:p>
      <w:pPr>
        <w:shd w:val="clear" w:color="auto" w:fill="FFFFFF"/>
        <w:autoSpaceDE w:val="0"/>
        <w:autoSpaceDN w:val="0"/>
        <w:adjustRightInd w:val="0"/>
        <w:spacing w:before="100" w:line="520" w:lineRule="exact"/>
        <w:rPr>
          <w:rFonts w:hint="default" w:ascii="Times New Roman" w:hAnsi="Times New Roman" w:eastAsia="仿宋_GB2312"/>
          <w:kern w:val="0"/>
          <w:sz w:val="24"/>
          <w:szCs w:val="24"/>
        </w:rPr>
      </w:pPr>
    </w:p>
    <w:p>
      <w:pPr>
        <w:shd w:val="clear" w:color="auto" w:fill="FFFFFF"/>
        <w:autoSpaceDE w:val="0"/>
        <w:autoSpaceDN w:val="0"/>
        <w:adjustRightInd w:val="0"/>
        <w:spacing w:before="100" w:after="240"/>
        <w:jc w:val="center"/>
        <w:rPr>
          <w:rFonts w:hint="default" w:ascii="Times New Roman" w:hAnsi="Times New Roman" w:eastAsia="黑体"/>
          <w:kern w:val="0"/>
          <w:sz w:val="32"/>
          <w:szCs w:val="32"/>
        </w:rPr>
      </w:pPr>
      <w:r>
        <w:rPr>
          <w:rFonts w:ascii="黑体" w:hAnsi="Times New Roman" w:eastAsia="黑体" w:cs="黑体"/>
          <w:kern w:val="0"/>
          <w:sz w:val="32"/>
          <w:szCs w:val="32"/>
        </w:rPr>
        <w:t>第四部分 部门决算报表（见附表）</w:t>
      </w:r>
    </w:p>
    <w:p>
      <w:pPr>
        <w:autoSpaceDE w:val="0"/>
        <w:autoSpaceDN w:val="0"/>
        <w:adjustRightInd w:val="0"/>
        <w:spacing w:line="540" w:lineRule="exact"/>
        <w:ind w:firstLine="640"/>
        <w:rPr>
          <w:rFonts w:hint="default" w:ascii="Times New Roman" w:hAnsi="Times New Roman" w:eastAsia="黑体"/>
          <w:sz w:val="32"/>
          <w:szCs w:val="32"/>
        </w:rPr>
      </w:pPr>
      <w:r>
        <w:rPr>
          <w:rFonts w:ascii="黑体" w:hAnsi="Times New Roman" w:eastAsia="黑体" w:cs="黑体"/>
          <w:sz w:val="32"/>
          <w:szCs w:val="32"/>
        </w:rPr>
        <w:t>一、《收入支出决算总表》</w:t>
      </w:r>
    </w:p>
    <w:p>
      <w:pPr>
        <w:autoSpaceDE w:val="0"/>
        <w:autoSpaceDN w:val="0"/>
        <w:adjustRightInd w:val="0"/>
        <w:spacing w:line="540" w:lineRule="exact"/>
        <w:ind w:firstLine="640"/>
        <w:rPr>
          <w:rFonts w:hint="default" w:ascii="Times New Roman" w:hAnsi="Times New Roman" w:eastAsia="黑体"/>
          <w:sz w:val="32"/>
          <w:szCs w:val="32"/>
        </w:rPr>
      </w:pPr>
      <w:r>
        <w:rPr>
          <w:rFonts w:ascii="黑体" w:hAnsi="Times New Roman" w:eastAsia="黑体" w:cs="黑体"/>
          <w:sz w:val="32"/>
          <w:szCs w:val="32"/>
        </w:rPr>
        <w:t>二、《收入决算表》</w:t>
      </w:r>
    </w:p>
    <w:p>
      <w:pPr>
        <w:autoSpaceDE w:val="0"/>
        <w:autoSpaceDN w:val="0"/>
        <w:adjustRightInd w:val="0"/>
        <w:spacing w:line="540" w:lineRule="exact"/>
        <w:ind w:firstLine="640"/>
        <w:rPr>
          <w:rFonts w:hint="default" w:ascii="Times New Roman" w:hAnsi="Times New Roman" w:eastAsia="黑体"/>
          <w:sz w:val="32"/>
          <w:szCs w:val="32"/>
        </w:rPr>
      </w:pPr>
      <w:r>
        <w:rPr>
          <w:rFonts w:ascii="黑体" w:hAnsi="Times New Roman" w:eastAsia="黑体" w:cs="黑体"/>
          <w:sz w:val="32"/>
          <w:szCs w:val="32"/>
        </w:rPr>
        <w:t>三、《支出决算表》</w:t>
      </w:r>
    </w:p>
    <w:p>
      <w:pPr>
        <w:autoSpaceDE w:val="0"/>
        <w:autoSpaceDN w:val="0"/>
        <w:adjustRightInd w:val="0"/>
        <w:spacing w:line="540" w:lineRule="exact"/>
        <w:ind w:firstLine="640"/>
        <w:rPr>
          <w:rFonts w:hint="default" w:ascii="Times New Roman" w:hAnsi="Times New Roman" w:eastAsia="黑体"/>
          <w:sz w:val="32"/>
          <w:szCs w:val="32"/>
        </w:rPr>
      </w:pPr>
      <w:r>
        <w:rPr>
          <w:rFonts w:ascii="黑体" w:hAnsi="Times New Roman" w:eastAsia="黑体" w:cs="黑体"/>
          <w:sz w:val="32"/>
          <w:szCs w:val="32"/>
        </w:rPr>
        <w:t>四、《财政拨款收入支出决算总表》</w:t>
      </w:r>
    </w:p>
    <w:p>
      <w:pPr>
        <w:autoSpaceDE w:val="0"/>
        <w:autoSpaceDN w:val="0"/>
        <w:adjustRightInd w:val="0"/>
        <w:spacing w:line="540" w:lineRule="exact"/>
        <w:ind w:firstLine="640"/>
        <w:rPr>
          <w:rFonts w:hint="default" w:ascii="Times New Roman" w:hAnsi="Times New Roman" w:eastAsia="黑体"/>
          <w:sz w:val="32"/>
          <w:szCs w:val="32"/>
        </w:rPr>
      </w:pPr>
      <w:r>
        <w:rPr>
          <w:rFonts w:ascii="黑体" w:hAnsi="Times New Roman" w:eastAsia="黑体" w:cs="黑体"/>
          <w:sz w:val="32"/>
          <w:szCs w:val="32"/>
        </w:rPr>
        <w:t>五、《一般公共预算财政拨款支出决算表》</w:t>
      </w:r>
    </w:p>
    <w:p>
      <w:pPr>
        <w:autoSpaceDE w:val="0"/>
        <w:autoSpaceDN w:val="0"/>
        <w:adjustRightInd w:val="0"/>
        <w:spacing w:line="540" w:lineRule="exact"/>
        <w:ind w:firstLine="640"/>
        <w:rPr>
          <w:rFonts w:hint="default" w:ascii="Times New Roman" w:hAnsi="Times New Roman" w:eastAsia="黑体"/>
          <w:sz w:val="32"/>
          <w:szCs w:val="32"/>
        </w:rPr>
      </w:pPr>
      <w:r>
        <w:rPr>
          <w:rFonts w:ascii="黑体" w:hAnsi="Times New Roman" w:eastAsia="黑体" w:cs="黑体"/>
          <w:sz w:val="32"/>
          <w:szCs w:val="32"/>
        </w:rPr>
        <w:t>六、《一般公共预算财政拨款基本支出决算表》</w:t>
      </w:r>
    </w:p>
    <w:p>
      <w:pPr>
        <w:autoSpaceDE w:val="0"/>
        <w:autoSpaceDN w:val="0"/>
        <w:adjustRightInd w:val="0"/>
        <w:spacing w:line="540" w:lineRule="exact"/>
        <w:ind w:firstLine="640"/>
        <w:rPr>
          <w:rFonts w:hint="default" w:ascii="Times New Roman" w:hAnsi="Times New Roman" w:eastAsia="黑体"/>
          <w:sz w:val="32"/>
          <w:szCs w:val="32"/>
        </w:rPr>
      </w:pPr>
      <w:r>
        <w:rPr>
          <w:rFonts w:ascii="黑体" w:hAnsi="Times New Roman" w:eastAsia="黑体" w:cs="黑体"/>
          <w:sz w:val="32"/>
          <w:szCs w:val="32"/>
        </w:rPr>
        <w:t>七、《财政拨款</w:t>
      </w:r>
      <w:r>
        <w:rPr>
          <w:rFonts w:hint="default" w:ascii="Times New Roman" w:hAnsi="Times New Roman" w:eastAsia="黑体" w:cs="黑体"/>
          <w:sz w:val="32"/>
          <w:szCs w:val="32"/>
        </w:rPr>
        <w:t>“</w:t>
      </w:r>
      <w:r>
        <w:rPr>
          <w:rFonts w:ascii="黑体" w:hAnsi="Times New Roman" w:eastAsia="黑体" w:cs="黑体"/>
          <w:sz w:val="32"/>
          <w:szCs w:val="32"/>
        </w:rPr>
        <w:t>三公</w:t>
      </w:r>
      <w:r>
        <w:rPr>
          <w:rFonts w:hint="default" w:ascii="Times New Roman" w:hAnsi="Times New Roman" w:eastAsia="黑体" w:cs="黑体"/>
          <w:sz w:val="32"/>
          <w:szCs w:val="32"/>
        </w:rPr>
        <w:t>”</w:t>
      </w:r>
      <w:r>
        <w:rPr>
          <w:rFonts w:ascii="黑体" w:hAnsi="Times New Roman" w:eastAsia="黑体" w:cs="黑体"/>
          <w:sz w:val="32"/>
          <w:szCs w:val="32"/>
        </w:rPr>
        <w:t>经费支出决算表》</w:t>
      </w:r>
    </w:p>
    <w:p>
      <w:pPr>
        <w:autoSpaceDE w:val="0"/>
        <w:autoSpaceDN w:val="0"/>
        <w:adjustRightInd w:val="0"/>
        <w:spacing w:line="540" w:lineRule="exact"/>
        <w:ind w:firstLine="640"/>
        <w:rPr>
          <w:rFonts w:hint="default" w:ascii="Times New Roman" w:hAnsi="Times New Roman" w:eastAsia="黑体"/>
          <w:kern w:val="0"/>
          <w:sz w:val="32"/>
          <w:szCs w:val="32"/>
        </w:rPr>
      </w:pPr>
      <w:r>
        <w:rPr>
          <w:rFonts w:ascii="黑体" w:hAnsi="Times New Roman" w:eastAsia="黑体" w:cs="黑体"/>
          <w:sz w:val="32"/>
          <w:szCs w:val="32"/>
        </w:rPr>
        <w:t>八、《政府性基金预算财政拨款收入支出决算表》</w:t>
      </w:r>
    </w:p>
    <w:p>
      <w:pPr>
        <w:autoSpaceDE w:val="0"/>
        <w:autoSpaceDN w:val="0"/>
        <w:adjustRightInd w:val="0"/>
        <w:spacing w:line="540" w:lineRule="exact"/>
        <w:ind w:firstLine="640"/>
        <w:rPr>
          <w:rFonts w:hint="default" w:ascii="Times New Roman" w:hAnsi="Times New Roman" w:eastAsia="黑体"/>
          <w:kern w:val="0"/>
          <w:sz w:val="32"/>
          <w:szCs w:val="32"/>
        </w:rPr>
      </w:pPr>
      <w:r>
        <w:rPr>
          <w:rFonts w:ascii="黑体" w:hAnsi="Times New Roman" w:eastAsia="黑体" w:cs="黑体"/>
          <w:sz w:val="32"/>
          <w:szCs w:val="32"/>
          <w:lang w:val="zh-CN"/>
        </w:rPr>
        <w:t>九</w:t>
      </w:r>
      <w:r>
        <w:rPr>
          <w:rFonts w:ascii="黑体" w:hAnsi="Times New Roman" w:eastAsia="黑体" w:cs="黑体"/>
          <w:sz w:val="32"/>
          <w:szCs w:val="32"/>
        </w:rPr>
        <w:t>、《国有资本经营预算财政拨款收入支出决算表》</w:t>
      </w:r>
    </w:p>
    <w:p>
      <w:pPr>
        <w:autoSpaceDE w:val="0"/>
        <w:autoSpaceDN w:val="0"/>
        <w:adjustRightInd w:val="0"/>
        <w:jc w:val="left"/>
        <w:rPr>
          <w:rFonts w:hint="default" w:ascii="Times New Roman" w:hAnsi="Times New Roman" w:eastAsia="黑体"/>
          <w:kern w:val="36"/>
          <w:sz w:val="40"/>
          <w:szCs w:val="40"/>
          <w:lang w:val="zh-CN"/>
        </w:rPr>
      </w:pPr>
    </w:p>
    <w:p>
      <w:pPr>
        <w:autoSpaceDE w:val="0"/>
        <w:autoSpaceDN w:val="0"/>
        <w:adjustRightInd w:val="0"/>
        <w:rPr>
          <w:rFonts w:hint="default" w:ascii="Times New Roman" w:hAnsi="Times New Roman" w:eastAsia="黑体"/>
          <w:szCs w:val="21"/>
        </w:rPr>
      </w:pPr>
    </w:p>
    <w:p>
      <w:pPr>
        <w:autoSpaceDE w:val="0"/>
        <w:autoSpaceDN w:val="0"/>
        <w:adjustRightInd w:val="0"/>
        <w:jc w:val="left"/>
        <w:rPr>
          <w:rFonts w:hint="default" w:ascii="Times New Roman" w:hAnsi="Times New Roman" w:eastAsia="黑体"/>
          <w:kern w:val="36"/>
          <w:sz w:val="40"/>
          <w:szCs w:val="40"/>
          <w:lang w:val="zh-CN"/>
        </w:rPr>
      </w:pPr>
    </w:p>
    <w:p>
      <w:pPr>
        <w:autoSpaceDE w:val="0"/>
        <w:autoSpaceDN w:val="0"/>
        <w:adjustRightInd w:val="0"/>
        <w:rPr>
          <w:rFonts w:hint="default" w:ascii="Times New Roman" w:hAnsi="Times New Roman" w:eastAsia="黑体"/>
          <w:szCs w:val="21"/>
        </w:rPr>
      </w:pPr>
    </w:p>
    <w:p>
      <w:pPr>
        <w:autoSpaceDE w:val="0"/>
        <w:autoSpaceDN w:val="0"/>
        <w:adjustRightInd w:val="0"/>
        <w:jc w:val="left"/>
        <w:rPr>
          <w:rFonts w:hint="default" w:ascii="Times New Roman" w:hAnsi="Times New Roman" w:eastAsia="黑体"/>
          <w:kern w:val="36"/>
          <w:sz w:val="40"/>
          <w:szCs w:val="40"/>
          <w:lang w:val="zh-CN"/>
        </w:rPr>
      </w:pP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20"/>
  <w:drawingGridVerticalSpacing w:val="120"/>
  <w:displayHorizontalDrawingGridEvery w:val="0"/>
  <w:displayVerticalDrawingGridEvery w:val="3"/>
  <w:doNotUseMarginsForDrawingGridOrigin w:val="1"/>
  <w:drawingGridHorizontalOrigin w:val="1800"/>
  <w:drawingGridVerticalOrigin w:val="1440"/>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dkZGMyOWI2OTRjOWQ4ZTEzMzkxOGQzMTU2NTIzNjEifQ=="/>
  </w:docVars>
  <w:rsids>
    <w:rsidRoot w:val="00172A27"/>
    <w:rsid w:val="00172A27"/>
    <w:rsid w:val="007727B8"/>
    <w:rsid w:val="0089453D"/>
    <w:rsid w:val="008C7962"/>
    <w:rsid w:val="00D858F7"/>
    <w:rsid w:val="00E47E7B"/>
    <w:rsid w:val="00FC6FB1"/>
    <w:rsid w:val="5B886FAC"/>
    <w:rsid w:val="675304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nhideWhenUsed="0" w:uiPriority="35" w:semiHidden="0" w:name="caption"/>
    <w:lsdException w:qFormat="1" w:unhideWhenUsed="0" w:uiPriority="99" w:semiHidden="0" w:name="table of figures"/>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qFormat="1" w:unhideWhenUsed="0" w:uiPriority="99" w:semiHidden="0" w:name="endnote reference"/>
    <w:lsdException w:qFormat="1" w:unhideWhenUsed="0" w:uiPriority="99" w:semiHidden="0" w:name="endnote text"/>
    <w:lsdException w:qFormat="1" w:unhideWhenUsed="0" w:uiPriority="99" w:semiHidden="0" w:name="table of authorities"/>
    <w:lsdException w:qFormat="1" w:unhideWhenUsed="0" w:uiPriority="99" w:semiHidden="0" w:name="macro"/>
    <w:lsdException w:qFormat="1" w:unhideWhenUsed="0" w:uiPriority="99"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10" w:semiHidden="0" w:name="Title"/>
    <w:lsdException w:qFormat="1" w:unhideWhenUsed="0" w:uiPriority="99" w:semiHidden="0" w:name="Closing"/>
    <w:lsdException w:qFormat="1" w:unhideWhenUsed="0" w:uiPriority="99" w:semiHidden="0" w:name="Signature"/>
    <w:lsdException w:uiPriority="1" w:name="Default Paragraph Font"/>
    <w:lsdException w:qFormat="1" w:unhideWhenUsed="0" w:uiPriority="99"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11"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qFormat="1" w:unhideWhenUsed="0" w:uiPriority="99" w:semiHidden="0" w:name="E-mail Signature"/>
    <w:lsdException w:qFormat="1" w:unhideWhenUsed="0" w:uiPriority="99"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uiPriority="99" w:name="Normal Table"/>
    <w:lsdException w:qFormat="1" w:unhideWhenUsed="0" w:uiPriority="99" w:semiHidden="0" w:name="annotation subject"/>
    <w:lsdException w:qFormat="1" w:uiPriority="99" w:name="Table Simple 1"/>
    <w:lsdException w:qFormat="1" w:uiPriority="99" w:name="Table Simple 2"/>
    <w:lsdException w:qFormat="1" w:uiPriority="99" w:name="Table Simple 3"/>
    <w:lsdException w:qFormat="1" w:uiPriority="99" w:name="Table Classic 1"/>
    <w:lsdException w:qFormat="1" w:uiPriority="99" w:name="Table Classic 2"/>
    <w:lsdException w:qFormat="1" w:uiPriority="99" w:name="Table Classic 3"/>
    <w:lsdException w:qFormat="1" w:uiPriority="99" w:name="Table Classic 4"/>
    <w:lsdException w:qFormat="1" w:uiPriority="99" w:name="Table Colorful 1"/>
    <w:lsdException w:qFormat="1" w:uiPriority="99" w:name="Table Colorful 2"/>
    <w:lsdException w:qFormat="1" w:uiPriority="99" w:name="Table Colorful 3"/>
    <w:lsdException w:qFormat="1" w:uiPriority="99" w:name="Table Columns 1"/>
    <w:lsdException w:qFormat="1" w:uiPriority="99" w:name="Table Columns 2"/>
    <w:lsdException w:qFormat="1" w:uiPriority="99" w:name="Table Columns 3"/>
    <w:lsdException w:qFormat="1" w:uiPriority="99" w:name="Table Columns 4"/>
    <w:lsdException w:qFormat="1" w:uiPriority="99" w:name="Table Columns 5"/>
    <w:lsdException w:qFormat="1" w:uiPriority="99" w:name="Table Grid 1"/>
    <w:lsdException w:qFormat="1" w:uiPriority="99" w:name="Table Grid 2"/>
    <w:lsdException w:qFormat="1" w:uiPriority="99" w:name="Table Grid 3"/>
    <w:lsdException w:qFormat="1" w:uiPriority="99" w:name="Table Grid 4"/>
    <w:lsdException w:qFormat="1" w:uiPriority="99" w:name="Table Grid 5"/>
    <w:lsdException w:qFormat="1" w:uiPriority="99" w:name="Table Grid 6"/>
    <w:lsdException w:qFormat="1" w:uiPriority="99" w:name="Table Grid 7"/>
    <w:lsdException w:qFormat="1" w:uiPriority="99" w:name="Table Grid 8"/>
    <w:lsdException w:qFormat="1" w:uiPriority="99" w:name="Table List 1"/>
    <w:lsdException w:qFormat="1" w:uiPriority="99" w:name="Table List 2"/>
    <w:lsdException w:qFormat="1" w:uiPriority="99" w:name="Table List 3"/>
    <w:lsdException w:qFormat="1" w:uiPriority="99" w:name="Table List 4"/>
    <w:lsdException w:qFormat="1" w:uiPriority="99" w:name="Table List 5"/>
    <w:lsdException w:qFormat="1" w:uiPriority="99" w:name="Table List 6"/>
    <w:lsdException w:qFormat="1" w:uiPriority="99" w:name="Table List 7"/>
    <w:lsdException w:qFormat="1" w:uiPriority="99" w:name="Table List 8"/>
    <w:lsdException w:qFormat="1" w:uiPriority="99" w:name="Table 3D effects 1"/>
    <w:lsdException w:qFormat="1" w:uiPriority="99" w:name="Table 3D effects 2"/>
    <w:lsdException w:qFormat="1" w:uiPriority="99" w:name="Table 3D effects 3"/>
    <w:lsdException w:qFormat="1" w:uiPriority="99" w:name="Table Contemporary"/>
    <w:lsdException w:qFormat="1" w:uiPriority="99" w:name="Table Elegant"/>
    <w:lsdException w:qFormat="1" w:uiPriority="99" w:name="Table Professional"/>
    <w:lsdException w:qFormat="1" w:uiPriority="99" w:name="Table Subtle 1"/>
    <w:lsdException w:qFormat="1" w:uiPriority="99" w:name="Table Subtle 2"/>
    <w:lsdException w:qFormat="1" w:uiPriority="99" w:name="Table Web 1"/>
    <w:lsdException w:qFormat="1" w:uiPriority="99" w:name="Table Web 2"/>
    <w:lsdException w:qFormat="1" w:uiPriority="99" w:name="Table Web 3"/>
    <w:lsdException w:qFormat="1" w:unhideWhenUsed="0" w:uiPriority="99" w:semiHidden="0" w:name="Balloon Text"/>
    <w:lsdException w:qFormat="1" w:unhideWhenUsed="0" w:uiPriority="39" w:semiHidden="0" w:name="Table Grid"/>
    <w:lsdException w:qFormat="1"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hint="eastAsia" w:ascii="等线" w:hAnsi="等线" w:eastAsia="等线"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6"/>
    <w:qFormat/>
    <w:uiPriority w:val="99"/>
    <w:pPr>
      <w:tabs>
        <w:tab w:val="center" w:pos="4153"/>
        <w:tab w:val="right" w:pos="8306"/>
      </w:tabs>
      <w:snapToGrid w:val="0"/>
      <w:jc w:val="center"/>
    </w:pPr>
    <w:rPr>
      <w:sz w:val="18"/>
      <w:szCs w:val="18"/>
    </w:rPr>
  </w:style>
  <w:style w:type="character" w:customStyle="1" w:styleId="6">
    <w:name w:val="页眉 字符"/>
    <w:basedOn w:val="5"/>
    <w:link w:val="3"/>
    <w:uiPriority w:val="99"/>
    <w:rPr>
      <w:rFonts w:ascii="等线" w:hAnsi="等线" w:eastAsia="等线"/>
      <w:kern w:val="2"/>
      <w:sz w:val="18"/>
      <w:szCs w:val="18"/>
    </w:rPr>
  </w:style>
  <w:style w:type="character" w:customStyle="1" w:styleId="7">
    <w:name w:val="页脚 字符"/>
    <w:basedOn w:val="5"/>
    <w:link w:val="2"/>
    <w:qFormat/>
    <w:uiPriority w:val="99"/>
    <w:rPr>
      <w:rFonts w:ascii="等线" w:hAnsi="等线" w:eastAsia="等线"/>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20</Pages>
  <Words>7965</Words>
  <Characters>9196</Characters>
  <Lines>74</Lines>
  <Paragraphs>20</Paragraphs>
  <TotalTime>25</TotalTime>
  <ScaleCrop>false</ScaleCrop>
  <LinksUpToDate>false</LinksUpToDate>
  <CharactersWithSpaces>9325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2023-08-23T04:57:00Z</dcterms:created>
  <dc:creator>asus</dc:creator>
  <cp:lastModifiedBy>逐梦令</cp:lastModifiedBy>
  <dcterms:modified xsi:type="dcterms:W3CDTF">2023-08-30T09:19:17Z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E0C5B7E504EE451CB050792AB677C21E_13</vt:lpwstr>
  </property>
</Properties>
</file>