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eastAsia" w:ascii="方正小标宋_GBK" w:hAnsi="方正小标宋_GBK" w:eastAsia="方正小标宋_GBK"/>
          <w:sz w:val="44"/>
          <w:szCs w:val="24"/>
          <w:lang w:val="en-US"/>
        </w:rPr>
      </w:pPr>
      <w:r>
        <w:rPr>
          <w:rFonts w:hint="eastAsia" w:ascii="方正小标宋_GBK" w:hAnsi="方正小标宋_GBK" w:eastAsia="方正小标宋_GBK"/>
          <w:sz w:val="44"/>
          <w:szCs w:val="24"/>
          <w:lang w:val="en-US"/>
        </w:rPr>
        <w:t>乌鲁木齐市米东区财政局</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lang w:val="en-US"/>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lang w:val="en-US"/>
        </w:rPr>
      </w:pPr>
      <w:r>
        <w:rPr>
          <w:rFonts w:hint="default" w:eastAsia="Times New Roman"/>
          <w:b/>
          <w:kern w:val="36"/>
          <w:sz w:val="36"/>
          <w:szCs w:val="24"/>
          <w:lang w:val="en-US"/>
        </w:rPr>
        <w:br w:type="page"/>
      </w:r>
      <w:r>
        <w:rPr>
          <w:rFonts w:hint="eastAsia" w:ascii="仿宋_GB2312" w:hAnsi="仿宋_GB2312" w:eastAsia="仿宋_GB2312"/>
          <w:b/>
          <w:kern w:val="0"/>
          <w:sz w:val="36"/>
          <w:szCs w:val="24"/>
          <w:lang w:val="en-US"/>
        </w:rPr>
        <w:t>目  录</w:t>
      </w:r>
    </w:p>
    <w:p>
      <w:pPr>
        <w:spacing w:beforeLines="0" w:afterLines="0"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第一部分 单位概况</w:t>
      </w:r>
    </w:p>
    <w:p>
      <w:pPr>
        <w:spacing w:beforeLines="0" w:afterLines="0"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一、主要职能</w:t>
      </w:r>
    </w:p>
    <w:p>
      <w:pPr>
        <w:spacing w:beforeLines="0" w:afterLines="0"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二、</w:t>
      </w:r>
      <w:r>
        <w:rPr>
          <w:rFonts w:hint="eastAsia" w:ascii="仿宋_GB2312" w:hAnsi="仿宋_GB2312" w:eastAsia="仿宋_GB2312"/>
          <w:sz w:val="32"/>
          <w:szCs w:val="24"/>
          <w:lang w:val="en-US"/>
        </w:rPr>
        <w:t>机构设置及人员情况</w:t>
      </w:r>
    </w:p>
    <w:p>
      <w:pPr>
        <w:spacing w:beforeLines="0" w:afterLines="0"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第二部分 部门决算情况说明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一、收入支出决算总体情况说明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二、收入决算情况说明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三、支出决算情况说明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四、财政拨款收入支出决算总体情况说明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lang w:val="en-US"/>
        </w:rPr>
        <w:t>收入支出决算情况说明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十、其他重要事项的情况说明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（一）机关运行经费支出情况</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（二）政府采购情况</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（三）国有资产占用情况说明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lang w:val="en-US"/>
        </w:rPr>
        <w:t>、预算绩效的情况说明</w:t>
      </w:r>
    </w:p>
    <w:p>
      <w:pPr>
        <w:spacing w:beforeLines="0" w:afterLines="0"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第三部分 专业名词解释</w:t>
      </w:r>
    </w:p>
    <w:p>
      <w:pPr>
        <w:spacing w:beforeLines="0" w:afterLines="0"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第四部分 部</w:t>
      </w:r>
      <w:r>
        <w:rPr>
          <w:rFonts w:hint="eastAsia" w:ascii="仿宋_GB2312" w:hAnsi="仿宋_GB2312" w:eastAsia="仿宋_GB2312"/>
          <w:b/>
          <w:sz w:val="32"/>
          <w:szCs w:val="24"/>
          <w:lang w:val="en-US"/>
        </w:rPr>
        <w:t>门决算报表（见附表）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二、《收入决算表》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三、《支出决算表》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八、《政府性基金预算财政拨款收入支出决算表》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九、《国有资本经营预算财政拨款收入支出决算表》</w:t>
      </w:r>
    </w:p>
    <w:p>
      <w:pPr>
        <w:spacing w:beforeLines="0" w:afterLines="0" w:line="540" w:lineRule="exact"/>
        <w:ind w:firstLine="640"/>
        <w:rPr>
          <w:rFonts w:hint="default" w:eastAsia="Times New Roman"/>
          <w:b/>
          <w:kern w:val="0"/>
          <w:sz w:val="28"/>
          <w:szCs w:val="24"/>
          <w:lang w:val="en-US"/>
        </w:rPr>
      </w:pPr>
    </w:p>
    <w:p>
      <w:pPr>
        <w:shd w:val="clear" w:color="auto" w:fill="FFFFFF"/>
        <w:spacing w:beforeLines="0" w:afterLines="0" w:line="360" w:lineRule="auto"/>
        <w:jc w:val="center"/>
        <w:rPr>
          <w:rFonts w:hint="default" w:eastAsia="Times New Roman"/>
          <w:kern w:val="0"/>
          <w:sz w:val="32"/>
          <w:szCs w:val="24"/>
          <w:lang w:val="en-US"/>
        </w:rPr>
      </w:pPr>
    </w:p>
    <w:p>
      <w:pPr>
        <w:shd w:val="clear" w:color="auto" w:fill="FFFFFF"/>
        <w:spacing w:beforeLines="0" w:afterLines="0" w:line="360" w:lineRule="auto"/>
        <w:jc w:val="center"/>
        <w:rPr>
          <w:rFonts w:hint="eastAsia" w:ascii="黑体" w:hAnsi="黑体" w:eastAsia="黑体"/>
          <w:kern w:val="0"/>
          <w:sz w:val="32"/>
          <w:szCs w:val="24"/>
          <w:lang w:val="ar-SA"/>
        </w:rPr>
      </w:pPr>
      <w:r>
        <w:rPr>
          <w:rFonts w:hint="default" w:eastAsia="Times New Roman"/>
          <w:kern w:val="0"/>
          <w:sz w:val="32"/>
          <w:szCs w:val="24"/>
          <w:lang w:val="en-US"/>
        </w:rPr>
        <w:br w:type="page"/>
      </w:r>
      <w:r>
        <w:rPr>
          <w:rFonts w:hint="eastAsia" w:ascii="黑体" w:hAnsi="黑体" w:eastAsia="黑体"/>
          <w:kern w:val="0"/>
          <w:sz w:val="32"/>
          <w:szCs w:val="24"/>
          <w:lang w:val="en-US"/>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beforeLines="0" w:afterLines="0"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（一）贯彻执行国家、自治区和我市有关财政、税收、行政事业单位国有资产管理的方针、政策和法律、法规，起草有关政策措施，组织编制我区财政工作中长期规划、年度计划，并组织实施。</w:t>
      </w:r>
    </w:p>
    <w:p>
      <w:pPr>
        <w:shd w:val="clear" w:color="auto" w:fill="FFFFFF"/>
        <w:spacing w:beforeLines="0" w:afterLines="0"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二）根据我区国民经济和社会发展战略，拟订财政发展战略和中长期规划；分析预测宏观经济形势，参与制定宏观经济政策，提出运用财税政策实施宏观经济调控和综合平衡社会财力的建议；完善促进社会事业发展的财税政策。</w:t>
      </w:r>
    </w:p>
    <w:p>
      <w:pPr>
        <w:shd w:val="clear" w:color="auto" w:fill="FFFFFF"/>
        <w:spacing w:beforeLines="0" w:afterLines="0"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三）承担全区各项财政收支管理责任；负责编制区本级预决算草案并组织执行；受区人民政府委托向区人民代表大会报告预算及执行情况，向区人大常委会报告决算；组织制定经费开支标准、定额，负责财政预决算工作。</w:t>
      </w:r>
    </w:p>
    <w:p>
      <w:pPr>
        <w:shd w:val="clear" w:color="auto" w:fill="FFFFFF"/>
        <w:spacing w:beforeLines="0" w:afterLines="0"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四）根据预算安排，拟订财政税收收入计划，并组织实施、管理和监督；按管理权限拟订上报减免税事项和对全区预算影响较大的临时和特殊的地方税减免事项；负责政府非税收入和政府性基金管理；监督指导、各部门非税收入政策的执行；监管财政票据。</w:t>
      </w:r>
    </w:p>
    <w:p>
      <w:pPr>
        <w:shd w:val="clear" w:color="auto" w:fill="FFFFFF"/>
        <w:spacing w:beforeLines="0" w:afterLines="0"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五）组织实施国库管理和国库集中收付制度、公务卡制度，以及预算执行动态监控制度；负责实施全区财政总预决算、部门预决算公开和政府债务管理工作；负责制定全区政府采购制度并监督管理，研究拟订政府向社会力量购买服务的政策措施和管理办法并组织实施；管理全区财政统一发放工资津贴工作。</w:t>
      </w:r>
    </w:p>
    <w:p>
      <w:pPr>
        <w:shd w:val="clear" w:color="auto" w:fill="FFFFFF"/>
        <w:spacing w:beforeLines="0" w:afterLines="0"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（六）严格执行政府性债务管理制度和办法，负责建立全区政府债务监控管理机制；研究控制政府债务规模；负责制定化解政府债务的政策措施并组织实施；负责全区政府债券的管理工作。</w:t>
      </w:r>
    </w:p>
    <w:p>
      <w:pPr>
        <w:shd w:val="clear" w:color="auto" w:fill="FFFFFF"/>
        <w:spacing w:beforeLines="0" w:afterLines="0"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七）参与拟订建设投资的有关政策，制定全区基本建设财务管理制度，负责政府性投资项目财政资金管理工作；执行政府和社会资本合作（PPP）有关政策制度，承担相关规范管理工作；承担有关政策性补贴和专项储备资金财政管理工作；管理各项财政扶贫资金。</w:t>
      </w:r>
    </w:p>
    <w:p>
      <w:pPr>
        <w:shd w:val="clear" w:color="auto" w:fill="FFFFFF"/>
        <w:spacing w:beforeLines="0" w:afterLines="0"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（八）贯彻执行国家行政事业单位国有资产管理法规、制度和方针政策，制定全区行政事业单位国有资产管理政策制度并组织实施，按规定管理行政事业单位国有资产。</w:t>
      </w:r>
    </w:p>
    <w:p>
      <w:pPr>
        <w:shd w:val="clear" w:color="auto" w:fill="FFFFFF"/>
        <w:spacing w:beforeLines="0" w:afterLines="0"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（九）会同有关部门管理区财政社会保障和就业及医疗卫生资金管理工作，执行社会保障资金（基金）政策和有关的财务管理制度，编制全区社会保障预决算草案。</w:t>
      </w:r>
    </w:p>
    <w:p>
      <w:pPr>
        <w:shd w:val="clear" w:color="auto" w:fill="FFFFFF"/>
        <w:spacing w:beforeLines="0" w:afterLines="0"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（十）负责审核和汇总编制全区国有资本经营预决算草案，制定国有资本经营预算的制度和办法。</w:t>
      </w:r>
    </w:p>
    <w:p>
      <w:pPr>
        <w:shd w:val="clear" w:color="auto" w:fill="FFFFFF"/>
        <w:spacing w:beforeLines="0" w:afterLines="0"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（十一）管理和指导全区会计工作，规范会计行为；负责实施全区会计基础规范化、会计信息标准化工作；组织管理会计人员继续教育培训工作。</w:t>
      </w:r>
    </w:p>
    <w:p>
      <w:pPr>
        <w:shd w:val="clear" w:color="auto" w:fill="FFFFFF"/>
        <w:spacing w:beforeLines="0" w:afterLines="0"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十二）贯彻落实财政绩效管理相关政策制度，组织指导区本级和乡镇（片区）预算绩效管理工作；组织实施专项资金绩效考核工作；研究建立财政支出绩效评价制度和评价体系并组织实施；负责区财政系统信息化建设规划并组织实施。</w:t>
      </w:r>
    </w:p>
    <w:p>
      <w:pPr>
        <w:shd w:val="clear" w:color="auto" w:fill="FFFFFF"/>
        <w:spacing w:beforeLines="0" w:afterLines="0"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十三）承担财政政策和金融政策协调配合的政策研究工作；参与防范金融风险政策研究；承担地方金融机构的国有资产和财务监管工作；承担中央和自治区、市政策性农业保险相关工作；承担政策性金融业务管理工作。</w:t>
      </w:r>
    </w:p>
    <w:p>
      <w:pPr>
        <w:shd w:val="clear" w:color="auto" w:fill="FFFFFF"/>
        <w:spacing w:beforeLines="0" w:afterLines="0"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（十四）承办区委、区人民政府交办的其他事项。</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乌鲁木齐市米东区财政局2022年度，实有人数62人，其中：在职人员36人，离休人员0人，退休人员26人。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lang w:val="en-US"/>
        </w:rPr>
        <w:t>从部门决算单位构成看，乌鲁木齐市米东区财政局部门决算包括：乌鲁木齐市米东区财政局</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lang w:val="en-US" w:eastAsia="zh-CN"/>
        </w:rPr>
        <w:t>12</w:t>
      </w:r>
      <w:r>
        <w:rPr>
          <w:rFonts w:hint="eastAsia" w:ascii="仿宋_GB2312" w:hAnsi="仿宋_GB2312" w:eastAsia="仿宋_GB2312"/>
          <w:kern w:val="0"/>
          <w:sz w:val="32"/>
          <w:szCs w:val="24"/>
          <w:lang w:val="zh-CN"/>
        </w:rPr>
        <w:t>个科室，分别是：</w:t>
      </w:r>
      <w:r>
        <w:rPr>
          <w:rFonts w:hint="eastAsia" w:ascii="仿宋_GB2312" w:hAnsi="仿宋_GB2312" w:eastAsia="仿宋_GB2312"/>
          <w:kern w:val="0"/>
          <w:sz w:val="32"/>
          <w:szCs w:val="24"/>
          <w:lang w:val="en-US"/>
        </w:rPr>
        <w:t>行政办、预算科、国库科、工资科、收付中心、文行社保科、教科文科、农财科、采购中心、纪检监察科、债务科、法制税政科</w:t>
      </w:r>
      <w:r>
        <w:rPr>
          <w:rFonts w:hint="eastAsia" w:ascii="仿宋_GB2312" w:hAnsi="仿宋_GB2312" w:eastAsia="仿宋_GB2312"/>
          <w:kern w:val="0"/>
          <w:sz w:val="32"/>
          <w:szCs w:val="24"/>
          <w:lang w:val="zh-CN"/>
        </w:rPr>
        <w:t>。</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lang w:val="en-US"/>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925.85万元，</w:t>
      </w:r>
      <w:r>
        <w:rPr>
          <w:rFonts w:hint="eastAsia" w:ascii="仿宋_GB2312" w:hAnsi="仿宋_GB2312" w:eastAsia="仿宋_GB2312"/>
          <w:sz w:val="32"/>
          <w:szCs w:val="24"/>
          <w:lang w:val="en-US"/>
        </w:rPr>
        <w:t>其中：本年收入合计</w:t>
      </w:r>
      <w:r>
        <w:rPr>
          <w:rFonts w:hint="eastAsia" w:ascii="仿宋_GB2312" w:hAnsi="仿宋_GB2312" w:eastAsia="仿宋_GB2312"/>
          <w:kern w:val="0"/>
          <w:sz w:val="32"/>
          <w:szCs w:val="24"/>
          <w:lang w:val="en-US"/>
        </w:rPr>
        <w:t>857.55</w:t>
      </w:r>
      <w:r>
        <w:rPr>
          <w:rFonts w:hint="eastAsia" w:ascii="仿宋_GB2312" w:hAnsi="仿宋_GB2312" w:eastAsia="仿宋_GB2312"/>
          <w:sz w:val="32"/>
          <w:szCs w:val="24"/>
          <w:lang w:val="en-US"/>
        </w:rPr>
        <w:t>万元，使用非财政拨款结余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万元，年初结转和结余</w:t>
      </w:r>
      <w:r>
        <w:rPr>
          <w:rFonts w:hint="eastAsia" w:ascii="仿宋_GB2312" w:hAnsi="仿宋_GB2312" w:eastAsia="仿宋_GB2312"/>
          <w:kern w:val="0"/>
          <w:sz w:val="32"/>
          <w:szCs w:val="24"/>
          <w:lang w:val="en-US"/>
        </w:rPr>
        <w:t>68.30</w:t>
      </w:r>
      <w:r>
        <w:rPr>
          <w:rFonts w:hint="eastAsia" w:ascii="仿宋_GB2312" w:hAnsi="仿宋_GB2312" w:eastAsia="仿宋_GB2312"/>
          <w:sz w:val="32"/>
          <w:szCs w:val="24"/>
          <w:lang w:val="en-US"/>
        </w:rPr>
        <w:t>万元。收入总计</w:t>
      </w:r>
      <w:r>
        <w:rPr>
          <w:rFonts w:hint="eastAsia" w:ascii="仿宋_GB2312" w:hAnsi="仿宋_GB2312" w:eastAsia="仿宋_GB2312"/>
          <w:kern w:val="0"/>
          <w:sz w:val="32"/>
          <w:szCs w:val="24"/>
          <w:lang w:val="en-US"/>
        </w:rPr>
        <w:t>与上年相比，减少1,119.03万元，下降54.72%，主要原因是：</w:t>
      </w:r>
      <w:r>
        <w:rPr>
          <w:rFonts w:hint="eastAsia" w:ascii="仿宋_GB2312" w:hAnsi="仿宋_GB2312" w:eastAsia="仿宋_GB2312"/>
          <w:sz w:val="32"/>
          <w:szCs w:val="24"/>
        </w:rPr>
        <w:t>本单位2022年减少访惠聚为民办实事经费、访惠聚个人补助、农村金融机构定向补贴费用</w:t>
      </w:r>
      <w:r>
        <w:rPr>
          <w:rFonts w:hint="eastAsia" w:ascii="仿宋_GB2312" w:hAnsi="仿宋_GB2312" w:eastAsia="仿宋_GB2312"/>
          <w:sz w:val="32"/>
          <w:szCs w:val="24"/>
          <w:lang w:eastAsia="zh-CN"/>
        </w:rPr>
        <w:t>、</w:t>
      </w:r>
      <w:r>
        <w:rPr>
          <w:rFonts w:hint="eastAsia" w:ascii="仿宋_GB2312" w:hAnsi="仿宋_GB2312" w:eastAsia="仿宋_GB2312"/>
          <w:sz w:val="32"/>
          <w:szCs w:val="24"/>
        </w:rPr>
        <w:t>产业发展专项资金</w:t>
      </w:r>
      <w:r>
        <w:rPr>
          <w:rFonts w:hint="eastAsia" w:ascii="仿宋_GB2312" w:hAnsi="仿宋_GB2312" w:eastAsia="仿宋_GB2312"/>
          <w:sz w:val="32"/>
          <w:szCs w:val="24"/>
          <w:lang w:val="en-US" w:eastAsia="zh-CN"/>
        </w:rPr>
        <w:t>等</w:t>
      </w:r>
      <w:r>
        <w:rPr>
          <w:rFonts w:hint="eastAsia" w:ascii="仿宋_GB2312" w:hAnsi="仿宋_GB2312" w:eastAsia="仿宋_GB2312"/>
          <w:sz w:val="32"/>
          <w:szCs w:val="24"/>
        </w:rPr>
        <w:t>项目</w:t>
      </w:r>
      <w:r>
        <w:rPr>
          <w:rFonts w:hint="eastAsia" w:ascii="仿宋_GB2312" w:hAnsi="仿宋_GB2312" w:eastAsia="仿宋_GB2312"/>
          <w:sz w:val="32"/>
          <w:szCs w:val="24"/>
          <w:lang w:eastAsia="zh-CN"/>
        </w:rPr>
        <w:t>，</w:t>
      </w:r>
      <w:r>
        <w:rPr>
          <w:rFonts w:hint="eastAsia" w:ascii="仿宋_GB2312" w:hAnsi="仿宋_GB2312" w:eastAsia="仿宋_GB2312"/>
          <w:sz w:val="32"/>
          <w:szCs w:val="24"/>
          <w:lang w:val="en-US" w:eastAsia="zh-CN"/>
        </w:rPr>
        <w:t>收入减少</w:t>
      </w:r>
      <w:r>
        <w:rPr>
          <w:rFonts w:hint="eastAsia" w:ascii="仿宋_GB2312" w:hAnsi="仿宋_GB2312" w:eastAsia="仿宋_GB2312"/>
          <w:kern w:val="0"/>
          <w:sz w:val="32"/>
          <w:szCs w:val="24"/>
          <w:lang w:val="en-US"/>
        </w:rPr>
        <w:t>。</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sz w:val="32"/>
          <w:szCs w:val="24"/>
          <w:lang w:val="en-US"/>
        </w:rPr>
        <w:t>本年支出总计</w:t>
      </w:r>
      <w:r>
        <w:rPr>
          <w:rFonts w:hint="eastAsia" w:ascii="仿宋_GB2312" w:hAnsi="仿宋_GB2312" w:eastAsia="仿宋_GB2312"/>
          <w:kern w:val="0"/>
          <w:sz w:val="32"/>
          <w:szCs w:val="24"/>
          <w:lang w:val="en-US"/>
        </w:rPr>
        <w:t>925.85万元，</w:t>
      </w:r>
      <w:r>
        <w:rPr>
          <w:rFonts w:hint="eastAsia" w:ascii="仿宋_GB2312" w:hAnsi="仿宋_GB2312" w:eastAsia="仿宋_GB2312"/>
          <w:sz w:val="32"/>
          <w:szCs w:val="24"/>
          <w:lang w:val="en-US"/>
        </w:rPr>
        <w:t>其中：本年支出合计</w:t>
      </w:r>
      <w:r>
        <w:rPr>
          <w:rFonts w:hint="eastAsia" w:ascii="仿宋_GB2312" w:hAnsi="仿宋_GB2312" w:eastAsia="仿宋_GB2312"/>
          <w:kern w:val="0"/>
          <w:sz w:val="32"/>
          <w:szCs w:val="24"/>
          <w:lang w:val="en-US"/>
        </w:rPr>
        <w:t>867.52</w:t>
      </w:r>
      <w:r>
        <w:rPr>
          <w:rFonts w:hint="eastAsia" w:ascii="仿宋_GB2312" w:hAnsi="仿宋_GB2312" w:eastAsia="仿宋_GB2312"/>
          <w:sz w:val="32"/>
          <w:szCs w:val="24"/>
          <w:lang w:val="en-US"/>
        </w:rPr>
        <w:t>万元，结余分配</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万元，年末结转和结余</w:t>
      </w:r>
      <w:r>
        <w:rPr>
          <w:rFonts w:hint="eastAsia" w:ascii="仿宋_GB2312" w:hAnsi="仿宋_GB2312" w:eastAsia="仿宋_GB2312"/>
          <w:kern w:val="0"/>
          <w:sz w:val="32"/>
          <w:szCs w:val="24"/>
          <w:lang w:val="en-US"/>
        </w:rPr>
        <w:t>58.33</w:t>
      </w:r>
      <w:r>
        <w:rPr>
          <w:rFonts w:hint="eastAsia" w:ascii="仿宋_GB2312" w:hAnsi="仿宋_GB2312" w:eastAsia="仿宋_GB2312"/>
          <w:sz w:val="32"/>
          <w:szCs w:val="24"/>
          <w:lang w:val="en-US"/>
        </w:rPr>
        <w:t>万元。支出总计</w:t>
      </w:r>
      <w:r>
        <w:rPr>
          <w:rFonts w:hint="eastAsia" w:ascii="仿宋_GB2312" w:hAnsi="仿宋_GB2312" w:eastAsia="仿宋_GB2312"/>
          <w:kern w:val="0"/>
          <w:sz w:val="32"/>
          <w:szCs w:val="24"/>
          <w:lang w:val="en-US"/>
        </w:rPr>
        <w:t>与上年相比，减少1,119.03万元，下降54.72%，主要原因是：</w:t>
      </w:r>
      <w:r>
        <w:rPr>
          <w:rFonts w:hint="eastAsia" w:ascii="仿宋_GB2312" w:hAnsi="仿宋_GB2312" w:eastAsia="仿宋_GB2312"/>
          <w:sz w:val="32"/>
          <w:szCs w:val="24"/>
        </w:rPr>
        <w:t>本单位2022年减少访惠聚为民办实事经费、访惠聚个人补助、农村金融机构定向补贴费用</w:t>
      </w:r>
      <w:r>
        <w:rPr>
          <w:rFonts w:hint="eastAsia" w:ascii="仿宋_GB2312" w:hAnsi="仿宋_GB2312" w:eastAsia="仿宋_GB2312"/>
          <w:sz w:val="32"/>
          <w:szCs w:val="24"/>
          <w:lang w:eastAsia="zh-CN"/>
        </w:rPr>
        <w:t>、</w:t>
      </w:r>
      <w:r>
        <w:rPr>
          <w:rFonts w:hint="eastAsia" w:ascii="仿宋_GB2312" w:hAnsi="仿宋_GB2312" w:eastAsia="仿宋_GB2312"/>
          <w:sz w:val="32"/>
          <w:szCs w:val="24"/>
        </w:rPr>
        <w:t>产业发展专项资金</w:t>
      </w:r>
      <w:r>
        <w:rPr>
          <w:rFonts w:hint="eastAsia" w:ascii="仿宋_GB2312" w:hAnsi="仿宋_GB2312" w:eastAsia="仿宋_GB2312"/>
          <w:sz w:val="32"/>
          <w:szCs w:val="24"/>
          <w:lang w:val="en-US" w:eastAsia="zh-CN"/>
        </w:rPr>
        <w:t>等</w:t>
      </w:r>
      <w:r>
        <w:rPr>
          <w:rFonts w:hint="eastAsia" w:ascii="仿宋_GB2312" w:hAnsi="仿宋_GB2312" w:eastAsia="仿宋_GB2312"/>
          <w:sz w:val="32"/>
          <w:szCs w:val="24"/>
        </w:rPr>
        <w:t>项目</w:t>
      </w:r>
      <w:r>
        <w:rPr>
          <w:rFonts w:hint="eastAsia" w:ascii="仿宋_GB2312" w:hAnsi="仿宋_GB2312" w:eastAsia="仿宋_GB2312"/>
          <w:sz w:val="32"/>
          <w:szCs w:val="24"/>
          <w:lang w:eastAsia="zh-CN"/>
        </w:rPr>
        <w:t>，</w:t>
      </w:r>
      <w:r>
        <w:rPr>
          <w:rFonts w:hint="eastAsia" w:ascii="仿宋_GB2312" w:hAnsi="仿宋_GB2312" w:eastAsia="仿宋_GB2312"/>
          <w:sz w:val="32"/>
          <w:szCs w:val="24"/>
          <w:lang w:val="en-US" w:eastAsia="zh-CN"/>
        </w:rPr>
        <w:t>支出减少</w:t>
      </w:r>
      <w:r>
        <w:rPr>
          <w:rFonts w:hint="eastAsia" w:ascii="仿宋_GB2312" w:hAnsi="仿宋_GB2312" w:eastAsia="仿宋_GB2312"/>
          <w:kern w:val="0"/>
          <w:sz w:val="32"/>
          <w:szCs w:val="24"/>
          <w:lang w:val="en-US"/>
        </w:rPr>
        <w:t>。</w:t>
      </w:r>
    </w:p>
    <w:p>
      <w:pPr>
        <w:spacing w:beforeLines="0" w:afterLines="0" w:line="360" w:lineRule="auto"/>
        <w:ind w:firstLine="640"/>
        <w:rPr>
          <w:rFonts w:hint="default" w:eastAsia="Times New Roman"/>
          <w:sz w:val="32"/>
          <w:szCs w:val="24"/>
          <w:lang w:val="en-US"/>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收入857.55万元，其中：财政拨款收入857.55万元，占100.00%；上级补助收入0.00万元，占0.00%；事业收入0.00万元，占0.00%；经营收入0.00万元，占0.00%；附属单位上缴收入0.00万元，占0.00%；其他收入0.00万元，占0.00%。</w:t>
      </w:r>
    </w:p>
    <w:p>
      <w:pPr>
        <w:spacing w:beforeLines="0" w:afterLines="0" w:line="360" w:lineRule="auto"/>
        <w:ind w:firstLine="640"/>
        <w:rPr>
          <w:rFonts w:hint="default" w:eastAsia="Times New Roman"/>
          <w:sz w:val="32"/>
          <w:szCs w:val="24"/>
          <w:lang w:val="en-US"/>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2022年度本年支出867.52万元，其中：基本支出701.99万元，占80.92%；项目支出165.53万元，占19.08%；上缴上级支出0.00万元，占0.00%；经营支出0.00万元，占0.00%；对附属单位补助支出0.00万元，占0.00%。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921.69万元，</w:t>
      </w:r>
      <w:r>
        <w:rPr>
          <w:rFonts w:hint="eastAsia" w:ascii="仿宋_GB2312" w:hAnsi="仿宋_GB2312" w:eastAsia="仿宋_GB2312"/>
          <w:sz w:val="32"/>
          <w:szCs w:val="24"/>
          <w:lang w:val="en-US"/>
        </w:rPr>
        <w:t>其中：年初财政拨款结转和结余</w:t>
      </w:r>
      <w:r>
        <w:rPr>
          <w:rFonts w:hint="eastAsia" w:ascii="仿宋_GB2312" w:hAnsi="仿宋_GB2312" w:eastAsia="仿宋_GB2312"/>
          <w:kern w:val="0"/>
          <w:sz w:val="32"/>
          <w:szCs w:val="24"/>
          <w:lang w:val="en-US"/>
        </w:rPr>
        <w:t>64.14</w:t>
      </w:r>
      <w:r>
        <w:rPr>
          <w:rFonts w:hint="eastAsia" w:ascii="仿宋_GB2312" w:hAnsi="仿宋_GB2312" w:eastAsia="仿宋_GB2312"/>
          <w:sz w:val="32"/>
          <w:szCs w:val="24"/>
          <w:lang w:val="en-US"/>
        </w:rPr>
        <w:t>万元，财政拨款本年收入</w:t>
      </w:r>
      <w:r>
        <w:rPr>
          <w:rFonts w:hint="eastAsia" w:ascii="仿宋_GB2312" w:hAnsi="仿宋_GB2312" w:eastAsia="仿宋_GB2312"/>
          <w:kern w:val="0"/>
          <w:sz w:val="32"/>
          <w:szCs w:val="24"/>
          <w:lang w:val="en-US"/>
        </w:rPr>
        <w:t>857.55</w:t>
      </w:r>
      <w:r>
        <w:rPr>
          <w:rFonts w:hint="eastAsia" w:ascii="仿宋_GB2312" w:hAnsi="仿宋_GB2312" w:eastAsia="仿宋_GB2312"/>
          <w:sz w:val="32"/>
          <w:szCs w:val="24"/>
          <w:lang w:val="en-US"/>
        </w:rPr>
        <w:t>万元。财政拨款收入总计</w:t>
      </w:r>
      <w:r>
        <w:rPr>
          <w:rFonts w:hint="eastAsia" w:ascii="仿宋_GB2312" w:hAnsi="仿宋_GB2312" w:eastAsia="仿宋_GB2312"/>
          <w:kern w:val="0"/>
          <w:sz w:val="32"/>
          <w:szCs w:val="24"/>
          <w:lang w:val="en-US"/>
        </w:rPr>
        <w:t>与上年相比，减少1,086.18万元，下降54.10%，主要原因是：</w:t>
      </w:r>
      <w:r>
        <w:rPr>
          <w:rFonts w:hint="eastAsia" w:ascii="仿宋_GB2312" w:hAnsi="仿宋_GB2312" w:eastAsia="仿宋_GB2312"/>
          <w:sz w:val="32"/>
          <w:szCs w:val="24"/>
        </w:rPr>
        <w:t>本单位2022年减少访惠聚为民办实事经费、访惠聚个人补助、农村金融机构定向补贴费用</w:t>
      </w:r>
      <w:r>
        <w:rPr>
          <w:rFonts w:hint="eastAsia" w:ascii="仿宋_GB2312" w:hAnsi="仿宋_GB2312" w:eastAsia="仿宋_GB2312"/>
          <w:sz w:val="32"/>
          <w:szCs w:val="24"/>
          <w:lang w:eastAsia="zh-CN"/>
        </w:rPr>
        <w:t>、</w:t>
      </w:r>
      <w:r>
        <w:rPr>
          <w:rFonts w:hint="eastAsia" w:ascii="仿宋_GB2312" w:hAnsi="仿宋_GB2312" w:eastAsia="仿宋_GB2312"/>
          <w:sz w:val="32"/>
          <w:szCs w:val="24"/>
        </w:rPr>
        <w:t>产业发展专项资金</w:t>
      </w:r>
      <w:r>
        <w:rPr>
          <w:rFonts w:hint="eastAsia" w:ascii="仿宋_GB2312" w:hAnsi="仿宋_GB2312" w:eastAsia="仿宋_GB2312"/>
          <w:sz w:val="32"/>
          <w:szCs w:val="24"/>
          <w:lang w:val="en-US" w:eastAsia="zh-CN"/>
        </w:rPr>
        <w:t>等</w:t>
      </w:r>
      <w:r>
        <w:rPr>
          <w:rFonts w:hint="eastAsia" w:ascii="仿宋_GB2312" w:hAnsi="仿宋_GB2312" w:eastAsia="仿宋_GB2312"/>
          <w:sz w:val="32"/>
          <w:szCs w:val="24"/>
        </w:rPr>
        <w:t>项目</w:t>
      </w:r>
      <w:r>
        <w:rPr>
          <w:rFonts w:hint="eastAsia" w:ascii="仿宋_GB2312" w:hAnsi="仿宋_GB2312" w:eastAsia="仿宋_GB2312"/>
          <w:sz w:val="32"/>
          <w:szCs w:val="24"/>
          <w:lang w:eastAsia="zh-CN"/>
        </w:rPr>
        <w:t>，</w:t>
      </w:r>
      <w:r>
        <w:rPr>
          <w:rFonts w:hint="eastAsia" w:ascii="仿宋_GB2312" w:hAnsi="仿宋_GB2312" w:eastAsia="仿宋_GB2312"/>
          <w:sz w:val="32"/>
          <w:szCs w:val="24"/>
          <w:lang w:val="en-US" w:eastAsia="zh-CN"/>
        </w:rPr>
        <w:t>收入减少</w:t>
      </w:r>
      <w:r>
        <w:rPr>
          <w:rFonts w:hint="eastAsia" w:ascii="仿宋_GB2312" w:hAnsi="仿宋_GB2312" w:eastAsia="仿宋_GB2312"/>
          <w:kern w:val="0"/>
          <w:sz w:val="32"/>
          <w:szCs w:val="24"/>
          <w:lang w:val="en-US"/>
        </w:rPr>
        <w:t>。</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921.69万元，</w:t>
      </w:r>
      <w:r>
        <w:rPr>
          <w:rFonts w:hint="eastAsia" w:ascii="仿宋_GB2312" w:hAnsi="仿宋_GB2312" w:eastAsia="仿宋_GB2312"/>
          <w:sz w:val="32"/>
          <w:szCs w:val="24"/>
          <w:lang w:val="en-US"/>
        </w:rPr>
        <w:t>其中：年末财政拨款结转和结余</w:t>
      </w:r>
      <w:r>
        <w:rPr>
          <w:rFonts w:hint="eastAsia" w:ascii="仿宋_GB2312" w:hAnsi="仿宋_GB2312" w:eastAsia="仿宋_GB2312"/>
          <w:kern w:val="0"/>
          <w:sz w:val="32"/>
          <w:szCs w:val="24"/>
          <w:lang w:val="en-US"/>
        </w:rPr>
        <w:t>55.06</w:t>
      </w:r>
      <w:r>
        <w:rPr>
          <w:rFonts w:hint="eastAsia" w:ascii="仿宋_GB2312" w:hAnsi="仿宋_GB2312" w:eastAsia="仿宋_GB2312"/>
          <w:sz w:val="32"/>
          <w:szCs w:val="24"/>
          <w:lang w:val="en-US"/>
        </w:rPr>
        <w:t>万元，财政拨款本年支出</w:t>
      </w:r>
      <w:r>
        <w:rPr>
          <w:rFonts w:hint="eastAsia" w:ascii="仿宋_GB2312" w:hAnsi="仿宋_GB2312" w:eastAsia="仿宋_GB2312"/>
          <w:kern w:val="0"/>
          <w:sz w:val="32"/>
          <w:szCs w:val="24"/>
          <w:lang w:val="en-US"/>
        </w:rPr>
        <w:t>866.63</w:t>
      </w:r>
      <w:r>
        <w:rPr>
          <w:rFonts w:hint="eastAsia" w:ascii="仿宋_GB2312" w:hAnsi="仿宋_GB2312" w:eastAsia="仿宋_GB2312"/>
          <w:sz w:val="32"/>
          <w:szCs w:val="24"/>
          <w:lang w:val="en-US"/>
        </w:rPr>
        <w:t>万元。财政拨款支出总计</w:t>
      </w:r>
      <w:r>
        <w:rPr>
          <w:rFonts w:hint="eastAsia" w:ascii="仿宋_GB2312" w:hAnsi="仿宋_GB2312" w:eastAsia="仿宋_GB2312"/>
          <w:kern w:val="0"/>
          <w:sz w:val="32"/>
          <w:szCs w:val="24"/>
          <w:lang w:val="en-US"/>
        </w:rPr>
        <w:t>与上年相比，减少1,086.18万元，下降54.10%，主要原因是：</w:t>
      </w:r>
      <w:r>
        <w:rPr>
          <w:rFonts w:hint="eastAsia" w:ascii="仿宋_GB2312" w:hAnsi="仿宋_GB2312" w:eastAsia="仿宋_GB2312"/>
          <w:sz w:val="32"/>
          <w:szCs w:val="24"/>
        </w:rPr>
        <w:t>本单位2022年减少访惠聚为民办实事经费、访惠聚个人补助、农村金融机构定向补贴费用</w:t>
      </w:r>
      <w:r>
        <w:rPr>
          <w:rFonts w:hint="eastAsia" w:ascii="仿宋_GB2312" w:hAnsi="仿宋_GB2312" w:eastAsia="仿宋_GB2312"/>
          <w:sz w:val="32"/>
          <w:szCs w:val="24"/>
          <w:lang w:eastAsia="zh-CN"/>
        </w:rPr>
        <w:t>、</w:t>
      </w:r>
      <w:r>
        <w:rPr>
          <w:rFonts w:hint="eastAsia" w:ascii="仿宋_GB2312" w:hAnsi="仿宋_GB2312" w:eastAsia="仿宋_GB2312"/>
          <w:sz w:val="32"/>
          <w:szCs w:val="24"/>
        </w:rPr>
        <w:t>产业发展专项资金</w:t>
      </w:r>
      <w:r>
        <w:rPr>
          <w:rFonts w:hint="eastAsia" w:ascii="仿宋_GB2312" w:hAnsi="仿宋_GB2312" w:eastAsia="仿宋_GB2312"/>
          <w:sz w:val="32"/>
          <w:szCs w:val="24"/>
          <w:lang w:val="en-US" w:eastAsia="zh-CN"/>
        </w:rPr>
        <w:t>等</w:t>
      </w:r>
      <w:r>
        <w:rPr>
          <w:rFonts w:hint="eastAsia" w:ascii="仿宋_GB2312" w:hAnsi="仿宋_GB2312" w:eastAsia="仿宋_GB2312"/>
          <w:sz w:val="32"/>
          <w:szCs w:val="24"/>
        </w:rPr>
        <w:t>项目</w:t>
      </w:r>
      <w:r>
        <w:rPr>
          <w:rFonts w:hint="eastAsia" w:ascii="仿宋_GB2312" w:hAnsi="仿宋_GB2312" w:eastAsia="仿宋_GB2312"/>
          <w:sz w:val="32"/>
          <w:szCs w:val="24"/>
          <w:lang w:eastAsia="zh-CN"/>
        </w:rPr>
        <w:t>，</w:t>
      </w:r>
      <w:r>
        <w:rPr>
          <w:rFonts w:hint="eastAsia" w:ascii="仿宋_GB2312" w:hAnsi="仿宋_GB2312" w:eastAsia="仿宋_GB2312"/>
          <w:sz w:val="32"/>
          <w:szCs w:val="24"/>
          <w:lang w:val="en-US" w:eastAsia="zh-CN"/>
        </w:rPr>
        <w:t>支出减少</w:t>
      </w:r>
      <w:r>
        <w:rPr>
          <w:rFonts w:hint="eastAsia" w:ascii="仿宋_GB2312" w:hAnsi="仿宋_GB2312" w:eastAsia="仿宋_GB2312"/>
          <w:kern w:val="0"/>
          <w:sz w:val="32"/>
          <w:szCs w:val="24"/>
          <w:lang w:val="en-US"/>
        </w:rPr>
        <w:t>。</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与年初预算数相比情况：财政拨款收入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年初预算数1,396.14万元，决算数921.69万元，预决算差异率-33.98%，主要原因是：本</w:t>
      </w:r>
      <w:r>
        <w:rPr>
          <w:rFonts w:hint="eastAsia" w:ascii="仿宋_GB2312" w:hAnsi="仿宋_GB2312" w:eastAsia="仿宋_GB2312"/>
          <w:kern w:val="0"/>
          <w:sz w:val="32"/>
          <w:szCs w:val="24"/>
          <w:lang w:val="en-US" w:eastAsia="zh-CN"/>
        </w:rPr>
        <w:t>年年中调减</w:t>
      </w:r>
      <w:r>
        <w:rPr>
          <w:rFonts w:hint="eastAsia" w:ascii="仿宋_GB2312" w:hAnsi="仿宋_GB2312" w:eastAsia="仿宋_GB2312"/>
          <w:kern w:val="0"/>
          <w:sz w:val="32"/>
          <w:szCs w:val="24"/>
          <w:lang w:val="en-US"/>
        </w:rPr>
        <w:t>2022年访惠聚为民办实事经费、访惠聚个人补助</w:t>
      </w:r>
      <w:r>
        <w:rPr>
          <w:rFonts w:hint="eastAsia" w:ascii="仿宋_GB2312" w:hAnsi="仿宋_GB2312" w:eastAsia="仿宋_GB2312"/>
          <w:kern w:val="0"/>
          <w:sz w:val="32"/>
          <w:szCs w:val="24"/>
          <w:lang w:val="en-US" w:eastAsia="zh-CN"/>
        </w:rPr>
        <w:t>，导致预决算有差异</w:t>
      </w: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年初预算数1,396.14万元，决算数921.69万元，预决算差异率-33.98%，主要原因是：本年年中调减2022年访惠聚为民办实事经费、访惠聚个人补助，</w:t>
      </w:r>
      <w:r>
        <w:rPr>
          <w:rFonts w:hint="eastAsia" w:ascii="仿宋_GB2312" w:hAnsi="仿宋_GB2312" w:eastAsia="仿宋_GB2312"/>
          <w:kern w:val="0"/>
          <w:sz w:val="32"/>
          <w:szCs w:val="24"/>
          <w:lang w:val="en-US" w:eastAsia="zh-CN"/>
        </w:rPr>
        <w:t>支出减少，导致预决算有差异</w:t>
      </w:r>
      <w:r>
        <w:rPr>
          <w:rFonts w:hint="eastAsia" w:ascii="仿宋_GB2312" w:hAnsi="仿宋_GB2312" w:eastAsia="仿宋_GB2312"/>
          <w:kern w:val="0"/>
          <w:sz w:val="32"/>
          <w:szCs w:val="24"/>
          <w:lang w:val="en-US"/>
        </w:rPr>
        <w:t>。</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lang w:val="en-US"/>
        </w:rPr>
      </w:pPr>
      <w:r>
        <w:rPr>
          <w:rFonts w:hint="eastAsia" w:ascii="黑体" w:hAnsi="黑体" w:eastAsia="黑体"/>
          <w:sz w:val="32"/>
          <w:szCs w:val="24"/>
          <w:lang w:val="en-US"/>
        </w:rPr>
        <w:t>（一）一般公共预算财政拨款支出决算总体情况</w:t>
      </w:r>
    </w:p>
    <w:p>
      <w:pPr>
        <w:spacing w:beforeLines="0" w:afterLines="0"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sz w:val="32"/>
          <w:szCs w:val="24"/>
          <w:lang w:val="en-US"/>
        </w:rPr>
        <w:t>2022年度一般公共预算财政拨款支出</w:t>
      </w:r>
      <w:r>
        <w:rPr>
          <w:rFonts w:hint="eastAsia" w:ascii="仿宋_GB2312" w:hAnsi="仿宋_GB2312" w:eastAsia="仿宋_GB2312"/>
          <w:kern w:val="0"/>
          <w:sz w:val="32"/>
          <w:szCs w:val="24"/>
          <w:lang w:val="en-US"/>
        </w:rPr>
        <w:t>821.46</w:t>
      </w:r>
      <w:r>
        <w:rPr>
          <w:rFonts w:hint="eastAsia" w:ascii="仿宋_GB2312" w:hAnsi="仿宋_GB2312" w:eastAsia="仿宋_GB2312"/>
          <w:sz w:val="32"/>
          <w:szCs w:val="24"/>
          <w:lang w:val="en-US"/>
        </w:rPr>
        <w:t>万元，占本年支出合计的</w:t>
      </w:r>
      <w:r>
        <w:rPr>
          <w:rFonts w:hint="eastAsia" w:ascii="仿宋_GB2312" w:hAnsi="仿宋_GB2312" w:eastAsia="仿宋_GB2312"/>
          <w:kern w:val="0"/>
          <w:sz w:val="32"/>
          <w:szCs w:val="24"/>
          <w:lang w:val="en-US"/>
        </w:rPr>
        <w:t>94.79%</w:t>
      </w:r>
      <w:r>
        <w:rPr>
          <w:rFonts w:hint="eastAsia" w:ascii="仿宋_GB2312" w:hAnsi="仿宋_GB2312" w:eastAsia="仿宋_GB2312"/>
          <w:sz w:val="32"/>
          <w:szCs w:val="24"/>
          <w:lang w:val="en-US"/>
        </w:rPr>
        <w:t>，与上年相比，</w:t>
      </w:r>
      <w:r>
        <w:rPr>
          <w:rFonts w:hint="eastAsia" w:ascii="仿宋_GB2312" w:hAnsi="仿宋_GB2312" w:eastAsia="仿宋_GB2312"/>
          <w:kern w:val="0"/>
          <w:sz w:val="32"/>
          <w:szCs w:val="24"/>
          <w:lang w:val="en-US"/>
        </w:rPr>
        <w:t>减少1,122.27万元，下降57.74%，主要原因是：</w:t>
      </w:r>
      <w:r>
        <w:rPr>
          <w:rFonts w:hint="eastAsia" w:ascii="仿宋_GB2312" w:hAnsi="仿宋_GB2312" w:eastAsia="仿宋_GB2312"/>
          <w:sz w:val="32"/>
          <w:szCs w:val="24"/>
        </w:rPr>
        <w:t>本单位2022年减少访惠聚为民办实事经费、访惠聚个人补助、农村金融机构定向补贴费用</w:t>
      </w:r>
      <w:r>
        <w:rPr>
          <w:rFonts w:hint="eastAsia" w:ascii="仿宋_GB2312" w:hAnsi="仿宋_GB2312" w:eastAsia="仿宋_GB2312"/>
          <w:sz w:val="32"/>
          <w:szCs w:val="24"/>
          <w:lang w:eastAsia="zh-CN"/>
        </w:rPr>
        <w:t>、</w:t>
      </w:r>
      <w:r>
        <w:rPr>
          <w:rFonts w:hint="eastAsia" w:ascii="仿宋_GB2312" w:hAnsi="仿宋_GB2312" w:eastAsia="仿宋_GB2312"/>
          <w:sz w:val="32"/>
          <w:szCs w:val="24"/>
        </w:rPr>
        <w:t>产业发展专项资金</w:t>
      </w:r>
      <w:r>
        <w:rPr>
          <w:rFonts w:hint="eastAsia" w:ascii="仿宋_GB2312" w:hAnsi="仿宋_GB2312" w:eastAsia="仿宋_GB2312"/>
          <w:sz w:val="32"/>
          <w:szCs w:val="24"/>
          <w:lang w:val="en-US" w:eastAsia="zh-CN"/>
        </w:rPr>
        <w:t>等</w:t>
      </w:r>
      <w:r>
        <w:rPr>
          <w:rFonts w:hint="eastAsia" w:ascii="仿宋_GB2312" w:hAnsi="仿宋_GB2312" w:eastAsia="仿宋_GB2312"/>
          <w:sz w:val="32"/>
          <w:szCs w:val="24"/>
        </w:rPr>
        <w:t>项目</w:t>
      </w:r>
      <w:r>
        <w:rPr>
          <w:rFonts w:hint="eastAsia" w:ascii="仿宋_GB2312" w:hAnsi="仿宋_GB2312" w:eastAsia="仿宋_GB2312"/>
          <w:sz w:val="32"/>
          <w:szCs w:val="24"/>
          <w:lang w:eastAsia="zh-CN"/>
        </w:rPr>
        <w:t>，</w:t>
      </w:r>
      <w:r>
        <w:rPr>
          <w:rFonts w:hint="eastAsia" w:ascii="仿宋_GB2312" w:hAnsi="仿宋_GB2312" w:eastAsia="仿宋_GB2312"/>
          <w:sz w:val="32"/>
          <w:szCs w:val="24"/>
          <w:lang w:val="en-US" w:eastAsia="zh-CN"/>
        </w:rPr>
        <w:t>支出减少</w:t>
      </w:r>
      <w:r>
        <w:rPr>
          <w:rFonts w:hint="eastAsia" w:ascii="仿宋_GB2312" w:hAnsi="仿宋_GB2312" w:eastAsia="仿宋_GB2312"/>
          <w:kern w:val="0"/>
          <w:sz w:val="32"/>
          <w:szCs w:val="24"/>
          <w:lang w:val="en-US"/>
        </w:rPr>
        <w:t>。</w:t>
      </w:r>
    </w:p>
    <w:p>
      <w:pPr>
        <w:spacing w:beforeLines="0" w:afterLines="0"/>
        <w:ind w:firstLine="640"/>
        <w:rPr>
          <w:rFonts w:hint="default" w:eastAsia="Times New Roman"/>
          <w:sz w:val="32"/>
          <w:szCs w:val="24"/>
          <w:lang w:val="en-US"/>
        </w:rPr>
      </w:pPr>
      <w:r>
        <w:rPr>
          <w:rFonts w:hint="eastAsia" w:ascii="黑体" w:hAnsi="黑体" w:eastAsia="黑体"/>
          <w:sz w:val="32"/>
          <w:szCs w:val="24"/>
          <w:lang w:val="en-US"/>
        </w:rPr>
        <w:t>（二）一般公共预算财政拨款支出决算结构情况</w:t>
      </w:r>
    </w:p>
    <w:p>
      <w:pPr>
        <w:spacing w:beforeLines="0" w:afterLines="0" w:line="600" w:lineRule="exact"/>
        <w:ind w:firstLine="640"/>
        <w:rPr>
          <w:rFonts w:hint="default" w:eastAsia="Times New Roman"/>
          <w:kern w:val="0"/>
          <w:sz w:val="32"/>
          <w:szCs w:val="24"/>
          <w:lang w:val="en-US"/>
        </w:rPr>
      </w:pPr>
      <w:r>
        <w:rPr>
          <w:rFonts w:hint="eastAsia" w:ascii="仿宋_GB2312" w:hAnsi="仿宋_GB2312" w:eastAsia="仿宋_GB2312"/>
          <w:sz w:val="32"/>
          <w:szCs w:val="24"/>
          <w:lang w:val="en-US"/>
        </w:rPr>
        <w:t>1.一般公共服务支出（类）640.97万元，占78.03%；</w:t>
      </w:r>
    </w:p>
    <w:p>
      <w:pPr>
        <w:spacing w:beforeLines="0" w:afterLines="0"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2.社会保障和就业支出（类）60.13万元，占7.32%；</w:t>
      </w:r>
    </w:p>
    <w:p>
      <w:pPr>
        <w:spacing w:beforeLines="0" w:afterLines="0" w:line="600" w:lineRule="exact"/>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3.</w:t>
      </w:r>
      <w:r>
        <w:rPr>
          <w:rFonts w:hint="eastAsia" w:ascii="仿宋_GB2312" w:hAnsi="仿宋_GB2312" w:eastAsia="仿宋_GB2312"/>
          <w:kern w:val="0"/>
          <w:sz w:val="32"/>
          <w:szCs w:val="24"/>
          <w:lang w:val="en-US"/>
        </w:rPr>
        <w:t>农林水支出（类）120.36万元，占14.65%</w:t>
      </w:r>
      <w:r>
        <w:rPr>
          <w:rFonts w:hint="eastAsia" w:ascii="仿宋_GB2312" w:hAnsi="仿宋_GB2312" w:eastAsia="仿宋_GB2312"/>
          <w:kern w:val="0"/>
          <w:sz w:val="32"/>
          <w:szCs w:val="24"/>
          <w:lang w:val="en-US" w:eastAsia="zh-CN"/>
        </w:rPr>
        <w:t>。</w:t>
      </w:r>
    </w:p>
    <w:p>
      <w:pPr>
        <w:spacing w:beforeLines="0" w:afterLines="0"/>
        <w:ind w:firstLine="640"/>
        <w:rPr>
          <w:rFonts w:hint="default" w:eastAsia="Times New Roman"/>
          <w:sz w:val="32"/>
          <w:szCs w:val="24"/>
          <w:lang w:val="en-US"/>
        </w:rPr>
      </w:pPr>
      <w:r>
        <w:rPr>
          <w:rFonts w:hint="eastAsia" w:ascii="黑体" w:hAnsi="黑体" w:eastAsia="黑体"/>
          <w:sz w:val="32"/>
          <w:szCs w:val="24"/>
          <w:lang w:val="en-US"/>
        </w:rPr>
        <w:t>（三）一般公共预算财政拨款支出决算具体情况</w:t>
      </w:r>
    </w:p>
    <w:p>
      <w:pPr>
        <w:spacing w:beforeLines="0" w:afterLines="0"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1.一般公共服务支出（类）财政事务（款）行政运行（项）:支出决算数为640.97万元，比上年决算减少68.36万元，下降</w:t>
      </w:r>
      <w:r>
        <w:rPr>
          <w:rFonts w:hint="eastAsia" w:ascii="仿宋_GB2312" w:hAnsi="仿宋_GB2312" w:eastAsia="仿宋_GB2312"/>
          <w:kern w:val="0"/>
          <w:sz w:val="32"/>
          <w:szCs w:val="24"/>
          <w:lang w:val="en-US" w:eastAsia="zh-CN"/>
        </w:rPr>
        <w:t>9.64</w:t>
      </w:r>
      <w:r>
        <w:rPr>
          <w:rFonts w:hint="eastAsia" w:ascii="仿宋_GB2312" w:hAnsi="仿宋_GB2312" w:eastAsia="仿宋_GB2312"/>
          <w:kern w:val="0"/>
          <w:sz w:val="32"/>
          <w:szCs w:val="24"/>
          <w:lang w:val="en-US"/>
        </w:rPr>
        <w:t>%，主要原因是：本单位2022年访惠聚为民办实事经费、访惠聚个人补助、项目支出减少</w:t>
      </w:r>
      <w:r>
        <w:rPr>
          <w:rFonts w:hint="eastAsia" w:ascii="仿宋_GB2312" w:hAnsi="仿宋_GB2312" w:eastAsia="仿宋_GB2312"/>
          <w:kern w:val="0"/>
          <w:sz w:val="32"/>
          <w:szCs w:val="24"/>
          <w:lang w:val="en-US" w:eastAsia="zh-CN"/>
        </w:rPr>
        <w:t>，此项功能科目支出减少；</w:t>
      </w:r>
    </w:p>
    <w:p>
      <w:pPr>
        <w:spacing w:beforeLines="0" w:afterLines="0"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2.一般公共服务支出（类）财政事务（款）其他财政事务支出（项）:支出决算数为0.00万元，比上年决算减少572.18万元，下降</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本年此功能科目未支出；</w:t>
      </w:r>
    </w:p>
    <w:p>
      <w:pPr>
        <w:spacing w:beforeLines="0" w:afterLines="0"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eastAsia="zh-CN"/>
        </w:rPr>
        <w:t>3.</w:t>
      </w:r>
      <w:r>
        <w:rPr>
          <w:rFonts w:hint="eastAsia" w:ascii="仿宋_GB2312" w:hAnsi="仿宋_GB2312" w:eastAsia="仿宋_GB2312"/>
          <w:kern w:val="0"/>
          <w:sz w:val="32"/>
          <w:szCs w:val="24"/>
          <w:lang w:val="en-US"/>
        </w:rPr>
        <w:t>社会保障和就业支出（类）民政管理事务（款）基层政权建设和社区治理（项）:支出决算数为0.00万元，比上年决算减少19.91万元，下降</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本年此功能科目未支出；</w:t>
      </w:r>
    </w:p>
    <w:p>
      <w:pPr>
        <w:spacing w:beforeLines="0" w:afterLines="0"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eastAsia="zh-CN"/>
        </w:rPr>
        <w:t>4.</w:t>
      </w:r>
      <w:r>
        <w:rPr>
          <w:rFonts w:hint="eastAsia" w:ascii="仿宋_GB2312" w:hAnsi="仿宋_GB2312" w:eastAsia="仿宋_GB2312"/>
          <w:kern w:val="0"/>
          <w:sz w:val="32"/>
          <w:szCs w:val="24"/>
          <w:lang w:val="en-US"/>
        </w:rPr>
        <w:t>社会保障和就业支出（类）行政事业单位养老支出（款）机关事业单位基本养老保险缴费支出（项）:支出决算数为60.13万元，比上年决算增加9.89万元，增长19.69%，主要原因是：</w:t>
      </w:r>
      <w:r>
        <w:rPr>
          <w:rFonts w:hint="eastAsia" w:ascii="仿宋_GB2312" w:hAnsi="仿宋_GB2312" w:eastAsia="仿宋_GB2312"/>
          <w:kern w:val="0"/>
          <w:sz w:val="32"/>
          <w:szCs w:val="24"/>
          <w:lang w:val="en-US" w:eastAsia="zh-CN"/>
        </w:rPr>
        <w:t>本年养老保险基数上调，养老保险缴费增加，导致此项功能科目支出增加；</w:t>
      </w:r>
    </w:p>
    <w:p>
      <w:pPr>
        <w:spacing w:beforeLines="0" w:afterLines="0" w:line="600" w:lineRule="exact"/>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5.</w:t>
      </w:r>
      <w:r>
        <w:rPr>
          <w:rFonts w:hint="eastAsia" w:ascii="仿宋_GB2312" w:hAnsi="仿宋_GB2312" w:eastAsia="仿宋_GB2312"/>
          <w:kern w:val="0"/>
          <w:sz w:val="32"/>
          <w:szCs w:val="24"/>
          <w:lang w:val="en-US"/>
        </w:rPr>
        <w:t>农林水支出（类）普惠金融发展支出（款）其他普惠金融发展支出（项）:支出决算数为120.36万元，比上年决算减少177.00万元，下降59.52%，主要原因是：</w:t>
      </w:r>
      <w:r>
        <w:rPr>
          <w:rFonts w:hint="eastAsia" w:ascii="仿宋_GB2312" w:hAnsi="仿宋_GB2312" w:eastAsia="仿宋_GB2312"/>
          <w:kern w:val="0"/>
          <w:sz w:val="32"/>
          <w:szCs w:val="24"/>
          <w:lang w:val="en-US" w:eastAsia="zh-CN"/>
        </w:rPr>
        <w:t>本年农村金融机构定向补贴费用项目资金减少，导致此项支出较上年下降；</w:t>
      </w:r>
    </w:p>
    <w:p>
      <w:pPr>
        <w:spacing w:beforeLines="0" w:afterLines="0" w:line="600" w:lineRule="exact"/>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6.</w:t>
      </w:r>
      <w:r>
        <w:rPr>
          <w:rFonts w:hint="eastAsia" w:ascii="仿宋_GB2312" w:hAnsi="仿宋_GB2312" w:eastAsia="仿宋_GB2312"/>
          <w:kern w:val="0"/>
          <w:sz w:val="32"/>
          <w:szCs w:val="24"/>
          <w:lang w:val="en-US"/>
        </w:rPr>
        <w:t>资源勘探工业信息等支出（类）支持中小企业发展和管理支出（款）其他支持中小企业发展和管理支出（项）:支出决算数为0.00万元，比上年决算减少204.00万元，下降</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本年此功能科目未支出；</w:t>
      </w:r>
    </w:p>
    <w:p>
      <w:pPr>
        <w:spacing w:beforeLines="0" w:afterLines="0" w:line="600" w:lineRule="exact"/>
        <w:ind w:firstLine="640"/>
        <w:rPr>
          <w:rFonts w:hint="eastAsia" w:ascii="仿宋_GB2312" w:hAnsi="仿宋_GB2312" w:eastAsia="仿宋_GB2312"/>
          <w:kern w:val="0"/>
          <w:sz w:val="32"/>
          <w:szCs w:val="24"/>
          <w:highlight w:val="yellow"/>
          <w:lang w:val="en-US" w:eastAsia="zh-CN"/>
        </w:rPr>
      </w:pPr>
      <w:r>
        <w:rPr>
          <w:rFonts w:hint="eastAsia" w:ascii="仿宋_GB2312" w:hAnsi="仿宋_GB2312" w:eastAsia="仿宋_GB2312"/>
          <w:kern w:val="0"/>
          <w:sz w:val="32"/>
          <w:szCs w:val="24"/>
          <w:lang w:val="en-US" w:eastAsia="zh-CN"/>
        </w:rPr>
        <w:t>7.</w:t>
      </w:r>
      <w:r>
        <w:rPr>
          <w:rFonts w:hint="eastAsia" w:ascii="仿宋_GB2312" w:hAnsi="仿宋_GB2312" w:eastAsia="仿宋_GB2312"/>
          <w:kern w:val="0"/>
          <w:sz w:val="32"/>
          <w:szCs w:val="24"/>
          <w:lang w:val="en-US"/>
        </w:rPr>
        <w:t>金融支出（类）金融发展支出（款）利息费用补贴支出（项）:支出决算数为</w:t>
      </w:r>
      <w:r>
        <w:rPr>
          <w:rFonts w:hint="eastAsia" w:ascii="仿宋_GB2312" w:hAnsi="仿宋_GB2312" w:eastAsia="仿宋_GB2312"/>
          <w:kern w:val="0"/>
          <w:sz w:val="32"/>
          <w:szCs w:val="24"/>
          <w:lang w:val="en-US" w:eastAsia="zh-CN"/>
        </w:rPr>
        <w:t>0.00</w:t>
      </w:r>
      <w:r>
        <w:rPr>
          <w:rFonts w:hint="eastAsia" w:ascii="仿宋_GB2312" w:hAnsi="仿宋_GB2312" w:eastAsia="仿宋_GB2312"/>
          <w:kern w:val="0"/>
          <w:sz w:val="32"/>
          <w:szCs w:val="24"/>
          <w:lang w:val="en-US"/>
        </w:rPr>
        <w:t>万元，比上年决算减少90.71万元，下降</w:t>
      </w:r>
      <w:r>
        <w:rPr>
          <w:rFonts w:hint="eastAsia" w:ascii="仿宋_GB2312" w:hAnsi="仿宋_GB2312" w:eastAsia="仿宋_GB2312"/>
          <w:kern w:val="0"/>
          <w:sz w:val="32"/>
          <w:szCs w:val="24"/>
          <w:lang w:val="en-US" w:eastAsia="zh-CN"/>
        </w:rPr>
        <w:t>100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本年此功能科目未支出</w:t>
      </w:r>
      <w:r>
        <w:rPr>
          <w:rFonts w:hint="eastAsia" w:ascii="仿宋_GB2312" w:hAnsi="仿宋_GB2312" w:eastAsia="仿宋_GB2312"/>
          <w:kern w:val="0"/>
          <w:sz w:val="32"/>
          <w:szCs w:val="24"/>
          <w:lang w:val="en-US"/>
        </w:rPr>
        <w:t>。</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2022年度一般公共预算财政拨款基本支出701.10万元，其中：</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人员经费642.71万元，包括：基本工资、津贴补贴、奖金、机关事业单位基本养老保险缴费、职业年金缴费、职工基本医疗保险缴费、其他社会保障缴费、住房公积金、退休费、生活补助。</w:t>
      </w:r>
    </w:p>
    <w:p>
      <w:pPr>
        <w:spacing w:beforeLines="0" w:afterLines="0"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公用经费58.39万元，包括：办公费、印刷费、手续费、邮电费、差旅费、劳务费、工会经费、公务用车运行维护费、其他交通费用、其他商品和服务支出。</w:t>
      </w:r>
    </w:p>
    <w:p>
      <w:pPr>
        <w:spacing w:beforeLines="0" w:afterLines="0" w:line="360" w:lineRule="auto"/>
        <w:ind w:firstLine="640"/>
        <w:rPr>
          <w:rFonts w:hint="default" w:eastAsia="Times New Roman"/>
          <w:sz w:val="32"/>
          <w:szCs w:val="24"/>
          <w:lang w:val="en-US"/>
        </w:rPr>
      </w:pPr>
      <w:r>
        <w:rPr>
          <w:rFonts w:hint="eastAsia" w:ascii="黑体" w:hAnsi="黑体" w:eastAsia="黑体"/>
          <w:sz w:val="32"/>
          <w:szCs w:val="24"/>
          <w:lang w:val="zh-CN"/>
        </w:rPr>
        <w:t>七、财政拨款</w:t>
      </w:r>
      <w:r>
        <w:rPr>
          <w:rFonts w:hint="eastAsia" w:ascii="黑体" w:hAnsi="黑体" w:eastAsia="黑体"/>
          <w:kern w:val="0"/>
          <w:sz w:val="32"/>
          <w:szCs w:val="24"/>
          <w:lang w:val="en-US"/>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w:t>
      </w:r>
      <w:r>
        <w:rPr>
          <w:rFonts w:hint="eastAsia" w:ascii="仿宋_GB2312" w:hAnsi="仿宋_GB2312" w:eastAsia="仿宋_GB2312"/>
          <w:sz w:val="32"/>
          <w:szCs w:val="24"/>
          <w:lang w:val="en-US"/>
        </w:rPr>
        <w:t>财政拨款</w:t>
      </w:r>
      <w:r>
        <w:rPr>
          <w:rFonts w:hint="eastAsia" w:ascii="仿宋_GB2312" w:hAnsi="仿宋_GB2312" w:eastAsia="仿宋_GB2312"/>
          <w:kern w:val="0"/>
          <w:sz w:val="32"/>
          <w:szCs w:val="24"/>
          <w:lang w:val="en-US"/>
        </w:rPr>
        <w:t>“三公”经费支出决算10.00万元，比上年减少1.13万元，下降10.15%，主要原因是：</w:t>
      </w:r>
      <w:r>
        <w:rPr>
          <w:rFonts w:hint="eastAsia" w:ascii="仿宋_GB2312" w:hAnsi="仿宋_GB2312" w:eastAsia="仿宋_GB2312"/>
          <w:kern w:val="0"/>
          <w:sz w:val="32"/>
          <w:szCs w:val="24"/>
          <w:lang w:val="en-US" w:eastAsia="zh-CN"/>
        </w:rPr>
        <w:t>本年车辆出行次数减少，车辆维修维护费、油料费等相关支出较上年减少</w:t>
      </w:r>
      <w:r>
        <w:rPr>
          <w:rFonts w:hint="eastAsia" w:ascii="仿宋_GB2312" w:hAnsi="仿宋_GB2312" w:eastAsia="仿宋_GB2312"/>
          <w:kern w:val="0"/>
          <w:sz w:val="32"/>
          <w:szCs w:val="24"/>
          <w:lang w:val="en-US"/>
        </w:rPr>
        <w:t>。其中：因公出国（境）费支出0.00万元，占0.00%，比上年增加0.00万元，增长0.00%，主要原因是：本年单位无因公出国（境）费支出；公务用车购置及运行维护费支出10.00万元，占100.00%，比上年减少1.13万元，下降10.15%，主要原因是：</w:t>
      </w:r>
      <w:r>
        <w:rPr>
          <w:rFonts w:hint="eastAsia" w:ascii="仿宋_GB2312" w:hAnsi="仿宋_GB2312" w:eastAsia="仿宋_GB2312"/>
          <w:kern w:val="0"/>
          <w:sz w:val="32"/>
          <w:szCs w:val="24"/>
          <w:lang w:val="en-US" w:eastAsia="zh-CN"/>
        </w:rPr>
        <w:t>本年车辆出行次数减少，车辆维修维护费、油料费等相关支出较上年减少</w:t>
      </w:r>
      <w:r>
        <w:rPr>
          <w:rFonts w:hint="eastAsia" w:ascii="仿宋_GB2312" w:hAnsi="仿宋_GB2312" w:eastAsia="仿宋_GB2312"/>
          <w:kern w:val="0"/>
          <w:sz w:val="32"/>
          <w:szCs w:val="24"/>
          <w:lang w:val="en-US"/>
        </w:rPr>
        <w:t>；公务接待费支出0.00万元，占0.00%，比上年增加0.00万元，增长0.00%，主要原因是：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。具体情况如下：</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因公出国（境）费支出0.00万元，开支内容包括本年单位无因公出国（境）费支出。单位全年安排的因公出国（境）团组0个，因公出国（境）0人次。</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用车购置及运行维护费10.00万元，其中：公务用车购置费0.00万元，公务用车运行维护费10.00万元。公务用车运行维护费开支内容包括公务用车燃油费、车辆维修维护费、保险费、过路费等。公务用车购置数0辆，公务用车保有量3辆。</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公务接待费0.00万元，开支内容包括</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。单位全年安排的国内公务接待0批次，0人次。</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w:t>
      </w:r>
      <w:r>
        <w:rPr>
          <w:rFonts w:hint="eastAsia" w:ascii="仿宋_GB2312" w:hAnsi="仿宋_GB2312" w:eastAsia="仿宋_GB2312"/>
          <w:sz w:val="32"/>
          <w:szCs w:val="24"/>
          <w:lang w:val="en-US"/>
        </w:rPr>
        <w:t>全年</w:t>
      </w:r>
      <w:r>
        <w:rPr>
          <w:rFonts w:hint="eastAsia" w:ascii="仿宋_GB2312" w:hAnsi="仿宋_GB2312" w:eastAsia="仿宋_GB2312"/>
          <w:kern w:val="0"/>
          <w:sz w:val="32"/>
          <w:szCs w:val="24"/>
          <w:lang w:val="en-US"/>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lang w:val="en-US"/>
        </w:rPr>
        <w:t>相比情况</w:t>
      </w:r>
      <w:r>
        <w:rPr>
          <w:rFonts w:hint="eastAsia" w:ascii="仿宋_GB2312" w:hAnsi="仿宋_GB2312" w:eastAsia="仿宋_GB2312"/>
          <w:sz w:val="32"/>
          <w:szCs w:val="24"/>
          <w:lang w:val="en-US"/>
        </w:rPr>
        <w:t>：</w:t>
      </w:r>
      <w:r>
        <w:rPr>
          <w:rFonts w:hint="default" w:eastAsia="Times New Roman"/>
          <w:kern w:val="0"/>
          <w:sz w:val="32"/>
          <w:szCs w:val="24"/>
          <w:lang w:val="en-US"/>
        </w:rPr>
        <w:t>“</w:t>
      </w:r>
      <w:r>
        <w:rPr>
          <w:rFonts w:hint="eastAsia" w:ascii="仿宋_GB2312" w:hAnsi="仿宋_GB2312" w:eastAsia="仿宋_GB2312"/>
          <w:kern w:val="0"/>
          <w:sz w:val="32"/>
          <w:szCs w:val="24"/>
          <w:lang w:val="en-US"/>
        </w:rPr>
        <w:t>三公</w:t>
      </w:r>
      <w:r>
        <w:rPr>
          <w:rFonts w:hint="default" w:eastAsia="Times New Roman"/>
          <w:kern w:val="0"/>
          <w:sz w:val="32"/>
          <w:szCs w:val="24"/>
          <w:lang w:val="en-US"/>
        </w:rPr>
        <w:t>”</w:t>
      </w:r>
      <w:r>
        <w:rPr>
          <w:rFonts w:hint="eastAsia" w:ascii="仿宋_GB2312" w:hAnsi="仿宋_GB2312" w:eastAsia="仿宋_GB2312"/>
          <w:kern w:val="0"/>
          <w:sz w:val="32"/>
          <w:szCs w:val="24"/>
          <w:lang w:val="en-US"/>
        </w:rPr>
        <w:t>经费支出</w:t>
      </w:r>
      <w:r>
        <w:rPr>
          <w:rFonts w:hint="eastAsia" w:ascii="仿宋_GB2312" w:hAnsi="仿宋_GB2312" w:eastAsia="仿宋_GB2312"/>
          <w:sz w:val="32"/>
          <w:szCs w:val="24"/>
          <w:lang w:val="en-US"/>
        </w:rPr>
        <w:t>全年预算数</w:t>
      </w:r>
      <w:r>
        <w:rPr>
          <w:rFonts w:hint="eastAsia" w:ascii="仿宋_GB2312" w:hAnsi="仿宋_GB2312" w:eastAsia="仿宋_GB2312"/>
          <w:kern w:val="0"/>
          <w:sz w:val="32"/>
          <w:szCs w:val="24"/>
          <w:lang w:val="en-US"/>
        </w:rPr>
        <w:t>10.00万元，决算数10.00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用车运行费全年预算数10.00万元，决算数10.00万元，预决算差异率0.00%，主要原因是：单位严格执行“三公”经费支出标准，未超预算；公务接待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eastAsia" w:ascii="仿宋_GB2312" w:hAnsi="仿宋_GB2312" w:eastAsia="仿宋_GB2312"/>
          <w:kern w:val="0"/>
          <w:sz w:val="32"/>
          <w:szCs w:val="24"/>
          <w:highlight w:val="yellow"/>
          <w:lang w:val="en-US"/>
        </w:rPr>
      </w:pPr>
      <w:r>
        <w:rPr>
          <w:rFonts w:hint="eastAsia" w:ascii="仿宋_GB2312" w:hAnsi="仿宋_GB2312" w:eastAsia="仿宋_GB2312"/>
          <w:kern w:val="0"/>
          <w:sz w:val="32"/>
          <w:szCs w:val="24"/>
          <w:lang w:val="en-US"/>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九、国有资本经营预算财政拨款收入支出决算情况说明</w:t>
      </w:r>
    </w:p>
    <w:p>
      <w:pPr>
        <w:autoSpaceDE w:val="0"/>
        <w:autoSpaceDN w:val="0"/>
        <w:adjustRightInd w:val="0"/>
        <w:spacing w:beforeLines="0" w:afterLines="0" w:line="360" w:lineRule="auto"/>
        <w:ind w:firstLine="640"/>
        <w:rPr>
          <w:rFonts w:hint="eastAsia" w:ascii="仿宋_GB2312" w:eastAsia="仿宋_GB2312" w:cs="仿宋_GB2312"/>
          <w:kern w:val="0"/>
          <w:sz w:val="32"/>
          <w:szCs w:val="32"/>
        </w:rPr>
      </w:pPr>
      <w:r>
        <w:rPr>
          <w:rFonts w:hint="eastAsia" w:ascii="仿宋_GB2312" w:eastAsia="仿宋_GB2312" w:cs="仿宋_GB2312"/>
          <w:kern w:val="0"/>
          <w:sz w:val="32"/>
          <w:szCs w:val="32"/>
        </w:rPr>
        <w:t>2022年度国有资本经营预算年初结转和结余0.00万元，财政拨款收入45.17万元，与上年相比，</w:t>
      </w:r>
      <w:r>
        <w:rPr>
          <w:rFonts w:hint="eastAsia" w:ascii="仿宋_GB2312" w:eastAsia="仿宋_GB2312" w:cs="仿宋_GB2312"/>
          <w:kern w:val="0"/>
          <w:sz w:val="32"/>
          <w:szCs w:val="32"/>
          <w:lang w:val="en-US" w:eastAsia="zh-CN"/>
        </w:rPr>
        <w:t>增加45.17</w:t>
      </w:r>
      <w:r>
        <w:rPr>
          <w:rFonts w:hint="eastAsia" w:ascii="仿宋_GB2312" w:eastAsia="仿宋_GB2312" w:cs="仿宋_GB2312"/>
          <w:kern w:val="0"/>
          <w:sz w:val="32"/>
          <w:szCs w:val="32"/>
        </w:rPr>
        <w:t>万元，下降</w:t>
      </w:r>
      <w:r>
        <w:rPr>
          <w:rFonts w:hint="eastAsia" w:ascii="仿宋_GB2312" w:eastAsia="仿宋_GB2312" w:cs="仿宋_GB2312"/>
          <w:kern w:val="0"/>
          <w:sz w:val="32"/>
          <w:szCs w:val="32"/>
          <w:lang w:val="en-US" w:eastAsia="zh-CN"/>
        </w:rPr>
        <w:t>100.00</w:t>
      </w:r>
      <w:r>
        <w:rPr>
          <w:rFonts w:hint="eastAsia" w:ascii="仿宋_GB2312" w:eastAsia="仿宋_GB2312" w:cs="仿宋_GB2312"/>
          <w:kern w:val="0"/>
          <w:sz w:val="32"/>
          <w:szCs w:val="32"/>
        </w:rPr>
        <w:t>%，主要原因是：</w:t>
      </w:r>
      <w:r>
        <w:rPr>
          <w:rFonts w:hint="eastAsia" w:ascii="仿宋_GB2312" w:eastAsia="仿宋_GB2312" w:cs="仿宋_GB2312"/>
          <w:kern w:val="0"/>
          <w:sz w:val="32"/>
          <w:szCs w:val="32"/>
          <w:lang w:val="en-US" w:eastAsia="zh-CN"/>
        </w:rPr>
        <w:t>本年增加</w:t>
      </w:r>
      <w:r>
        <w:rPr>
          <w:rFonts w:hint="eastAsia" w:ascii="仿宋_GB2312" w:eastAsia="仿宋_GB2312" w:cs="仿宋_GB2312"/>
          <w:kern w:val="0"/>
          <w:sz w:val="32"/>
          <w:szCs w:val="32"/>
        </w:rPr>
        <w:t>国有企业退休人员补助</w:t>
      </w:r>
      <w:r>
        <w:rPr>
          <w:rFonts w:hint="eastAsia" w:ascii="仿宋_GB2312" w:eastAsia="仿宋_GB2312" w:cs="仿宋_GB2312"/>
          <w:kern w:val="0"/>
          <w:sz w:val="32"/>
          <w:szCs w:val="32"/>
          <w:lang w:val="en-US" w:eastAsia="zh-CN"/>
        </w:rPr>
        <w:t>项目资金，收入增加</w:t>
      </w:r>
      <w:r>
        <w:rPr>
          <w:rFonts w:hint="eastAsia" w:ascii="仿宋_GB2312" w:eastAsia="仿宋_GB2312" w:cs="仿宋_GB2312"/>
          <w:kern w:val="0"/>
          <w:sz w:val="32"/>
          <w:szCs w:val="32"/>
        </w:rPr>
        <w:t>。国有资本经营预算年末结转和结余0.00万元，财政拨款支出45.17万元，与上年相比，</w:t>
      </w:r>
      <w:r>
        <w:rPr>
          <w:rFonts w:hint="eastAsia" w:ascii="仿宋_GB2312" w:eastAsia="仿宋_GB2312" w:cs="仿宋_GB2312"/>
          <w:kern w:val="0"/>
          <w:sz w:val="32"/>
          <w:szCs w:val="32"/>
          <w:lang w:val="en-US" w:eastAsia="zh-CN"/>
        </w:rPr>
        <w:t>增加45.17</w:t>
      </w:r>
      <w:r>
        <w:rPr>
          <w:rFonts w:hint="eastAsia" w:ascii="仿宋_GB2312" w:eastAsia="仿宋_GB2312" w:cs="仿宋_GB2312"/>
          <w:kern w:val="0"/>
          <w:sz w:val="32"/>
          <w:szCs w:val="32"/>
        </w:rPr>
        <w:t>万元，</w:t>
      </w:r>
      <w:r>
        <w:rPr>
          <w:rFonts w:hint="eastAsia" w:ascii="仿宋_GB2312" w:eastAsia="仿宋_GB2312" w:cs="仿宋_GB2312"/>
          <w:kern w:val="0"/>
          <w:sz w:val="32"/>
          <w:szCs w:val="32"/>
          <w:lang w:val="en-US" w:eastAsia="zh-CN"/>
        </w:rPr>
        <w:t>增长100.00</w:t>
      </w:r>
      <w:r>
        <w:rPr>
          <w:rFonts w:hint="eastAsia" w:ascii="仿宋_GB2312" w:eastAsia="仿宋_GB2312" w:cs="仿宋_GB2312"/>
          <w:kern w:val="0"/>
          <w:sz w:val="32"/>
          <w:szCs w:val="32"/>
        </w:rPr>
        <w:t>%，主要原因是：本年增加国有企业退休人员补助项目资金，</w:t>
      </w:r>
      <w:r>
        <w:rPr>
          <w:rFonts w:hint="eastAsia" w:ascii="仿宋_GB2312" w:eastAsia="仿宋_GB2312" w:cs="仿宋_GB2312"/>
          <w:kern w:val="0"/>
          <w:sz w:val="32"/>
          <w:szCs w:val="32"/>
          <w:lang w:val="en-US" w:eastAsia="zh-CN"/>
        </w:rPr>
        <w:t>支出增加</w:t>
      </w:r>
      <w:r>
        <w:rPr>
          <w:rFonts w:hint="eastAsia" w:ascii="仿宋_GB2312" w:eastAsia="仿宋_GB2312" w:cs="仿宋_GB2312"/>
          <w:kern w:val="0"/>
          <w:sz w:val="32"/>
          <w:szCs w:val="32"/>
        </w:rPr>
        <w:t>。</w:t>
      </w:r>
    </w:p>
    <w:p>
      <w:pPr>
        <w:autoSpaceDE w:val="0"/>
        <w:autoSpaceDN w:val="0"/>
        <w:adjustRightInd w:val="0"/>
        <w:spacing w:beforeLines="0" w:afterLines="0" w:line="360" w:lineRule="auto"/>
        <w:ind w:firstLine="640"/>
        <w:rPr>
          <w:rFonts w:hint="eastAsia" w:ascii="仿宋_GB2312" w:eastAsia="仿宋_GB2312" w:cs="仿宋_GB2312"/>
          <w:kern w:val="0"/>
          <w:sz w:val="32"/>
          <w:szCs w:val="32"/>
        </w:rPr>
      </w:pPr>
      <w:r>
        <w:rPr>
          <w:rFonts w:hint="eastAsia" w:ascii="仿宋_GB2312" w:eastAsia="仿宋_GB2312" w:cs="仿宋_GB2312"/>
          <w:kern w:val="0"/>
          <w:sz w:val="32"/>
          <w:szCs w:val="32"/>
        </w:rPr>
        <w:t>国有资本经营预算财政拨款支出45.17万元。按功能分类科目项级科目公开，其中：</w:t>
      </w:r>
    </w:p>
    <w:p>
      <w:pPr>
        <w:autoSpaceDE w:val="0"/>
        <w:autoSpaceDN w:val="0"/>
        <w:adjustRightInd w:val="0"/>
        <w:spacing w:beforeLines="0" w:afterLines="0" w:line="360" w:lineRule="auto"/>
        <w:ind w:firstLine="640"/>
        <w:rPr>
          <w:rFonts w:hint="default" w:eastAsia="Times New Roman"/>
          <w:color w:val="auto"/>
          <w:kern w:val="0"/>
          <w:sz w:val="32"/>
          <w:szCs w:val="24"/>
          <w:lang w:val="en-US"/>
        </w:rPr>
      </w:pPr>
      <w:r>
        <w:rPr>
          <w:rFonts w:hint="eastAsia" w:ascii="仿宋_GB2312" w:eastAsia="仿宋_GB2312" w:cs="仿宋_GB2312"/>
          <w:kern w:val="0"/>
          <w:sz w:val="32"/>
          <w:szCs w:val="32"/>
        </w:rPr>
        <w:t>2230105国有企业退休人员社会化管理补助支出</w:t>
      </w:r>
      <w:r>
        <w:rPr>
          <w:rFonts w:hint="eastAsia" w:ascii="仿宋_GB2312" w:eastAsia="仿宋_GB2312" w:cs="仿宋_GB2312"/>
          <w:kern w:val="0"/>
          <w:sz w:val="32"/>
          <w:szCs w:val="32"/>
          <w:lang w:val="en-US" w:eastAsia="zh-CN"/>
        </w:rPr>
        <w:t>45.17</w:t>
      </w:r>
      <w:r>
        <w:rPr>
          <w:rFonts w:hint="eastAsia" w:ascii="仿宋_GB2312" w:eastAsia="仿宋_GB2312" w:cs="仿宋_GB2312"/>
          <w:kern w:val="0"/>
          <w:sz w:val="32"/>
          <w:szCs w:val="32"/>
        </w:rPr>
        <w:t>万元。</w:t>
      </w:r>
    </w:p>
    <w:p>
      <w:pPr>
        <w:spacing w:beforeLines="0" w:afterLines="0"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十、其他重要事项的情况说明</w:t>
      </w:r>
    </w:p>
    <w:p>
      <w:pPr>
        <w:spacing w:beforeLines="0" w:afterLines="0"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 xml:space="preserve">（一）机关运行经费支出情况 </w:t>
      </w:r>
    </w:p>
    <w:p>
      <w:pPr>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2022年度乌鲁木齐市米东区财政局单位机关运行经费支出58.40万元，比上年减少628.02万元，下降91.49%，主要原因是：</w:t>
      </w:r>
      <w:r>
        <w:rPr>
          <w:rFonts w:hint="eastAsia" w:ascii="仿宋_GB2312" w:hAnsi="仿宋_GB2312" w:eastAsia="仿宋_GB2312"/>
          <w:kern w:val="0"/>
          <w:sz w:val="32"/>
          <w:szCs w:val="24"/>
          <w:lang w:val="en-US" w:eastAsia="zh-CN"/>
        </w:rPr>
        <w:t>我单位本年业务量减少，劳务费、办公经费较上年大幅减少</w:t>
      </w:r>
      <w:r>
        <w:rPr>
          <w:rFonts w:hint="eastAsia" w:ascii="仿宋_GB2312" w:hAnsi="仿宋_GB2312" w:eastAsia="仿宋_GB2312"/>
          <w:color w:val="auto"/>
          <w:kern w:val="0"/>
          <w:sz w:val="32"/>
          <w:szCs w:val="24"/>
          <w:lang w:val="en-US"/>
        </w:rPr>
        <w:t>。</w:t>
      </w:r>
    </w:p>
    <w:p>
      <w:pPr>
        <w:spacing w:beforeLines="0" w:afterLines="0" w:line="360" w:lineRule="auto"/>
        <w:ind w:firstLine="640"/>
        <w:rPr>
          <w:rFonts w:hint="default" w:eastAsia="Times New Roman"/>
          <w:color w:val="auto"/>
          <w:sz w:val="32"/>
          <w:szCs w:val="24"/>
          <w:lang w:val="en-US"/>
        </w:rPr>
      </w:pPr>
      <w:r>
        <w:rPr>
          <w:rFonts w:hint="eastAsia" w:ascii="黑体" w:hAnsi="黑体" w:eastAsia="黑体"/>
          <w:color w:val="auto"/>
          <w:sz w:val="32"/>
          <w:szCs w:val="24"/>
          <w:lang w:val="en-US"/>
        </w:rPr>
        <w:t>（</w:t>
      </w:r>
      <w:r>
        <w:rPr>
          <w:rFonts w:hint="eastAsia" w:ascii="黑体" w:hAnsi="黑体" w:eastAsia="黑体"/>
          <w:color w:val="auto"/>
          <w:sz w:val="32"/>
          <w:szCs w:val="24"/>
          <w:lang w:val="zh-CN"/>
        </w:rPr>
        <w:t>二</w:t>
      </w:r>
      <w:r>
        <w:rPr>
          <w:rFonts w:hint="eastAsia" w:ascii="黑体" w:hAnsi="黑体" w:eastAsia="黑体"/>
          <w:color w:val="auto"/>
          <w:sz w:val="32"/>
          <w:szCs w:val="24"/>
          <w:lang w:val="en-US"/>
        </w:rPr>
        <w:t>）</w:t>
      </w:r>
      <w:r>
        <w:rPr>
          <w:rFonts w:hint="eastAsia" w:ascii="黑体" w:hAnsi="黑体" w:eastAsia="黑体"/>
          <w:color w:val="auto"/>
          <w:sz w:val="32"/>
          <w:szCs w:val="24"/>
          <w:lang w:val="zh-CN"/>
        </w:rPr>
        <w:t>政府采购情况</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2022年度政府采购支出总额0.00万元，其中：政府采购货物支出0.00万元、政府采购工程支出0.00万元、政府采购服务支出0.00万元。</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授予中小企业合同金额0.00万元，占政府采购支出总额的0.00%，其中：授予小微企业合同金额0.00万元，占政府采购支出总额的0.00%。</w:t>
      </w:r>
    </w:p>
    <w:p>
      <w:pPr>
        <w:spacing w:beforeLines="0" w:afterLines="0"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（三）国有资产占用情况说明</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截止2022年12月31日，</w:t>
      </w:r>
      <w:r>
        <w:rPr>
          <w:rFonts w:hint="eastAsia" w:ascii="仿宋_GB2312" w:hAnsi="仿宋_GB2312" w:eastAsia="仿宋_GB2312"/>
          <w:color w:val="auto"/>
          <w:sz w:val="32"/>
          <w:szCs w:val="24"/>
          <w:lang w:val="en-US"/>
        </w:rPr>
        <w:t>固定资产原值</w:t>
      </w:r>
      <w:r>
        <w:rPr>
          <w:rFonts w:hint="eastAsia" w:ascii="仿宋_GB2312" w:hAnsi="仿宋_GB2312" w:eastAsia="仿宋_GB2312"/>
          <w:color w:val="auto"/>
          <w:kern w:val="0"/>
          <w:sz w:val="32"/>
          <w:szCs w:val="24"/>
          <w:lang w:val="en-US"/>
        </w:rPr>
        <w:t>475.06</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房屋0.00平方米，价值0.00万元。车辆3辆，价值64.48万元，其中：副部（省）级及以上领导用车0辆、主要领导干部用车0辆、机要通信用车0辆、应急保障用车0辆、执法执勤用车0辆、特种专业技术用车0辆、离退休干部用车0辆、其他用车3辆，其他用车主要是：</w:t>
      </w:r>
      <w:r>
        <w:rPr>
          <w:rFonts w:hint="eastAsia" w:ascii="仿宋_GB2312" w:hAnsi="仿宋_GB2312" w:eastAsia="仿宋_GB2312"/>
          <w:color w:val="auto"/>
          <w:kern w:val="0"/>
          <w:sz w:val="32"/>
          <w:szCs w:val="24"/>
          <w:lang w:val="en-US" w:eastAsia="zh-CN"/>
        </w:rPr>
        <w:t>单位业务用车</w:t>
      </w:r>
      <w:r>
        <w:rPr>
          <w:rFonts w:hint="eastAsia" w:ascii="仿宋_GB2312" w:hAnsi="仿宋_GB2312" w:eastAsia="仿宋_GB2312"/>
          <w:color w:val="auto"/>
          <w:kern w:val="0"/>
          <w:sz w:val="32"/>
          <w:szCs w:val="24"/>
          <w:lang w:val="en-US"/>
        </w:rPr>
        <w:t>；单价100</w:t>
      </w:r>
      <w:r>
        <w:rPr>
          <w:rFonts w:hint="eastAsia" w:ascii="仿宋_GB2312" w:hAnsi="仿宋_GB2312" w:eastAsia="仿宋_GB2312"/>
          <w:color w:val="auto"/>
          <w:sz w:val="32"/>
          <w:szCs w:val="24"/>
          <w:lang w:val="en-US"/>
        </w:rPr>
        <w:t>万元（含）以上设备（不含车辆）</w:t>
      </w:r>
      <w:r>
        <w:rPr>
          <w:rFonts w:hint="eastAsia" w:ascii="仿宋_GB2312" w:hAnsi="仿宋_GB2312" w:eastAsia="仿宋_GB2312"/>
          <w:color w:val="auto"/>
          <w:kern w:val="0"/>
          <w:sz w:val="32"/>
          <w:szCs w:val="24"/>
          <w:lang w:val="en-US"/>
        </w:rPr>
        <w:t>0台（套）。</w:t>
      </w:r>
    </w:p>
    <w:p>
      <w:pPr>
        <w:spacing w:beforeLines="0" w:afterLines="0"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十一、预算绩效的情况说明</w:t>
      </w:r>
    </w:p>
    <w:p>
      <w:pPr>
        <w:shd w:val="clear" w:color="auto" w:fill="FFFFFF"/>
        <w:spacing w:beforeLines="0" w:afterLines="0" w:line="360" w:lineRule="auto"/>
        <w:ind w:firstLine="640"/>
        <w:rPr>
          <w:rFonts w:hint="eastAsia" w:ascii="仿宋_GB2312" w:hAnsi="仿宋_GB2312" w:eastAsia="仿宋_GB2312"/>
          <w:color w:val="auto"/>
          <w:kern w:val="0"/>
          <w:sz w:val="32"/>
          <w:szCs w:val="24"/>
          <w:lang w:val="en-US"/>
        </w:rPr>
      </w:pPr>
      <w:r>
        <w:rPr>
          <w:rFonts w:hint="eastAsia" w:ascii="仿宋_GB2312" w:hAnsi="仿宋_GB2312" w:eastAsia="仿宋_GB2312"/>
          <w:color w:val="auto"/>
          <w:kern w:val="0"/>
          <w:sz w:val="32"/>
          <w:szCs w:val="24"/>
          <w:lang w:val="en-US"/>
        </w:rPr>
        <w:t>根据预算绩效管理要求，我单位2022年度开展预算绩效评价项目</w:t>
      </w:r>
      <w:r>
        <w:rPr>
          <w:rFonts w:hint="eastAsia" w:ascii="仿宋_GB2312" w:hAnsi="仿宋_GB2312" w:eastAsia="仿宋_GB2312"/>
          <w:color w:val="auto"/>
          <w:kern w:val="0"/>
          <w:sz w:val="32"/>
          <w:szCs w:val="24"/>
          <w:lang w:val="en-US" w:eastAsia="zh-CN"/>
        </w:rPr>
        <w:t>9</w:t>
      </w:r>
      <w:r>
        <w:rPr>
          <w:rFonts w:hint="eastAsia" w:ascii="仿宋_GB2312" w:hAnsi="仿宋_GB2312" w:eastAsia="仿宋_GB2312"/>
          <w:color w:val="auto"/>
          <w:kern w:val="0"/>
          <w:sz w:val="32"/>
          <w:szCs w:val="24"/>
          <w:lang w:val="en-US"/>
        </w:rPr>
        <w:t>个，</w:t>
      </w:r>
      <w:r>
        <w:rPr>
          <w:rFonts w:hint="eastAsia" w:ascii="仿宋_GB2312" w:hAnsi="仿宋_GB2312" w:eastAsia="仿宋_GB2312"/>
          <w:color w:val="auto"/>
          <w:sz w:val="32"/>
          <w:szCs w:val="24"/>
          <w:lang w:val="en-US"/>
        </w:rPr>
        <w:t>全年预算数</w:t>
      </w:r>
      <w:r>
        <w:rPr>
          <w:rFonts w:hint="eastAsia" w:ascii="仿宋_GB2312" w:hAnsi="仿宋_GB2312" w:eastAsia="仿宋_GB2312"/>
          <w:color w:val="auto"/>
          <w:kern w:val="0"/>
          <w:sz w:val="32"/>
          <w:szCs w:val="24"/>
          <w:lang w:val="en-US" w:eastAsia="zh-CN"/>
        </w:rPr>
        <w:t>118,985.22</w:t>
      </w:r>
      <w:r>
        <w:rPr>
          <w:rFonts w:hint="eastAsia" w:ascii="仿宋_GB2312" w:hAnsi="仿宋_GB2312" w:eastAsia="仿宋_GB2312"/>
          <w:color w:val="auto"/>
          <w:sz w:val="32"/>
          <w:szCs w:val="24"/>
          <w:lang w:val="en-US"/>
        </w:rPr>
        <w:t>万元，全年执行数</w:t>
      </w:r>
      <w:r>
        <w:rPr>
          <w:rFonts w:hint="eastAsia" w:ascii="仿宋_GB2312" w:hAnsi="仿宋_GB2312" w:eastAsia="仿宋_GB2312"/>
          <w:color w:val="auto"/>
          <w:kern w:val="0"/>
          <w:sz w:val="32"/>
          <w:szCs w:val="24"/>
          <w:lang w:val="en-US" w:eastAsia="zh-CN"/>
        </w:rPr>
        <w:t>118,952.62</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预算绩效管理取得的成效：一是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w:t>
      </w:r>
      <w:r>
        <w:rPr>
          <w:rFonts w:hint="eastAsia" w:ascii="仿宋_GB2312" w:hAnsi="仿宋_GB2312" w:eastAsia="仿宋_GB2312"/>
          <w:color w:val="auto"/>
          <w:kern w:val="0"/>
          <w:sz w:val="32"/>
          <w:szCs w:val="24"/>
          <w:lang w:val="en-US" w:eastAsia="zh-CN"/>
        </w:rPr>
        <w:t>；</w:t>
      </w:r>
      <w:r>
        <w:rPr>
          <w:rFonts w:hint="eastAsia" w:ascii="仿宋_GB2312" w:hAnsi="仿宋_GB2312" w:eastAsia="仿宋_GB2312"/>
          <w:color w:val="auto"/>
          <w:kern w:val="0"/>
          <w:sz w:val="32"/>
          <w:szCs w:val="24"/>
          <w:lang w:val="en-US"/>
        </w:rPr>
        <w:t>二是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发现的问题及原因：一是在申请及拨付专项资金的过程中，由于财政资金紧缺和审核人员的较少，资金拨付基本在下半年；二是经济下行期间，新成立的中小农村金融机构本来自身盈利能力和抗风险能力有限，对于定向费用补贴能否延长享受期限，由5年增加10年。下一步改进措施：一是我单位在以后年度财政项目绩效目标申报工作中将结合项目实施内容及特点，设定项目总目标、年度绩效目标及绩效指标；二是形成项目有目标、工作有计划、绩效可量化、考核有依据的计划目标管理机制，便于有效考核执行效果。具体项目自评情况附项目支出绩效自评表。具体项目自评情况附项目支出绩效自评表。</w:t>
      </w:r>
    </w:p>
    <w:p>
      <w:pPr>
        <w:shd w:val="clear" w:color="auto" w:fill="FFFFFF"/>
        <w:spacing w:beforeLines="0" w:afterLines="0" w:line="360" w:lineRule="auto"/>
        <w:ind w:firstLine="640"/>
        <w:rPr>
          <w:rFonts w:hint="eastAsia" w:ascii="仿宋_GB2312" w:hAnsi="仿宋_GB2312" w:eastAsia="仿宋_GB2312"/>
          <w:color w:val="auto"/>
          <w:kern w:val="0"/>
          <w:sz w:val="32"/>
          <w:szCs w:val="24"/>
          <w:lang w:val="en-US"/>
        </w:rPr>
      </w:pPr>
    </w:p>
    <w:p>
      <w:pPr>
        <w:shd w:val="clear" w:color="auto" w:fill="FFFFFF"/>
        <w:spacing w:beforeLines="0" w:afterLines="0" w:line="360" w:lineRule="auto"/>
        <w:ind w:firstLine="640"/>
        <w:rPr>
          <w:rFonts w:hint="eastAsia" w:ascii="仿宋_GB2312" w:hAnsi="仿宋_GB2312" w:eastAsia="仿宋_GB2312"/>
          <w:color w:val="auto"/>
          <w:kern w:val="0"/>
          <w:sz w:val="32"/>
          <w:szCs w:val="24"/>
          <w:lang w:val="en-US"/>
        </w:rPr>
      </w:pPr>
    </w:p>
    <w:p>
      <w:pPr>
        <w:shd w:val="clear" w:color="auto" w:fill="FFFFFF"/>
        <w:spacing w:beforeLines="0" w:afterLines="0" w:line="360" w:lineRule="auto"/>
        <w:ind w:firstLine="640"/>
        <w:rPr>
          <w:rFonts w:hint="eastAsia" w:ascii="仿宋_GB2312" w:hAnsi="仿宋_GB2312" w:eastAsia="仿宋_GB2312"/>
          <w:color w:val="auto"/>
          <w:kern w:val="0"/>
          <w:sz w:val="32"/>
          <w:szCs w:val="24"/>
          <w:lang w:val="en-US"/>
        </w:rPr>
      </w:pPr>
      <w:bookmarkStart w:id="0" w:name="_GoBack"/>
      <w:bookmarkEnd w:id="0"/>
    </w:p>
    <w:tbl>
      <w:tblPr>
        <w:tblStyle w:val="2"/>
        <w:tblW w:w="4861" w:type="pct"/>
        <w:tblInd w:w="1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0"/>
        <w:gridCol w:w="660"/>
        <w:gridCol w:w="977"/>
        <w:gridCol w:w="650"/>
        <w:gridCol w:w="915"/>
        <w:gridCol w:w="985"/>
        <w:gridCol w:w="941"/>
        <w:gridCol w:w="519"/>
        <w:gridCol w:w="968"/>
        <w:gridCol w:w="16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0"/>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18"/>
                <w:szCs w:val="18"/>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0"/>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390"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2022年增值税留抵退税减税降费资金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2048"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795"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9"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94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9"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4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5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47997.00</w:t>
            </w: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47997.00</w:t>
            </w: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100.00%</w:t>
            </w: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9"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4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5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47997.00</w:t>
            </w: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47997.00</w:t>
            </w: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9"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4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5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9"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4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5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431"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342"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431"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为贯彻落实党中央、国务院决策部署，中央财政安排两批留抵退税专项资金，支持我区弥补政策性减收，缓解米东区财政收支矛盾，保障财政平稳运行。</w:t>
            </w:r>
          </w:p>
        </w:tc>
        <w:tc>
          <w:tcPr>
            <w:tcW w:w="2342"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本项目资金主要用于发放米东区142家单位在职干部工资以及30%绩效工资。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56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908"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57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54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30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6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93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0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7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4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0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8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5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90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第一批留抵退税资金发放预算单位个数</w:t>
            </w:r>
          </w:p>
        </w:tc>
        <w:tc>
          <w:tcPr>
            <w:tcW w:w="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&lt;=142个</w:t>
            </w: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142个</w:t>
            </w: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w:t>
            </w: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w:t>
            </w: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90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第二批留抵退税发放预算单位个数</w:t>
            </w:r>
          </w:p>
        </w:tc>
        <w:tc>
          <w:tcPr>
            <w:tcW w:w="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&lt;=142个</w:t>
            </w: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142个</w:t>
            </w: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w:t>
            </w: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w:t>
            </w: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90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第一批留抵退税资金到位率</w:t>
            </w:r>
          </w:p>
        </w:tc>
        <w:tc>
          <w:tcPr>
            <w:tcW w:w="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&gt;=100%</w:t>
            </w: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w:t>
            </w: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w:t>
            </w: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90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第二批留抵退税资金到位率</w:t>
            </w:r>
          </w:p>
        </w:tc>
        <w:tc>
          <w:tcPr>
            <w:tcW w:w="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&gt;=100%</w:t>
            </w: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w:t>
            </w: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w:t>
            </w: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90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留抵退税资金预期发放时间</w:t>
            </w:r>
          </w:p>
        </w:tc>
        <w:tc>
          <w:tcPr>
            <w:tcW w:w="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&lt;=9月</w:t>
            </w: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9月</w:t>
            </w: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w:t>
            </w: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w:t>
            </w: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90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第一批留抵退税资金总额</w:t>
            </w:r>
          </w:p>
        </w:tc>
        <w:tc>
          <w:tcPr>
            <w:tcW w:w="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=20458万元</w:t>
            </w: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20458万元</w:t>
            </w: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w:t>
            </w: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w:t>
            </w: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90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第二批留抵退税资金总额</w:t>
            </w:r>
          </w:p>
        </w:tc>
        <w:tc>
          <w:tcPr>
            <w:tcW w:w="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=27539万元</w:t>
            </w: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2759万元</w:t>
            </w: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w:t>
            </w: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w:t>
            </w: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5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90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90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缓解财政收支矛盾</w:t>
            </w:r>
          </w:p>
        </w:tc>
        <w:tc>
          <w:tcPr>
            <w:tcW w:w="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有效缓解</w:t>
            </w: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w:t>
            </w: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w:t>
            </w: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90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90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保障财政平稳运行</w:t>
            </w:r>
          </w:p>
        </w:tc>
        <w:tc>
          <w:tcPr>
            <w:tcW w:w="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持续保障</w:t>
            </w: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w:t>
            </w: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w:t>
            </w: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5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90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4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204"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3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100.00分</w:t>
            </w:r>
          </w:p>
        </w:tc>
        <w:tc>
          <w:tcPr>
            <w:tcW w:w="9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bl>
    <w:p>
      <w:pPr>
        <w:shd w:val="clear" w:color="auto" w:fill="FFFFFF"/>
        <w:spacing w:before="100" w:beforeLines="0" w:afterLines="0" w:line="520" w:lineRule="exact"/>
        <w:ind w:left="118" w:firstLine="480"/>
        <w:rPr>
          <w:rFonts w:hint="default" w:eastAsia="Times New Roman"/>
          <w:color w:val="auto"/>
          <w:kern w:val="0"/>
          <w:sz w:val="24"/>
          <w:szCs w:val="24"/>
          <w:highlight w:val="white"/>
          <w:lang w:val="en-US"/>
        </w:rPr>
      </w:pPr>
    </w:p>
    <w:tbl>
      <w:tblPr>
        <w:tblStyle w:val="2"/>
        <w:tblW w:w="4869" w:type="pct"/>
        <w:tblInd w:w="11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4"/>
        <w:gridCol w:w="641"/>
        <w:gridCol w:w="585"/>
        <w:gridCol w:w="976"/>
        <w:gridCol w:w="1281"/>
        <w:gridCol w:w="696"/>
        <w:gridCol w:w="662"/>
        <w:gridCol w:w="782"/>
        <w:gridCol w:w="163"/>
        <w:gridCol w:w="605"/>
        <w:gridCol w:w="10"/>
        <w:gridCol w:w="1005"/>
        <w:gridCol w:w="7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3"/>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3"/>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382"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国有土地使用权出让金债务还本支出（2310411）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2434"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c>
          <w:tcPr>
            <w:tcW w:w="54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400"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617"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9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7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54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3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4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7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34000.00</w:t>
            </w:r>
          </w:p>
        </w:tc>
        <w:tc>
          <w:tcPr>
            <w:tcW w:w="7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34000.00</w:t>
            </w:r>
          </w:p>
        </w:tc>
        <w:tc>
          <w:tcPr>
            <w:tcW w:w="54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34000.00</w:t>
            </w:r>
          </w:p>
        </w:tc>
        <w:tc>
          <w:tcPr>
            <w:tcW w:w="3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100.00%</w:t>
            </w:r>
          </w:p>
        </w:tc>
        <w:tc>
          <w:tcPr>
            <w:tcW w:w="4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7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10700.00</w:t>
            </w:r>
          </w:p>
        </w:tc>
        <w:tc>
          <w:tcPr>
            <w:tcW w:w="7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10700.00</w:t>
            </w:r>
          </w:p>
        </w:tc>
        <w:tc>
          <w:tcPr>
            <w:tcW w:w="54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10700.00</w:t>
            </w:r>
          </w:p>
        </w:tc>
        <w:tc>
          <w:tcPr>
            <w:tcW w:w="3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7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7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54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3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7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23300.00</w:t>
            </w:r>
          </w:p>
        </w:tc>
        <w:tc>
          <w:tcPr>
            <w:tcW w:w="7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23300.00</w:t>
            </w:r>
          </w:p>
        </w:tc>
        <w:tc>
          <w:tcPr>
            <w:tcW w:w="54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23300.00</w:t>
            </w:r>
          </w:p>
        </w:tc>
        <w:tc>
          <w:tcPr>
            <w:tcW w:w="3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806"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1947"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806"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根据自治区财政厅《关于改进自治区地方政府债券还本付息付费管理工作的通知》（新财预【2018】33号）和《关于调整资金调度机制的函》以及《关于改进地方政府债券还本付息付款管理工作的通知》（乌财预【2018】36号）等文件的要求，偿还米东区棚户区国有土地使用权出让金债务还本34000万元，降低米东区债务水平，防止债务违约，把政府债务的风险控制在合理的范围内，促进米东区经济持续健康发展。</w:t>
            </w:r>
          </w:p>
        </w:tc>
        <w:tc>
          <w:tcPr>
            <w:tcW w:w="1947"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根据自治区财政厅《关于改进自治区地方政府债券还本付息付费管理工作的通知》（新财预【2018】33号）和《关于调整资金调度机制的函》以及《关于改进地方政府债券还本付息付款管理工作的通知》（乌财预【2018】36号）等文件的要求，偿还米东区棚户区国有土地使用权出让金债务还本34000万元，降低米东区债务水平，防止债务违约，把政府债务的风险控制在合理的范围内，促进米东区经济持续健康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33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711"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38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45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445"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88"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46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711"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5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4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8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7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3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7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偿还债券本金次数</w:t>
            </w: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=1次</w:t>
            </w:r>
          </w:p>
        </w:tc>
        <w:tc>
          <w:tcPr>
            <w:tcW w:w="4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1次</w:t>
            </w:r>
          </w:p>
        </w:tc>
        <w:tc>
          <w:tcPr>
            <w:tcW w:w="4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7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偿还债券本金总量</w:t>
            </w: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=34000万元</w:t>
            </w:r>
          </w:p>
        </w:tc>
        <w:tc>
          <w:tcPr>
            <w:tcW w:w="4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34000万元</w:t>
            </w:r>
          </w:p>
        </w:tc>
        <w:tc>
          <w:tcPr>
            <w:tcW w:w="4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7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还本资金到位率</w:t>
            </w: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4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7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债券还本及时率</w:t>
            </w: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4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4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7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偿还债券本金期限</w:t>
            </w: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&lt;=9个月</w:t>
            </w:r>
          </w:p>
        </w:tc>
        <w:tc>
          <w:tcPr>
            <w:tcW w:w="4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9个月</w:t>
            </w:r>
          </w:p>
        </w:tc>
        <w:tc>
          <w:tcPr>
            <w:tcW w:w="4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7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预算控制率</w:t>
            </w: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&lt;=100%</w:t>
            </w:r>
          </w:p>
        </w:tc>
        <w:tc>
          <w:tcPr>
            <w:tcW w:w="4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3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7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7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降低米东区债务水平，防止债务违约</w:t>
            </w: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有效降低</w:t>
            </w:r>
          </w:p>
        </w:tc>
        <w:tc>
          <w:tcPr>
            <w:tcW w:w="4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4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5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4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7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7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3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7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债权人满意度</w:t>
            </w: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4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05"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4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100.00分</w:t>
            </w:r>
          </w:p>
        </w:tc>
        <w:tc>
          <w:tcPr>
            <w:tcW w:w="4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bl>
    <w:p>
      <w:pPr>
        <w:shd w:val="clear" w:color="auto" w:fill="FFFFFF"/>
        <w:spacing w:before="100" w:beforeLines="0" w:afterLines="0" w:line="520" w:lineRule="exact"/>
        <w:ind w:left="118" w:firstLine="480"/>
        <w:rPr>
          <w:rFonts w:hint="default" w:eastAsia="Times New Roman"/>
          <w:color w:val="auto"/>
          <w:kern w:val="0"/>
          <w:sz w:val="18"/>
          <w:szCs w:val="24"/>
          <w:highlight w:val="white"/>
          <w:lang w:val="en-US"/>
        </w:rPr>
      </w:pPr>
    </w:p>
    <w:tbl>
      <w:tblPr>
        <w:tblStyle w:val="2"/>
        <w:tblW w:w="4858" w:type="pct"/>
        <w:tblInd w:w="1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82"/>
        <w:gridCol w:w="614"/>
        <w:gridCol w:w="709"/>
        <w:gridCol w:w="628"/>
        <w:gridCol w:w="1428"/>
        <w:gridCol w:w="886"/>
        <w:gridCol w:w="734"/>
        <w:gridCol w:w="114"/>
        <w:gridCol w:w="767"/>
        <w:gridCol w:w="486"/>
        <w:gridCol w:w="306"/>
        <w:gridCol w:w="719"/>
        <w:gridCol w:w="126"/>
        <w:gridCol w:w="7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421" w:type="pct"/>
            <w:gridSpan w:val="1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农村金融机构定向费用补贴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2547"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c>
          <w:tcPr>
            <w:tcW w:w="5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361"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78"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77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9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5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46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49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4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7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7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9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120.36</w:t>
            </w:r>
          </w:p>
        </w:tc>
        <w:tc>
          <w:tcPr>
            <w:tcW w:w="5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120.36</w:t>
            </w:r>
          </w:p>
        </w:tc>
        <w:tc>
          <w:tcPr>
            <w:tcW w:w="46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9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100.00%</w:t>
            </w:r>
          </w:p>
        </w:tc>
        <w:tc>
          <w:tcPr>
            <w:tcW w:w="4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7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7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9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120.36</w:t>
            </w:r>
          </w:p>
        </w:tc>
        <w:tc>
          <w:tcPr>
            <w:tcW w:w="5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120.36</w:t>
            </w:r>
          </w:p>
        </w:tc>
        <w:tc>
          <w:tcPr>
            <w:tcW w:w="46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7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7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9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6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7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7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9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6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904"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1873"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904"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支持农村金融组织体系建设，扩大农村金融服务覆盖面。</w:t>
            </w:r>
          </w:p>
        </w:tc>
        <w:tc>
          <w:tcPr>
            <w:tcW w:w="1873"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支持农村金融组织体系建设，扩大农村金融服务覆盖面。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41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709"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492"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44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28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95"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483"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709"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9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4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8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8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5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4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70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新增基础薄弱地区金融服务网点</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&gt;=1个</w:t>
            </w:r>
          </w:p>
        </w:tc>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1个</w:t>
            </w:r>
          </w:p>
        </w:tc>
        <w:tc>
          <w:tcPr>
            <w:tcW w:w="2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70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农村金融机构定向费用补贴管理制度健全</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管理规范</w:t>
            </w:r>
          </w:p>
        </w:tc>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2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70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县市配套资金及时到位率</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2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70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上级资金拨付及时到位率</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2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70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定向费用补贴资金数</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=120.36万元</w:t>
            </w:r>
          </w:p>
        </w:tc>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120.36万元</w:t>
            </w:r>
          </w:p>
        </w:tc>
        <w:tc>
          <w:tcPr>
            <w:tcW w:w="2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4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70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70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金融机构乡镇网点覆盖率</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90%</w:t>
            </w:r>
          </w:p>
        </w:tc>
        <w:tc>
          <w:tcPr>
            <w:tcW w:w="2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59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4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70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70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4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70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服务对象满意度指标</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95%</w:t>
            </w:r>
          </w:p>
        </w:tc>
        <w:tc>
          <w:tcPr>
            <w:tcW w:w="2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38" w:type="pct"/>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2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9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100.00分</w:t>
            </w:r>
          </w:p>
        </w:tc>
        <w:tc>
          <w:tcPr>
            <w:tcW w:w="4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24"/>
                <w:szCs w:val="24"/>
              </w:rPr>
            </w:pPr>
          </w:p>
        </w:tc>
      </w:tr>
    </w:tbl>
    <w:p>
      <w:pPr>
        <w:shd w:val="clear" w:color="auto" w:fill="FFFFFF"/>
        <w:spacing w:before="100" w:beforeLines="0" w:afterLines="0" w:line="520" w:lineRule="exact"/>
        <w:ind w:left="118" w:firstLine="480"/>
        <w:rPr>
          <w:rFonts w:hint="default" w:eastAsia="Times New Roman"/>
          <w:color w:val="auto"/>
          <w:kern w:val="0"/>
          <w:sz w:val="18"/>
          <w:szCs w:val="24"/>
          <w:highlight w:val="white"/>
          <w:lang w:val="en-US"/>
        </w:rPr>
      </w:pPr>
    </w:p>
    <w:tbl>
      <w:tblPr>
        <w:tblStyle w:val="2"/>
        <w:tblW w:w="4865" w:type="pct"/>
        <w:tblInd w:w="1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7"/>
        <w:gridCol w:w="654"/>
        <w:gridCol w:w="723"/>
        <w:gridCol w:w="488"/>
        <w:gridCol w:w="1216"/>
        <w:gridCol w:w="265"/>
        <w:gridCol w:w="867"/>
        <w:gridCol w:w="1064"/>
        <w:gridCol w:w="150"/>
        <w:gridCol w:w="464"/>
        <w:gridCol w:w="968"/>
        <w:gridCol w:w="177"/>
        <w:gridCol w:w="11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3"/>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3"/>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367"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棚户区改造专项债券付息（2320433）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2064"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597"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2"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7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6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2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66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66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7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9407.27</w:t>
            </w:r>
          </w:p>
        </w:tc>
        <w:tc>
          <w:tcPr>
            <w:tcW w:w="6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9407.27</w:t>
            </w:r>
          </w:p>
        </w:tc>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9407.27</w:t>
            </w:r>
          </w:p>
        </w:tc>
        <w:tc>
          <w:tcPr>
            <w:tcW w:w="2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6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100.00%</w:t>
            </w:r>
          </w:p>
        </w:tc>
        <w:tc>
          <w:tcPr>
            <w:tcW w:w="66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7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9407.27</w:t>
            </w:r>
          </w:p>
        </w:tc>
        <w:tc>
          <w:tcPr>
            <w:tcW w:w="6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9407.27</w:t>
            </w:r>
          </w:p>
        </w:tc>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9407.27</w:t>
            </w:r>
          </w:p>
        </w:tc>
        <w:tc>
          <w:tcPr>
            <w:tcW w:w="2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6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6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7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2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6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6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7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2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6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6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444"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302"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444"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根据自治区财政厅《关于改进自治区地方政府债券还本付息付费管理工作的通知》（新财预【2018】33号）和《关于调整资金调度机制的函》以及《关于改进地方政府债券还本付息付款管理工作的通知》（乌财预【2018】36号）等文件的要求，偿还米东区棚户区改造专项债券利息9407.27万元，，逐步化解债务风险，防止债务违约，把政府债务的风险控制在合理的范围内，促进米东区经济持续健康发展，优化米东区整齐布局，改善城区环境，完善基础设施配置。</w:t>
            </w:r>
          </w:p>
        </w:tc>
        <w:tc>
          <w:tcPr>
            <w:tcW w:w="2302"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根据自治区财政厅《关于改进自治区地方政府债券还本付息付费管理工作的通知》（新财预【2018】33号）和《关于调整资金调度机制的函》以及《关于改进地方政府债券还本付息付款管理工作的通知》（乌财预【2018】36号）等文件的要求，偿还米东区棚户区改造专项债券利息9407.27万元，，逐步化解债务风险，防止债务违约，把政府债务的风险控制在合理的范围内，促进米东区经济持续健康发展，优化米东区整齐布局，改善城区环境，完善基础设施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41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142"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50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61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356"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6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766"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142"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0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1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6"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66"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7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4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14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支付利息次数</w:t>
            </w:r>
          </w:p>
        </w:tc>
        <w:tc>
          <w:tcPr>
            <w:tcW w:w="5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=2次</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2次</w:t>
            </w:r>
          </w:p>
        </w:tc>
        <w:tc>
          <w:tcPr>
            <w:tcW w:w="3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14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债券利息资金到位率</w:t>
            </w:r>
          </w:p>
        </w:tc>
        <w:tc>
          <w:tcPr>
            <w:tcW w:w="5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14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利息上缴工作期限</w:t>
            </w:r>
          </w:p>
        </w:tc>
        <w:tc>
          <w:tcPr>
            <w:tcW w:w="5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&lt;=20个工作日</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7个工作日</w:t>
            </w:r>
          </w:p>
        </w:tc>
        <w:tc>
          <w:tcPr>
            <w:tcW w:w="3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14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债券付息及时率</w:t>
            </w:r>
          </w:p>
        </w:tc>
        <w:tc>
          <w:tcPr>
            <w:tcW w:w="5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14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单次付息金额</w:t>
            </w:r>
          </w:p>
        </w:tc>
        <w:tc>
          <w:tcPr>
            <w:tcW w:w="5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&lt;=4703.64万元</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4703.64万元</w:t>
            </w:r>
          </w:p>
        </w:tc>
        <w:tc>
          <w:tcPr>
            <w:tcW w:w="3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4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14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5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14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防止债务违约，实现米东经济健康发展</w:t>
            </w:r>
          </w:p>
        </w:tc>
        <w:tc>
          <w:tcPr>
            <w:tcW w:w="5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有效防止</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5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7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14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5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14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5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4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14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债权人满意度</w:t>
            </w:r>
          </w:p>
        </w:tc>
        <w:tc>
          <w:tcPr>
            <w:tcW w:w="5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15"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总分</w:t>
            </w:r>
          </w:p>
        </w:tc>
        <w:tc>
          <w:tcPr>
            <w:tcW w:w="3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100</w:t>
            </w:r>
          </w:p>
        </w:tc>
        <w:tc>
          <w:tcPr>
            <w:tcW w:w="5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100.00分</w:t>
            </w:r>
          </w:p>
        </w:tc>
        <w:tc>
          <w:tcPr>
            <w:tcW w:w="7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bl>
    <w:p>
      <w:pPr>
        <w:shd w:val="clear" w:color="auto" w:fill="FFFFFF"/>
        <w:spacing w:before="100" w:beforeLines="0" w:afterLines="0" w:line="520" w:lineRule="exact"/>
        <w:ind w:left="118" w:firstLine="480"/>
        <w:rPr>
          <w:rFonts w:hint="default" w:eastAsia="Times New Roman"/>
          <w:color w:val="auto"/>
          <w:kern w:val="0"/>
          <w:sz w:val="18"/>
          <w:szCs w:val="24"/>
          <w:highlight w:val="white"/>
          <w:lang w:val="en-US"/>
        </w:rPr>
      </w:pPr>
    </w:p>
    <w:tbl>
      <w:tblPr>
        <w:tblStyle w:val="2"/>
        <w:tblW w:w="4888" w:type="pct"/>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5"/>
        <w:gridCol w:w="642"/>
        <w:gridCol w:w="736"/>
        <w:gridCol w:w="259"/>
        <w:gridCol w:w="1118"/>
        <w:gridCol w:w="491"/>
        <w:gridCol w:w="805"/>
        <w:gridCol w:w="48"/>
        <w:gridCol w:w="1343"/>
        <w:gridCol w:w="641"/>
        <w:gridCol w:w="109"/>
        <w:gridCol w:w="981"/>
        <w:gridCol w:w="93"/>
        <w:gridCol w:w="9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401" w:type="pct"/>
            <w:gridSpan w:val="1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普通专项债付息（2320411）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1968"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c>
          <w:tcPr>
            <w:tcW w:w="80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629"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8"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57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74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80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3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62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62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7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13077.96</w:t>
            </w:r>
          </w:p>
        </w:tc>
        <w:tc>
          <w:tcPr>
            <w:tcW w:w="74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13077.96</w:t>
            </w:r>
          </w:p>
        </w:tc>
        <w:tc>
          <w:tcPr>
            <w:tcW w:w="80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13077.96</w:t>
            </w:r>
          </w:p>
        </w:tc>
        <w:tc>
          <w:tcPr>
            <w:tcW w:w="3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2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100.00%</w:t>
            </w:r>
          </w:p>
        </w:tc>
        <w:tc>
          <w:tcPr>
            <w:tcW w:w="62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7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13077.96</w:t>
            </w:r>
          </w:p>
        </w:tc>
        <w:tc>
          <w:tcPr>
            <w:tcW w:w="74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13077.96</w:t>
            </w:r>
          </w:p>
        </w:tc>
        <w:tc>
          <w:tcPr>
            <w:tcW w:w="80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13077.96</w:t>
            </w:r>
          </w:p>
        </w:tc>
        <w:tc>
          <w:tcPr>
            <w:tcW w:w="3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2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2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7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4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80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2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2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7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4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80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2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2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339"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432"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339"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根据自治区财政厅《关于改进自治区地方政府债券还本付息付费管理工作的通知》（新财预【2018】33号）和《关于调整资金调度机制的函》以及《关于改进地方政府债券还本付息付款管理工作的通知》（乌财预【2018】36号）等文件的要求，完成米东区偿还普通专项债付息13077.96万元的工作任务，切实承担起政府债务风险化解的属地责任，逐笔还清政府性债务，严格制定偿债计划，确报按时付息，逐步化解债务风险，防止债务违约，把政府债务的风险控制在合理的范围内。</w:t>
            </w:r>
          </w:p>
        </w:tc>
        <w:tc>
          <w:tcPr>
            <w:tcW w:w="2432"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根据自治区财政厅《关于改进自治区地方政府债券还本付息付费管理工作的通知》（新财预【2018】33号）和《关于调整资金调度机制的函》以及《关于改进地方政府债券还本付息付款管理工作的通知》（乌财预【2018】36号）等文件的要求，完成米东区偿还普通专项债付息13077.96万元的工作任务，切实承担起政府债务风险化解的属地责任，逐笔还清政府性债务，严格制定偿债计划，确报按时付息，逐步化解债务风险，防止债务违约，把政府债务的风险控制在合理的范围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42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078"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492"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77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433"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620"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57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078"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9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3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2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7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42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07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支付普通专项债利息次数</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=6次</w:t>
            </w:r>
          </w:p>
        </w:tc>
        <w:tc>
          <w:tcPr>
            <w:tcW w:w="7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6次</w:t>
            </w:r>
          </w:p>
        </w:tc>
        <w:tc>
          <w:tcPr>
            <w:tcW w:w="4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07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专项债付息资金到位率</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7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07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专项债付息及时率</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7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07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专项债利息支付期限</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&lt;=20个工作日</w:t>
            </w:r>
          </w:p>
        </w:tc>
        <w:tc>
          <w:tcPr>
            <w:tcW w:w="7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7个工作日</w:t>
            </w:r>
          </w:p>
        </w:tc>
        <w:tc>
          <w:tcPr>
            <w:tcW w:w="4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07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上半年支付利息数</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&lt;=6637.41万元</w:t>
            </w:r>
          </w:p>
        </w:tc>
        <w:tc>
          <w:tcPr>
            <w:tcW w:w="7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6637.41万元</w:t>
            </w:r>
          </w:p>
        </w:tc>
        <w:tc>
          <w:tcPr>
            <w:tcW w:w="4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07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下半年支付利息数</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&lt;=6440.55万元</w:t>
            </w:r>
          </w:p>
        </w:tc>
        <w:tc>
          <w:tcPr>
            <w:tcW w:w="7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6440.55万元</w:t>
            </w:r>
          </w:p>
        </w:tc>
        <w:tc>
          <w:tcPr>
            <w:tcW w:w="4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42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07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07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防止债务违约，落实政府主体责任</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有效防止</w:t>
            </w:r>
          </w:p>
        </w:tc>
        <w:tc>
          <w:tcPr>
            <w:tcW w:w="7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4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6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07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07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42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07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债权人满意度</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7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70" w:type="pct"/>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4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6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100.00分</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bl>
    <w:p>
      <w:pPr>
        <w:shd w:val="clear" w:color="auto" w:fill="FFFFFF"/>
        <w:spacing w:before="100" w:beforeLines="0" w:afterLines="0" w:line="520" w:lineRule="exact"/>
        <w:ind w:left="118" w:firstLine="480"/>
        <w:rPr>
          <w:rFonts w:hint="default" w:eastAsia="Times New Roman"/>
          <w:color w:val="auto"/>
          <w:kern w:val="0"/>
          <w:sz w:val="18"/>
          <w:szCs w:val="24"/>
          <w:highlight w:val="white"/>
          <w:lang w:val="en-US"/>
        </w:rPr>
      </w:pPr>
    </w:p>
    <w:tbl>
      <w:tblPr>
        <w:tblStyle w:val="2"/>
        <w:tblW w:w="4921" w:type="pct"/>
        <w:tblInd w:w="8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4"/>
        <w:gridCol w:w="615"/>
        <w:gridCol w:w="613"/>
        <w:gridCol w:w="614"/>
        <w:gridCol w:w="1173"/>
        <w:gridCol w:w="1104"/>
        <w:gridCol w:w="859"/>
        <w:gridCol w:w="478"/>
        <w:gridCol w:w="354"/>
        <w:gridCol w:w="232"/>
        <w:gridCol w:w="409"/>
        <w:gridCol w:w="900"/>
        <w:gridCol w:w="341"/>
        <w:gridCol w:w="6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421" w:type="pct"/>
            <w:gridSpan w:val="1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其他地方自行试点项目收益专项债券付息支出（2320498）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2009"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c>
          <w:tcPr>
            <w:tcW w:w="7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644"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578"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70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6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7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3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7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5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7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0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6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6516.16</w:t>
            </w:r>
          </w:p>
        </w:tc>
        <w:tc>
          <w:tcPr>
            <w:tcW w:w="6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6516.16</w:t>
            </w:r>
          </w:p>
        </w:tc>
        <w:tc>
          <w:tcPr>
            <w:tcW w:w="7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6516.16</w:t>
            </w:r>
          </w:p>
        </w:tc>
        <w:tc>
          <w:tcPr>
            <w:tcW w:w="3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100.00%</w:t>
            </w:r>
          </w:p>
        </w:tc>
        <w:tc>
          <w:tcPr>
            <w:tcW w:w="5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7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0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6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6516.16</w:t>
            </w:r>
          </w:p>
        </w:tc>
        <w:tc>
          <w:tcPr>
            <w:tcW w:w="6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6516.16</w:t>
            </w:r>
          </w:p>
        </w:tc>
        <w:tc>
          <w:tcPr>
            <w:tcW w:w="7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6516.16</w:t>
            </w:r>
          </w:p>
        </w:tc>
        <w:tc>
          <w:tcPr>
            <w:tcW w:w="3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7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7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0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6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7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7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0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6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7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362"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411"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362"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根据自治区财政厅《关于改进自治区地方政府债券还本付息付费管理工作的通知》（新财预【2018】33号）和《关于调整资金调度机制的函》以及《关于改进地方政府债券还本付息付款管理工作的通知》（乌财预【2018】36号）等文件的要求，完成米东区偿还其他地方自行试点项目收益专项债券付息支出6516.16万元的工作任务，切实承担起政府债务风险化解的属地责任，逐笔还清政府性债务，严格制定偿债计划，确报按时付息，逐步化解债务风险，防止债务违约，把政府债务的风险控制在合理的范围内，拉动米东区投资，促进米东区经济健康发展。</w:t>
            </w:r>
          </w:p>
        </w:tc>
        <w:tc>
          <w:tcPr>
            <w:tcW w:w="2411"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根据自治区财政厅《关于改进自治区地方政府债券还本付息付费管理工作的通知》（新财预【2018】33号）和《关于调整资金调度机制的函》以及《关于改进地方政府债券还本付息付款管理工作的通知》（乌财预【2018】36号）等文件的要求，完成米东区偿还其他地方自行试点项目收益专项债券付息支出6516.16万元的工作任务，切实承担起政府债务风险化解的属地责任，逐笔还清政府性债务，严格制定偿债计划，确报按时付息，逐步化解债务风险，防止债务违约，把政府债务的风险控制在合理的范围内，拉动米东区投资，促进米东区经济健康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35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658"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49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477"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367"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711"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36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658"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9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7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1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5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3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65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专项债券付息次数</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=8次</w:t>
            </w:r>
          </w:p>
        </w:tc>
        <w:tc>
          <w:tcPr>
            <w:tcW w:w="47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8次</w:t>
            </w:r>
          </w:p>
        </w:tc>
        <w:tc>
          <w:tcPr>
            <w:tcW w:w="3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3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65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专项债券付息资金到位率</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47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3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65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专项债券付息及时率</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47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3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65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专项债券利息上缴工作期限</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&lt;=20个工作日</w:t>
            </w:r>
          </w:p>
        </w:tc>
        <w:tc>
          <w:tcPr>
            <w:tcW w:w="47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7个工作日</w:t>
            </w:r>
          </w:p>
        </w:tc>
        <w:tc>
          <w:tcPr>
            <w:tcW w:w="3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3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65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上半年支付债券利息数</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&lt;=2928.6万元</w:t>
            </w:r>
          </w:p>
        </w:tc>
        <w:tc>
          <w:tcPr>
            <w:tcW w:w="47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3302.56万元</w:t>
            </w:r>
          </w:p>
        </w:tc>
        <w:tc>
          <w:tcPr>
            <w:tcW w:w="3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3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65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下半年支付债券利息数</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&lt;=3587.56万元</w:t>
            </w:r>
          </w:p>
        </w:tc>
        <w:tc>
          <w:tcPr>
            <w:tcW w:w="47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4699.13万元</w:t>
            </w:r>
          </w:p>
        </w:tc>
        <w:tc>
          <w:tcPr>
            <w:tcW w:w="3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3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3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65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7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65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防止债务违约，促进米东区经济健康发展</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有效防止</w:t>
            </w:r>
          </w:p>
        </w:tc>
        <w:tc>
          <w:tcPr>
            <w:tcW w:w="47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7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3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65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7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65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7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3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658"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债权人满意度</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47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3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58" w:type="pct"/>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3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7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100.00分</w:t>
            </w:r>
          </w:p>
        </w:tc>
        <w:tc>
          <w:tcPr>
            <w:tcW w:w="3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bl>
    <w:p>
      <w:pPr>
        <w:shd w:val="clear" w:color="auto" w:fill="FFFFFF"/>
        <w:spacing w:before="100" w:beforeLines="0" w:afterLines="0" w:line="520" w:lineRule="exact"/>
        <w:ind w:left="118" w:firstLine="480"/>
        <w:rPr>
          <w:rFonts w:hint="default" w:eastAsia="Times New Roman"/>
          <w:color w:val="auto"/>
          <w:kern w:val="0"/>
          <w:sz w:val="18"/>
          <w:szCs w:val="24"/>
          <w:highlight w:val="white"/>
          <w:lang w:val="en-US"/>
        </w:rPr>
      </w:pPr>
    </w:p>
    <w:tbl>
      <w:tblPr>
        <w:tblStyle w:val="2"/>
        <w:tblW w:w="4943" w:type="pct"/>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3"/>
        <w:gridCol w:w="612"/>
        <w:gridCol w:w="1118"/>
        <w:gridCol w:w="205"/>
        <w:gridCol w:w="789"/>
        <w:gridCol w:w="778"/>
        <w:gridCol w:w="846"/>
        <w:gridCol w:w="381"/>
        <w:gridCol w:w="464"/>
        <w:gridCol w:w="710"/>
        <w:gridCol w:w="218"/>
        <w:gridCol w:w="1104"/>
        <w:gridCol w:w="10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3"/>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3"/>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369"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其他自平衡专项债券付息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1650"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c>
          <w:tcPr>
            <w:tcW w:w="7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2018"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630"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7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4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7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26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2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12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373.97</w:t>
            </w:r>
          </w:p>
        </w:tc>
        <w:tc>
          <w:tcPr>
            <w:tcW w:w="4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373.97</w:t>
            </w:r>
          </w:p>
        </w:tc>
        <w:tc>
          <w:tcPr>
            <w:tcW w:w="7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373.97</w:t>
            </w:r>
          </w:p>
        </w:tc>
        <w:tc>
          <w:tcPr>
            <w:tcW w:w="26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2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100.00%</w:t>
            </w:r>
          </w:p>
        </w:tc>
        <w:tc>
          <w:tcPr>
            <w:tcW w:w="12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373.97</w:t>
            </w:r>
          </w:p>
        </w:tc>
        <w:tc>
          <w:tcPr>
            <w:tcW w:w="4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373.97</w:t>
            </w:r>
          </w:p>
        </w:tc>
        <w:tc>
          <w:tcPr>
            <w:tcW w:w="7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373.97</w:t>
            </w:r>
          </w:p>
        </w:tc>
        <w:tc>
          <w:tcPr>
            <w:tcW w:w="26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2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12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26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2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12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26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2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12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8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1999"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718"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8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999"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根据自治区财政厅《关于改进自治区地方政府债券还本付息付费管理工作的通知》（新财预【2018】33号）和《关于调整资金调度机制的函》以及《关于改进地方政府债券还本付息付款管理工作的通知》（乌财预【2018】36号）等文件的要求，完成米东区偿还其他自平衡专项债券付息373.97万元的工作任务，切实承担起政府债务风险化解的属地责任，逐笔还清政府性债务，严格制定偿债计划，确报按时付息，逐步化解债务风险，防止债务违约，把政府债务的风险控制在合理的范围内，促进米东区经济健康发展。</w:t>
            </w:r>
          </w:p>
        </w:tc>
        <w:tc>
          <w:tcPr>
            <w:tcW w:w="2718"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根据自治区财政厅《关于改进自治区地方政府债券还本付息付费管理工作的通知》（新财预【2018】33号）和《关于调整资金调度机制的函》以及《关于改进地方政府债券还本付息付款管理工作的通知》（乌财预【2018】36号）等文件的要求，完成米东区偿还其他自平衡专项债券付息373.97万元的工作任务，切实承担起政府债务风险化解的属地责任，逐笔还清政府性债务，严格制定偿债计划，确报按时付息，逐步化解债务风险，防止债务违约，把政府债务的风险控制在合理的范围内，促进米东区经济健康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8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63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011"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48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482"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40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754"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59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8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3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011"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8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8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54"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8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4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0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支付专项债券利息次数</w:t>
            </w:r>
          </w:p>
        </w:tc>
        <w:tc>
          <w:tcPr>
            <w:tcW w:w="4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=1次</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1次</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8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0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专项债券付息金额</w:t>
            </w:r>
          </w:p>
        </w:tc>
        <w:tc>
          <w:tcPr>
            <w:tcW w:w="4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=373.97万元</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373.97万元</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8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0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专项债券付息资金到位率</w:t>
            </w:r>
          </w:p>
        </w:tc>
        <w:tc>
          <w:tcPr>
            <w:tcW w:w="4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8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0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专项债券付息及时率</w:t>
            </w:r>
          </w:p>
        </w:tc>
        <w:tc>
          <w:tcPr>
            <w:tcW w:w="4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8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0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专项债券利息上缴工作期限</w:t>
            </w:r>
          </w:p>
        </w:tc>
        <w:tc>
          <w:tcPr>
            <w:tcW w:w="4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&lt;=20个工作日</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7个工作日</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8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0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预算控制率</w:t>
            </w:r>
          </w:p>
        </w:tc>
        <w:tc>
          <w:tcPr>
            <w:tcW w:w="4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&lt;=100%</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8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0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4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8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0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防止债务违约，维护政府公信力</w:t>
            </w:r>
          </w:p>
        </w:tc>
        <w:tc>
          <w:tcPr>
            <w:tcW w:w="4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有效防止</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7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5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8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0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4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8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0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4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8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01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债权人满意度</w:t>
            </w:r>
          </w:p>
        </w:tc>
        <w:tc>
          <w:tcPr>
            <w:tcW w:w="4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246" w:type="pct"/>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7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100.00分</w:t>
            </w:r>
          </w:p>
        </w:tc>
        <w:tc>
          <w:tcPr>
            <w:tcW w:w="5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bl>
    <w:p>
      <w:pPr>
        <w:shd w:val="clear" w:color="auto" w:fill="FFFFFF"/>
        <w:spacing w:before="100" w:beforeLines="0" w:afterLines="0" w:line="520" w:lineRule="exact"/>
        <w:ind w:left="118" w:firstLine="480"/>
        <w:rPr>
          <w:rFonts w:hint="default" w:eastAsia="Times New Roman"/>
          <w:color w:val="auto"/>
          <w:kern w:val="0"/>
          <w:sz w:val="18"/>
          <w:szCs w:val="24"/>
          <w:highlight w:val="white"/>
          <w:lang w:val="en-US"/>
        </w:rPr>
      </w:pPr>
    </w:p>
    <w:tbl>
      <w:tblPr>
        <w:tblStyle w:val="2"/>
        <w:tblW w:w="4949" w:type="pct"/>
        <w:tblInd w:w="8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62"/>
        <w:gridCol w:w="592"/>
        <w:gridCol w:w="655"/>
        <w:gridCol w:w="1029"/>
        <w:gridCol w:w="756"/>
        <w:gridCol w:w="806"/>
        <w:gridCol w:w="988"/>
        <w:gridCol w:w="130"/>
        <w:gridCol w:w="845"/>
        <w:gridCol w:w="21"/>
        <w:gridCol w:w="797"/>
        <w:gridCol w:w="240"/>
        <w:gridCol w:w="1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3"/>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3"/>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71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284"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委托审计工作经费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1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1851"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c>
          <w:tcPr>
            <w:tcW w:w="6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795"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15"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96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6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4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84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1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6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4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200.00</w:t>
            </w: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200.00</w:t>
            </w:r>
          </w:p>
        </w:tc>
        <w:tc>
          <w:tcPr>
            <w:tcW w:w="6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167.40</w:t>
            </w: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83.70%</w:t>
            </w:r>
          </w:p>
        </w:tc>
        <w:tc>
          <w:tcPr>
            <w:tcW w:w="84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8.37分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1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6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4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200.00</w:t>
            </w: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200.00</w:t>
            </w:r>
          </w:p>
        </w:tc>
        <w:tc>
          <w:tcPr>
            <w:tcW w:w="6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167.40</w:t>
            </w: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84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1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6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4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84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1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6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4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6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84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189"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433"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189"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本着独立、客观、公正、实事求是的审计原则，本年度我局拟对我区已完成的项目委托第三方具有审计咨询资质的单位进行审计，确保项目的竣工和资金的支付及时有效。</w:t>
            </w:r>
          </w:p>
        </w:tc>
        <w:tc>
          <w:tcPr>
            <w:tcW w:w="2433"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本着独立、客观、公正、实事求是的审计原则，本年度我局拟对我区已完成的项目委托第三方具有审计咨询资质的单位进行审计，确保项目的竣工和资金的支付及时有效。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37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018"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45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56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568"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91"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71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01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5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8"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1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3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01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审计项目个数</w:t>
            </w: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&gt;=6个</w:t>
            </w:r>
          </w:p>
        </w:tc>
        <w:tc>
          <w:tcPr>
            <w:tcW w:w="5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6个</w:t>
            </w:r>
          </w:p>
        </w:tc>
        <w:tc>
          <w:tcPr>
            <w:tcW w:w="56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01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审计单位入场人数</w:t>
            </w: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&gt;=3人</w:t>
            </w:r>
          </w:p>
        </w:tc>
        <w:tc>
          <w:tcPr>
            <w:tcW w:w="5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3个</w:t>
            </w:r>
          </w:p>
        </w:tc>
        <w:tc>
          <w:tcPr>
            <w:tcW w:w="56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01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审计准确率</w:t>
            </w: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6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01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公用经费支付及时率</w:t>
            </w: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&gt;=95%</w:t>
            </w:r>
          </w:p>
        </w:tc>
        <w:tc>
          <w:tcPr>
            <w:tcW w:w="5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95%</w:t>
            </w:r>
          </w:p>
        </w:tc>
        <w:tc>
          <w:tcPr>
            <w:tcW w:w="56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01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预算控制率</w:t>
            </w: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&lt;=100%</w:t>
            </w:r>
          </w:p>
        </w:tc>
        <w:tc>
          <w:tcPr>
            <w:tcW w:w="5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6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01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节约政府资金</w:t>
            </w: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有效节约</w:t>
            </w:r>
          </w:p>
        </w:tc>
        <w:tc>
          <w:tcPr>
            <w:tcW w:w="5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56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7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01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提高公共服务水平</w:t>
            </w: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有效提高</w:t>
            </w:r>
          </w:p>
        </w:tc>
        <w:tc>
          <w:tcPr>
            <w:tcW w:w="5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56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7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01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01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3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018"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评审单位满意度</w:t>
            </w: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5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6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30"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56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98.37分</w:t>
            </w:r>
          </w:p>
        </w:tc>
        <w:tc>
          <w:tcPr>
            <w:tcW w:w="7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bl>
    <w:p>
      <w:pPr>
        <w:shd w:val="clear" w:color="auto" w:fill="FFFFFF"/>
        <w:spacing w:before="100" w:beforeLines="0" w:afterLines="0" w:line="520" w:lineRule="exact"/>
        <w:ind w:left="118" w:firstLine="480"/>
        <w:rPr>
          <w:rFonts w:hint="default" w:eastAsia="Times New Roman"/>
          <w:color w:val="auto"/>
          <w:kern w:val="0"/>
          <w:sz w:val="18"/>
          <w:szCs w:val="24"/>
          <w:highlight w:val="white"/>
          <w:lang w:val="en-US"/>
        </w:rPr>
      </w:pPr>
    </w:p>
    <w:tbl>
      <w:tblPr>
        <w:tblStyle w:val="2"/>
        <w:tblW w:w="4949" w:type="pct"/>
        <w:tblInd w:w="8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83"/>
        <w:gridCol w:w="703"/>
        <w:gridCol w:w="655"/>
        <w:gridCol w:w="735"/>
        <w:gridCol w:w="914"/>
        <w:gridCol w:w="886"/>
        <w:gridCol w:w="656"/>
        <w:gridCol w:w="313"/>
        <w:gridCol w:w="799"/>
        <w:gridCol w:w="47"/>
        <w:gridCol w:w="640"/>
        <w:gridCol w:w="600"/>
        <w:gridCol w:w="426"/>
        <w:gridCol w:w="9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405"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270"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67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323" w:type="pct"/>
            <w:gridSpan w:val="1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一般债付息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67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1819"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c>
          <w:tcPr>
            <w:tcW w:w="55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951"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米东区财政局机关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676"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7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2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5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55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7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76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676"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52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7292.50</w:t>
            </w:r>
          </w:p>
        </w:tc>
        <w:tc>
          <w:tcPr>
            <w:tcW w:w="5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7292.50</w:t>
            </w:r>
          </w:p>
        </w:tc>
        <w:tc>
          <w:tcPr>
            <w:tcW w:w="55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7292.50</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100.00%</w:t>
            </w:r>
          </w:p>
        </w:tc>
        <w:tc>
          <w:tcPr>
            <w:tcW w:w="76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676"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52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7292.50</w:t>
            </w:r>
          </w:p>
        </w:tc>
        <w:tc>
          <w:tcPr>
            <w:tcW w:w="5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7292.50</w:t>
            </w:r>
          </w:p>
        </w:tc>
        <w:tc>
          <w:tcPr>
            <w:tcW w:w="55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7292.50</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7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76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676"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52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5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7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76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676"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52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5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7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76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27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220"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503"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2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220"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根据自治区财政厅《关于改进自治区地方政府债券还本付息付费管理工作的通知》（新财预【2018】33号）和《关于调整资金调度机制的函》以及《关于改进地方政府债券还本付息付款管理工作的通知》（乌财预【2018】36号）等文件的要求，完成米东区偿还一般债付息7392.50万元的工作任务，切实承担起政府债务风险化解的属地责任，逐笔还清政府性债务，严格制定偿债计划，确报按时付息，逐步化解债务风险，防止债务违约，把政府债务的风险控制在合理的范围内。</w:t>
            </w:r>
          </w:p>
        </w:tc>
        <w:tc>
          <w:tcPr>
            <w:tcW w:w="2503"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根据自治区财政厅《关于改进自治区地方政府债券还本付息付费管理工作的通知》（新财预【2018】33号）和《关于调整资金调度机制的函》以及《关于改进地方政府债券还本付息付款管理工作的通知》（乌财预【2018】36号）等文件的要求，完成米东区偿还一般债付息7392.50万元的工作任务，切实承担起政府债务风险化解的属地责任，逐笔还清政府性债务，严格制定偿债计划，确报按时付息，逐步化解债务风险，防止债务违约，把政府债务的风险控制在合理的范围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27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37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445"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374"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634"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391"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85"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51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2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445"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34"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8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27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40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445"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支付一般债券利息次数</w:t>
            </w: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=10次</w:t>
            </w:r>
          </w:p>
        </w:tc>
        <w:tc>
          <w:tcPr>
            <w:tcW w:w="63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10次</w:t>
            </w:r>
          </w:p>
        </w:tc>
        <w:tc>
          <w:tcPr>
            <w:tcW w:w="3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2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445"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一般债付息资金到位率</w:t>
            </w: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63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2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445"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一般债付息及时率</w:t>
            </w: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63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2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445"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一般债券利息上缴工作期限</w:t>
            </w: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&lt;=7工作日</w:t>
            </w:r>
          </w:p>
        </w:tc>
        <w:tc>
          <w:tcPr>
            <w:tcW w:w="63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7工作日</w:t>
            </w:r>
          </w:p>
        </w:tc>
        <w:tc>
          <w:tcPr>
            <w:tcW w:w="3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2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445"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上半年支付一般债券利息数</w:t>
            </w: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&lt;=3612.54万元</w:t>
            </w:r>
          </w:p>
        </w:tc>
        <w:tc>
          <w:tcPr>
            <w:tcW w:w="63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3612.54万元</w:t>
            </w:r>
          </w:p>
        </w:tc>
        <w:tc>
          <w:tcPr>
            <w:tcW w:w="3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2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445"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下半年支付一般债券利息数</w:t>
            </w: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&lt;=3779.96万元</w:t>
            </w:r>
          </w:p>
        </w:tc>
        <w:tc>
          <w:tcPr>
            <w:tcW w:w="63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3779.96万元</w:t>
            </w:r>
          </w:p>
        </w:tc>
        <w:tc>
          <w:tcPr>
            <w:tcW w:w="3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2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445"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3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2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445"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确保按时付息，防止债务违约</w:t>
            </w: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有效防止</w:t>
            </w:r>
          </w:p>
        </w:tc>
        <w:tc>
          <w:tcPr>
            <w:tcW w:w="63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5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5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2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445"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3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2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445"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3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2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445"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债权人满意度</w:t>
            </w: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63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96" w:hRule="atLeast"/>
        </w:trPr>
        <w:tc>
          <w:tcPr>
            <w:tcW w:w="3504" w:type="pct"/>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3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100.00分</w:t>
            </w:r>
          </w:p>
        </w:tc>
        <w:tc>
          <w:tcPr>
            <w:tcW w:w="5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bl>
    <w:p>
      <w:pPr>
        <w:shd w:val="clear" w:color="auto" w:fill="FFFFFF"/>
        <w:spacing w:before="100" w:beforeLines="0" w:after="240" w:afterLines="0"/>
        <w:jc w:val="center"/>
        <w:rPr>
          <w:rFonts w:hint="default" w:eastAsia="Times New Roman"/>
          <w:b/>
          <w:color w:val="auto"/>
          <w:kern w:val="0"/>
          <w:sz w:val="28"/>
          <w:szCs w:val="24"/>
          <w:lang w:val="en-US"/>
        </w:rPr>
      </w:pPr>
      <w:r>
        <w:rPr>
          <w:rFonts w:hint="eastAsia" w:ascii="黑体" w:hAnsi="黑体" w:eastAsia="黑体"/>
          <w:color w:val="auto"/>
          <w:kern w:val="0"/>
          <w:sz w:val="32"/>
          <w:szCs w:val="24"/>
          <w:lang w:val="en-US"/>
        </w:rPr>
        <w:t>第三部分 专业名词解释</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财政拨款收入：指同级财政当年拨付的资金。</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对附属单位补助支出：指事业单位发生的用非财政预算资金对附属单位的补助支出。</w:t>
      </w:r>
    </w:p>
    <w:p>
      <w:pPr>
        <w:spacing w:beforeLines="0" w:afterLines="0"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eastAsia" w:ascii="仿宋_GB2312" w:hAnsi="仿宋_GB2312" w:eastAsia="仿宋_GB2312"/>
          <w:color w:val="auto"/>
          <w:sz w:val="32"/>
          <w:szCs w:val="24"/>
          <w:lang w:val="en-US"/>
        </w:rPr>
      </w:pPr>
      <w:r>
        <w:rPr>
          <w:rFonts w:hint="eastAsia" w:ascii="仿宋_GB2312" w:hAnsi="仿宋_GB2312" w:eastAsia="仿宋_GB2312"/>
          <w:color w:val="auto"/>
          <w:sz w:val="32"/>
          <w:szCs w:val="24"/>
          <w:lang w:val="en-US"/>
        </w:rPr>
        <w:t>机关运行经费：行政单位和参照公务员法管理的事业单位财政拨款基本支出中的公用经费支出。</w:t>
      </w:r>
    </w:p>
    <w:p>
      <w:pPr>
        <w:rPr>
          <w:rFonts w:hint="eastAsia" w:ascii="仿宋_GB2312" w:hAnsi="仿宋_GB2312" w:eastAsia="仿宋_GB2312"/>
          <w:color w:val="auto"/>
          <w:sz w:val="32"/>
          <w:szCs w:val="24"/>
          <w:lang w:val="en-US"/>
        </w:rPr>
      </w:pPr>
      <w:r>
        <w:rPr>
          <w:rFonts w:hint="eastAsia" w:ascii="仿宋_GB2312" w:hAnsi="仿宋_GB2312" w:eastAsia="仿宋_GB2312"/>
          <w:color w:val="auto"/>
          <w:sz w:val="32"/>
          <w:szCs w:val="24"/>
          <w:lang w:val="en-US"/>
        </w:rPr>
        <w:br w:type="page"/>
      </w:r>
    </w:p>
    <w:p>
      <w:pPr>
        <w:shd w:val="clear" w:color="auto" w:fill="FFFFFF"/>
        <w:spacing w:before="100" w:beforeLines="0" w:after="240" w:afterLines="0"/>
        <w:jc w:val="center"/>
        <w:rPr>
          <w:rFonts w:hint="default" w:eastAsia="Times New Roman"/>
          <w:color w:val="auto"/>
          <w:kern w:val="0"/>
          <w:sz w:val="32"/>
          <w:szCs w:val="24"/>
          <w:lang w:val="en-US"/>
        </w:rPr>
      </w:pPr>
      <w:r>
        <w:rPr>
          <w:rFonts w:hint="eastAsia" w:ascii="黑体" w:hAnsi="黑体" w:eastAsia="黑体"/>
          <w:color w:val="auto"/>
          <w:kern w:val="0"/>
          <w:sz w:val="32"/>
          <w:szCs w:val="24"/>
          <w:lang w:val="en-US"/>
        </w:rPr>
        <w:t>第四部分 部门决算报表（见附表）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一、《收入支出决算总表》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二、《收入决算表》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三、《支出决算表》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四、《财政拨款收入支出决算总表》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五、《一般公共预算财政拨款支出决算表》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六、《一般公共预算财政拨款基本支出决算表》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七、《财政拨款“三公”经费支出决算表》</w:t>
      </w:r>
    </w:p>
    <w:p>
      <w:pPr>
        <w:spacing w:beforeLines="0" w:afterLines="0"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en-US"/>
        </w:rPr>
        <w:t>八、《政府性基金预算财政拨款收入支出决算表》</w:t>
      </w:r>
    </w:p>
    <w:p>
      <w:pPr>
        <w:spacing w:beforeLines="0" w:afterLines="0"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zh-CN"/>
        </w:rPr>
        <w:t>九</w:t>
      </w:r>
      <w:r>
        <w:rPr>
          <w:rFonts w:hint="eastAsia" w:ascii="黑体" w:hAnsi="黑体" w:eastAsia="黑体"/>
          <w:color w:val="auto"/>
          <w:sz w:val="32"/>
          <w:szCs w:val="24"/>
          <w:lang w:val="en-US"/>
        </w:rPr>
        <w:t>、《国有资本经营预算财政拨款收入支出决算表》</w:t>
      </w:r>
    </w:p>
    <w:p>
      <w:pPr>
        <w:spacing w:beforeLines="0" w:afterLines="0"/>
        <w:jc w:val="left"/>
        <w:rPr>
          <w:rFonts w:hint="default" w:eastAsia="Times New Roman"/>
          <w:color w:val="auto"/>
          <w:kern w:val="36"/>
          <w:sz w:val="40"/>
          <w:szCs w:val="24"/>
          <w:lang w:val="zh-CN"/>
        </w:rPr>
      </w:pPr>
    </w:p>
    <w:p>
      <w:pPr>
        <w:spacing w:beforeLines="0" w:afterLines="0"/>
        <w:rPr>
          <w:rFonts w:hint="default" w:eastAsia="Times New Roman"/>
          <w:color w:val="auto"/>
          <w:sz w:val="21"/>
          <w:szCs w:val="24"/>
          <w:lang w:val="en-US"/>
        </w:rPr>
      </w:pPr>
    </w:p>
    <w:p>
      <w:pPr>
        <w:spacing w:beforeLines="0" w:afterLines="0"/>
        <w:jc w:val="left"/>
        <w:rPr>
          <w:rFonts w:hint="default" w:eastAsia="Times New Roman"/>
          <w:color w:val="auto"/>
          <w:kern w:val="36"/>
          <w:sz w:val="40"/>
          <w:szCs w:val="24"/>
          <w:lang w:val="zh-CN"/>
        </w:rPr>
      </w:pPr>
    </w:p>
    <w:p>
      <w:pPr>
        <w:spacing w:beforeLines="0" w:afterLines="0"/>
        <w:rPr>
          <w:rFonts w:hint="default" w:eastAsia="Times New Roman"/>
          <w:color w:val="auto"/>
          <w:sz w:val="21"/>
          <w:szCs w:val="24"/>
          <w:lang w:val="en-US"/>
        </w:rPr>
      </w:pPr>
    </w:p>
    <w:p>
      <w:pPr>
        <w:spacing w:beforeLines="0" w:afterLines="0"/>
        <w:jc w:val="left"/>
        <w:rPr>
          <w:rFonts w:hint="default" w:eastAsia="Times New Roman"/>
          <w:color w:val="auto"/>
          <w:kern w:val="36"/>
          <w:sz w:val="40"/>
          <w:szCs w:val="24"/>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57EE0358"/>
    <w:rsid w:val="75895F34"/>
    <w:rsid w:val="78EF0E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spacing w:beforeLines="0" w:afterLines="0"/>
      <w:jc w:val="both"/>
    </w:pPr>
    <w:rPr>
      <w:rFonts w:hint="default" w:ascii="Times New Roman" w:hAnsi="Times New Roman" w:eastAsia="宋体" w:cs="Times New Roman"/>
      <w:kern w:val="2"/>
      <w:sz w:val="21"/>
      <w:szCs w:val="24"/>
    </w:rPr>
  </w:style>
  <w:style w:type="character" w:default="1" w:styleId="3">
    <w:name w:val="Default Paragraph Font"/>
    <w:unhideWhenUsed/>
    <w:uiPriority w:val="99"/>
    <w:rPr>
      <w:rFonts w:hint="default"/>
      <w:sz w:val="24"/>
      <w:szCs w:val="24"/>
    </w:rPr>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28</Pages>
  <Words>13242</Words>
  <Characters>15218</Characters>
  <TotalTime>15</TotalTime>
  <ScaleCrop>false</ScaleCrop>
  <LinksUpToDate>false</LinksUpToDate>
  <CharactersWithSpaces>15229</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2023-08-24T07:25:00Z</dcterms:created>
  <dc:creator>asus</dc:creator>
  <cp:lastModifiedBy>逐梦令</cp:lastModifiedBy>
  <dcterms:modified xsi:type="dcterms:W3CDTF">2023-08-31T08:05:24Z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FC01054AABE046229622CE670CBEE5F2_13</vt:lpwstr>
  </property>
</Properties>
</file>