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农村金融机构定向费用补贴</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米东区财政局机关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米东区财政局机关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方成</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2023年05月26日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乌鲁木齐米东浦发村镇银行上报米东区财政局《关于2019年度普惠金融发展定向费用补贴资金的请示》（米村银发[2020]14号），经财政部驻新疆财政监察专员办事处审核后，核定乌鲁木齐米东浦发村镇银行普惠金融发展专项资金补贴全部为741.09万元。根据中央财政拨付计划，我单位于2021年末上报《关于拨付金融机构普惠金融发展专项资金的请示》（米村银发[2021]145号）文，申请将金融机构定向费用补贴剩余项目资金拨付到位。</w:t>
        <w:br/>
        <w:t>经《关于提前下达中央财政（直达资金）2022年普惠金融发展专项资金预算的通知》（乌财金[2021]25号）文件批准，该项目系2022年中央预算资金，共安排预算120.36万元。该项目于2022年追加预算批复，资金已经到位且支付完毕，年中未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为支持农村金融组织体系建设，扩大农村金融服务覆盖面。为支持米东区当地经济发展，乌鲁木齐米东浦发村镇银行把吸收的资金基本全部用于贷款的投放，为我行和支行增强了抵抗风险的能力和为广大中小微、农户服务的资本。</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（1）绩效评价的对象：农村金融机构定向费用补贴项目 </w:t>
        <w:br/>
        <w:t>（2）绩效评价范围：</w:t>
        <w:br/>
        <w:t>1.项目范围：农村金融机构定向费用补贴项目的完成情况、资金投入的运行情况、项目实施后产生的绩效及影响效果。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根据本项目（农村金融机构定向费用补贴项目）的特点，本次评价主要采用比较法和公众评判法，对项目总预算和明细预算的内容、标准、计划是否经济合理进行深入分析，以考察实际产出和效益是否达到预期。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结合项目特点，制定符合项目实际的绩效评价指标体系及评分标准，通过数据采集、问卷调查及访谈等形式，对农村金融机构定向费用补贴项目进行客观评价，最终评分结果为：总分为100分，绩效评级为“优”</w:t>
        <w:br/>
        <w:t>（二）主要绩效</w:t>
        <w:br/>
        <w:t>该项目资金区财政及时拨付，单位在此次评价期间内，有序完成设定目标的部分任务。</w:t>
        <w:br/>
        <w:t>（1）定向费用补贴资金的注入,增加了农村金融机构的收入,会增强了村镇银行资金的流动性，为村镇银行平衡资金起到重大作用。</w:t>
        <w:br/>
        <w:t>（2）通过定向费用补贴政策资金的注入，极大地调动农村金融机构将更多的信贷资金投向“三农”的积极性。使农村金融机构本着着力“三农”、倾情“三农”，与企业同呼吸、共命运，提供政策、信息，实现政府、银行、企业的多赢。</w:t>
        <w:br/>
        <w:t>（3）定向费用补贴政策资金的注入,解决了部分乡镇无金融服务点的局面，为新开办分支机构及自助银行解决了资金问题，充分满足了农牧民信贷资金需求，使支农工作重点进一步深入，同时也极大地调动了村镇银行为“三农”服务的积极性。拓宽了涉农贷款范围,从传统种养殖业拓展到农业、农副产品加工和流通、消费领域,提高了农民收入,突出了支农特色，极大地支持了当地三农经济的发展。</w:t>
        <w:br/>
        <w:t>（4）通过财政补贴政策资金的注入，增加我行计提贷款专项准备金、一般存款准备金的资金途径，为我行更好的防范风险奠定了基础。</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本项目极大调动农村金融机构将更多的信贷资金投向“三农”的积极性。本项目使农村金融机构本着着力“三农”、倾情“三农”，与企业同呼吸、共命运，提供政策、信息，实现政府、银行、企业的多赢，本项目资金已经全部投放贷款。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根据《普惠金融发展专项资金管理办法》（财金[2016]85号）文件中相关规定，对西部基础金融服务薄弱地区的银行业金融机构（网点），财政部门可按照不超过其当年贷款平均余额的2%给予费用补贴。此项目资金分配具有科学合理的依据，故预算编制科学性指标得分3分。</w:t>
        <w:br/>
        <w:t>资金分配合理性：根据《普惠金融发展专项资金管理办法》（财</w:t>
        <w:br/>
        <w:t>金〔2019〕96号）文件精神，该部分资金根据我单位贷款投放量计算，可以完全投放到涉农贷款和小微企业贷款中。此项目资金分配具有科学合理的依据，故资金分配合理性指标得分3分。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资金到位率：目标值100%。该项目资金由财政拨付，在2022年7月20日到位，资金到位数为资金直接支付到乌鲁木齐米东浦发村镇银行账户。资金到位率100%，故资金到位率指标得分100分。</w:t>
        <w:br/>
        <w:t>预算执行率：目标值100%。该项目资金由财政拨付，在2022年7月20日到位，资金直接支付到乌鲁木齐米东浦发村镇银行账户，预算执行率100%，故预算执行率得分为100分。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管理制度健全性：米东区财政局已制定相应的财务和业务管理制度，且制度合法、合规、完整，为项目顺利实施提供重要保障。故管理制度健全性得分为3分。</w:t>
        <w:br/>
        <w:t>制度执行有效性：根据现场调研和资料抽查情况，米东浦发村镇银行严格遵守相关法律法规和相关管理规定，项目调整及支出调整手续完备，整体管理合理有序，项目完成后，及时将会计凭证、支付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项目产出指标由5个指标构成，权重为45分，实际得分45分。</w:t>
        <w:br/>
        <w:t>1.产出数量</w:t>
        <w:br/>
        <w:t>新增基础薄弱地区金融服务网点，目标值为1个，依据本项目涉及的支付凭证，实际完成值为1个，指标完成率为100%，得分10分。</w:t>
        <w:br/>
        <w:t>2.产出质量</w:t>
        <w:br/>
        <w:t>农村金融机构定向费用补贴管理制度健全，目标值管理规范，依据关于修订发布《普惠金融发展专项资金管理办法》的通知（财金</w:t>
        <w:br/>
        <w:t>〔2019〕96号）文件，本指标完成值为完全达到预期效果，指标完成率100%，指标得分10分。</w:t>
        <w:br/>
        <w:t>3.产出时效</w:t>
        <w:br/>
        <w:t>县市配套资金及时到位率，2022年7月米东区财政局及时将资金打入我单位，且资金能够应用到贷款投放。指标完成率100%，指标得分为10分。</w:t>
        <w:br/>
        <w:t>、   上级资金拨付及时到位率，2022年7月米东区财政局及时将资金打入我单位，且资金能够应用到贷款投放。指标完成率100%，指标得分为5分。</w:t>
        <w:br/>
        <w:t></w:t>
        <w:br/>
        <w:t>5.成本指标：定向费用补贴资金数，目标值≤120.36万元，2022年7月米东区财政局及时将资金打入我单位，资金执行数为120.36万元，且资金能够应用到贷款投放。指标完成率100%，指标得分为10分。</w:t>
        <w:br/>
        <w:t>综上，该指标满分45分，得分45分。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项目效益指标由1个二级指标和2个三级指标构成，权重为20分，实际得分20分。 </w:t>
        <w:br/>
        <w:t>1.项目效益</w:t>
        <w:br/>
        <w:t>（1）实施效益</w:t>
        <w:br/>
        <w:t>经济效益指标：不适用。 </w:t>
        <w:br/>
        <w:t>社会效益指标：评价指标“增强银行抗风险能力”，指标值：有效增强，实际完成值：完全达到预期效果。本项目的实施为乌鲁木齐米东浦发村镇银行增强了抵抗风险的能力和为广大中小微、农户服务的资本。</w:t>
        <w:br/>
        <w:t>生态效益指标：不适用。</w:t>
        <w:br/>
        <w:t>可持续影响指标：不适用。</w:t>
        <w:br/>
        <w:t></w:t>
        <w:br/>
        <w:t>综上，该指标满分10分，得分10分。</w:t>
        <w:br/>
        <w:t>2. 满意度指标完成情况分析</w:t>
        <w:br/>
        <w:t>（1）满意度指标</w:t>
        <w:br/>
        <w:t>群众满意度：评价指标“服务对象满意度指标”，指标值：≥90%，实际完成值：90%。通过设置问卷调查的方式进行考评评价，共计调查样本总量为20个样本，有效调查问卷20份。其中，统计“服务对象满意度指标”的平均值为20%。故满意度指标得分为10分。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1.严格遵照监管要求，坚守“支农支小”市场定位，坚持“小额分散”经营原则，在发展中以特色化经营解决生存问题。在特色经营方面，重点通过批量化获客、特色产品、贴心服务、高效来满足当地客户需求，同时不断吸纳、黏住一批与我行需求相匹配的客群。</w:t>
        <w:br/>
        <w:t>2. 品牌优势。“金杯银杯不如百姓的口碑”，通过长期立足于米东开展“农小”信贷业务，特别是信用村业务的推广，在米东区各乡村已经拥有了一定的口碑，浦发村镇银行信用村品牌也初步显现，后期我行信用村品牌的影响力也将不断增强。</w:t>
        <w:br/>
        <w:t>3. 坚守“小额分散”经营原则。在业务方面重点以发展涉农和小微业务为主，并作为我行经营范围和客群选择区域，同时在业务经营中充分体现了“小额分散”经营原则。通过批量获客、信用村、园区等规划的客户视图，在此期间，重点推进特色产品，用特色产品吸引客户，在夹缝中求得我行的生存空间。通过信用村、“惠棉贷”等特色产品为我行带来了一大批符合监管要求的客群，也为我行在存贷款业务稳步发展夯实了基础。</w:t>
        <w:br/>
        <w:t>（二）存在的问题及原因分析</w:t>
        <w:br/>
        <w:t>一是在申请及拨付专项资金的过程中，由于财政资金紧缺和审核人员的较少，资金拨付基本在下半年。一年之计在于春，希望财政人员能否集中加快审核速度，尽快给企业拨付到位，或者采取预拨一些补贴资金。</w:t>
        <w:br/>
        <w:t>二是申请来的专项补贴资金，能否以财政部的名义和税务局沟通，这块资金收入免征企业所得税，否则基本进账的财政补贴直接就需缴纳15％的所得税。</w:t>
        <w:br/>
        <w:t>三是经济下行期间，新成立的中小农村金融机构本来自身盈利能力和抗风险能力就有限，对于定向费用补贴能否延长享受期限，由5年增加到10年。</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