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hd w:val="clear" w:color="auto" w:fill="FFFFFF"/>
        <w:autoSpaceDE w:val="0"/>
        <w:autoSpaceDN w:val="0"/>
        <w:adjustRightInd w:val="0"/>
        <w:spacing w:before="240" w:after="240"/>
        <w:jc w:val="center"/>
        <w:rPr>
          <w:rFonts w:hint="default" w:ascii="Times New Roman"/>
          <w:kern w:val="36"/>
          <w:sz w:val="40"/>
          <w:szCs w:val="40"/>
          <w:lang w:val="zh-CN"/>
        </w:rPr>
      </w:pPr>
    </w:p>
    <w:p>
      <w:pPr>
        <w:shd w:val="clear" w:color="auto" w:fill="FFFFFF"/>
        <w:autoSpaceDE w:val="0"/>
        <w:autoSpaceDN w:val="0"/>
        <w:adjustRightInd w:val="0"/>
        <w:spacing w:before="240" w:after="240"/>
        <w:jc w:val="center"/>
        <w:rPr>
          <w:rFonts w:hint="default" w:ascii="Times New Roman"/>
          <w:kern w:val="36"/>
          <w:sz w:val="40"/>
          <w:szCs w:val="40"/>
          <w:lang w:val="zh-CN"/>
        </w:rPr>
      </w:pPr>
    </w:p>
    <w:p>
      <w:pPr>
        <w:autoSpaceDE w:val="0"/>
        <w:autoSpaceDN w:val="0"/>
        <w:adjustRightInd w:val="0"/>
        <w:jc w:val="center"/>
        <w:rPr>
          <w:rFonts w:hint="eastAsia" w:ascii="方正小标宋_GBK" w:hAnsi="Times New Roman" w:eastAsia="方正小标宋_GBK" w:cs="方正小标宋_GBK"/>
          <w:sz w:val="44"/>
          <w:szCs w:val="44"/>
        </w:rPr>
      </w:pPr>
      <w:r>
        <w:rPr>
          <w:rFonts w:hint="eastAsia" w:ascii="方正小标宋_GBK" w:hAnsi="Times New Roman" w:eastAsia="方正小标宋_GBK" w:cs="方正小标宋_GBK"/>
          <w:sz w:val="44"/>
          <w:szCs w:val="44"/>
        </w:rPr>
        <w:t>乌鲁木齐市米东区长山子镇人民政府</w:t>
      </w:r>
    </w:p>
    <w:p>
      <w:pPr>
        <w:autoSpaceDE w:val="0"/>
        <w:autoSpaceDN w:val="0"/>
        <w:adjustRightInd w:val="0"/>
        <w:jc w:val="center"/>
        <w:rPr>
          <w:rFonts w:hint="default" w:ascii="Times New Roman" w:hAnsi="Times New Roman" w:eastAsia="方正小标宋_GBK"/>
          <w:kern w:val="36"/>
          <w:sz w:val="40"/>
          <w:szCs w:val="40"/>
          <w:lang w:val="zh-CN"/>
        </w:rPr>
      </w:pPr>
      <w:r>
        <w:rPr>
          <w:rFonts w:hint="eastAsia" w:ascii="方正小标宋_GBK" w:hAnsi="Times New Roman" w:eastAsia="方正小标宋_GBK" w:cs="方正小标宋_GBK"/>
          <w:sz w:val="44"/>
          <w:szCs w:val="44"/>
        </w:rPr>
        <w:t>2022年度部门决算公开说明</w:t>
      </w:r>
    </w:p>
    <w:p>
      <w:pPr>
        <w:shd w:val="clear" w:color="auto" w:fill="FFFFFF"/>
        <w:autoSpaceDE w:val="0"/>
        <w:autoSpaceDN w:val="0"/>
        <w:adjustRightInd w:val="0"/>
        <w:spacing w:before="240" w:after="240"/>
        <w:jc w:val="center"/>
        <w:rPr>
          <w:rFonts w:hint="default" w:ascii="Times New Roman" w:hAnsi="Times New Roman" w:eastAsia="宋体"/>
          <w:kern w:val="36"/>
          <w:sz w:val="40"/>
          <w:szCs w:val="40"/>
          <w:lang w:val="zh-CN"/>
        </w:rPr>
      </w:pPr>
    </w:p>
    <w:p>
      <w:pPr>
        <w:autoSpaceDE w:val="0"/>
        <w:autoSpaceDN w:val="0"/>
        <w:adjustRightInd w:val="0"/>
        <w:spacing w:line="540" w:lineRule="exact"/>
        <w:jc w:val="center"/>
        <w:rPr>
          <w:rFonts w:hint="default" w:ascii="Times New Roman" w:hAnsi="Times New Roman" w:eastAsia="仿宋_GB2312"/>
          <w:b/>
          <w:kern w:val="0"/>
          <w:sz w:val="24"/>
          <w:szCs w:val="24"/>
        </w:rPr>
      </w:pPr>
      <w:r>
        <w:rPr>
          <w:rFonts w:hint="default" w:ascii="Times New Roman" w:hAnsi="Times New Roman" w:eastAsia="宋体"/>
          <w:b/>
          <w:kern w:val="36"/>
          <w:sz w:val="36"/>
          <w:szCs w:val="36"/>
        </w:rPr>
        <w:br w:type="page"/>
      </w:r>
      <w:r>
        <w:rPr>
          <w:rFonts w:hint="eastAsia" w:ascii="仿宋_GB2312" w:hAnsi="Times New Roman" w:eastAsia="仿宋_GB2312" w:cs="仿宋_GB2312"/>
          <w:b/>
          <w:kern w:val="0"/>
          <w:sz w:val="36"/>
          <w:szCs w:val="36"/>
        </w:rPr>
        <w:t>目  录</w:t>
      </w:r>
    </w:p>
    <w:p>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default" w:ascii="Times New Roman" w:hAnsi="Times New Roman" w:eastAsia="仿宋_GB2312"/>
          <w:kern w:val="0"/>
          <w:sz w:val="32"/>
          <w:szCs w:val="32"/>
        </w:rPr>
      </w:pPr>
      <w:r>
        <w:rPr>
          <w:rFonts w:hint="eastAsia" w:ascii="仿宋_GB2312" w:hAnsi="Times New Roman" w:eastAsia="仿宋_GB2312" w:cs="仿宋_GB2312"/>
          <w:b/>
          <w:kern w:val="0"/>
          <w:sz w:val="32"/>
          <w:szCs w:val="32"/>
        </w:rPr>
        <w:t>第一部分 单位概况</w:t>
      </w:r>
    </w:p>
    <w:p>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一、主要职能</w:t>
      </w:r>
    </w:p>
    <w:p>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二、</w:t>
      </w:r>
      <w:r>
        <w:rPr>
          <w:rFonts w:hint="eastAsia" w:ascii="仿宋_GB2312" w:hAnsi="Times New Roman" w:eastAsia="仿宋_GB2312" w:cs="仿宋_GB2312"/>
          <w:sz w:val="32"/>
          <w:szCs w:val="32"/>
        </w:rPr>
        <w:t>机构设置及人员情况</w:t>
      </w:r>
    </w:p>
    <w:p>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default" w:ascii="Times New Roman" w:hAnsi="Times New Roman" w:eastAsia="仿宋_GB2312"/>
          <w:kern w:val="0"/>
          <w:sz w:val="32"/>
          <w:szCs w:val="32"/>
        </w:rPr>
      </w:pPr>
      <w:r>
        <w:rPr>
          <w:rFonts w:hint="eastAsia" w:ascii="仿宋_GB2312" w:hAnsi="Times New Roman" w:eastAsia="仿宋_GB2312" w:cs="仿宋_GB2312"/>
          <w:b/>
          <w:kern w:val="0"/>
          <w:sz w:val="32"/>
          <w:szCs w:val="32"/>
        </w:rPr>
        <w:t>第二部分 部门决算情况说明</w:t>
      </w:r>
    </w:p>
    <w:p>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一、收入支出决算总体情况说明</w:t>
      </w:r>
    </w:p>
    <w:p>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二、收入决算情况说明</w:t>
      </w:r>
    </w:p>
    <w:p>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三、支出决算情况说明</w:t>
      </w:r>
    </w:p>
    <w:p>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四、财政拨款收入支出决算总体情况说明</w:t>
      </w:r>
    </w:p>
    <w:p>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五、一般公共预算财政拨款支出决算情况说明</w:t>
      </w:r>
    </w:p>
    <w:p>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六、一般公共预算财政拨款基本支出决算情况说明</w:t>
      </w:r>
    </w:p>
    <w:p>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七、财政拨款</w:t>
      </w:r>
      <w:r>
        <w:rPr>
          <w:rFonts w:hint="default" w:ascii="Times New Roman" w:hAnsi="Times New Roman" w:eastAsia="仿宋_GB2312" w:cs="仿宋_GB2312"/>
          <w:sz w:val="32"/>
          <w:szCs w:val="32"/>
        </w:rPr>
        <w:t>“</w:t>
      </w:r>
      <w:r>
        <w:rPr>
          <w:rFonts w:hint="eastAsia" w:ascii="仿宋_GB2312" w:hAnsi="Times New Roman" w:eastAsia="仿宋_GB2312" w:cs="仿宋_GB2312"/>
          <w:sz w:val="32"/>
          <w:szCs w:val="32"/>
        </w:rPr>
        <w:t>三公</w:t>
      </w:r>
      <w:r>
        <w:rPr>
          <w:rFonts w:hint="default" w:ascii="Times New Roman" w:hAnsi="Times New Roman" w:eastAsia="仿宋_GB2312" w:cs="仿宋_GB2312"/>
          <w:sz w:val="32"/>
          <w:szCs w:val="32"/>
        </w:rPr>
        <w:t>”</w:t>
      </w:r>
      <w:r>
        <w:rPr>
          <w:rFonts w:hint="eastAsia" w:ascii="仿宋_GB2312" w:hAnsi="Times New Roman" w:eastAsia="仿宋_GB2312" w:cs="仿宋_GB2312"/>
          <w:sz w:val="32"/>
          <w:szCs w:val="32"/>
        </w:rPr>
        <w:t>经费支出决算情况说明</w:t>
      </w:r>
    </w:p>
    <w:p>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八、政府性基金预算</w:t>
      </w:r>
      <w:r>
        <w:rPr>
          <w:rFonts w:hint="eastAsia" w:ascii="仿宋_GB2312" w:hAnsi="Times New Roman" w:eastAsia="仿宋_GB2312" w:cs="仿宋_GB2312"/>
          <w:sz w:val="32"/>
          <w:szCs w:val="32"/>
          <w:lang w:val="zh-CN"/>
        </w:rPr>
        <w:t>财政拨款</w:t>
      </w:r>
      <w:r>
        <w:rPr>
          <w:rFonts w:hint="eastAsia" w:ascii="仿宋_GB2312" w:hAnsi="Times New Roman" w:eastAsia="仿宋_GB2312" w:cs="仿宋_GB2312"/>
          <w:sz w:val="32"/>
          <w:szCs w:val="32"/>
        </w:rPr>
        <w:t>收入支出决算情况说明</w:t>
      </w:r>
    </w:p>
    <w:p>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九、国有资本经营预算财政拨款收入支出决算情况说明</w:t>
      </w:r>
    </w:p>
    <w:p>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十、其他重要事项的情况说明</w:t>
      </w:r>
    </w:p>
    <w:p>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（一）机关运行经费支出情况</w:t>
      </w:r>
    </w:p>
    <w:p>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（二）政府采购情况</w:t>
      </w:r>
    </w:p>
    <w:p>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（三）国有资产占用情况说明</w:t>
      </w:r>
    </w:p>
    <w:p>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十</w:t>
      </w:r>
      <w:r>
        <w:rPr>
          <w:rFonts w:hint="eastAsia" w:ascii="仿宋_GB2312" w:hAnsi="Times New Roman" w:eastAsia="仿宋_GB2312" w:cs="仿宋_GB2312"/>
          <w:sz w:val="32"/>
          <w:szCs w:val="32"/>
          <w:lang w:val="zh-CN"/>
        </w:rPr>
        <w:t>一</w:t>
      </w:r>
      <w:r>
        <w:rPr>
          <w:rFonts w:hint="eastAsia" w:ascii="仿宋_GB2312" w:hAnsi="Times New Roman" w:eastAsia="仿宋_GB2312" w:cs="仿宋_GB2312"/>
          <w:sz w:val="32"/>
          <w:szCs w:val="32"/>
        </w:rPr>
        <w:t>、预算绩效的情况说明</w:t>
      </w:r>
    </w:p>
    <w:p>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default" w:ascii="Times New Roman" w:hAnsi="Times New Roman" w:eastAsia="仿宋_GB2312"/>
          <w:b/>
          <w:kern w:val="0"/>
          <w:sz w:val="32"/>
          <w:szCs w:val="32"/>
        </w:rPr>
      </w:pPr>
      <w:r>
        <w:rPr>
          <w:rFonts w:hint="eastAsia" w:ascii="仿宋_GB2312" w:hAnsi="Times New Roman" w:eastAsia="仿宋_GB2312" w:cs="仿宋_GB2312"/>
          <w:b/>
          <w:kern w:val="0"/>
          <w:sz w:val="32"/>
          <w:szCs w:val="32"/>
        </w:rPr>
        <w:t>第三部分 专业名词解释</w:t>
      </w:r>
    </w:p>
    <w:p>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default" w:ascii="Times New Roman" w:hAnsi="Times New Roman" w:eastAsia="仿宋_GB2312"/>
          <w:b/>
          <w:kern w:val="0"/>
          <w:sz w:val="32"/>
          <w:szCs w:val="32"/>
        </w:rPr>
      </w:pPr>
      <w:r>
        <w:rPr>
          <w:rFonts w:hint="eastAsia" w:ascii="仿宋_GB2312" w:hAnsi="Times New Roman" w:eastAsia="仿宋_GB2312" w:cs="仿宋_GB2312"/>
          <w:b/>
          <w:kern w:val="0"/>
          <w:sz w:val="32"/>
          <w:szCs w:val="32"/>
        </w:rPr>
        <w:t>第四部分 部</w:t>
      </w:r>
      <w:r>
        <w:rPr>
          <w:rFonts w:hint="eastAsia" w:ascii="仿宋_GB2312" w:hAnsi="Times New Roman" w:eastAsia="仿宋_GB2312" w:cs="仿宋_GB2312"/>
          <w:b/>
          <w:sz w:val="32"/>
          <w:szCs w:val="32"/>
        </w:rPr>
        <w:t>门决算报表（见附表）</w:t>
      </w:r>
    </w:p>
    <w:p>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一、《收入支出决算总表》</w:t>
      </w:r>
    </w:p>
    <w:p>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二、《收入决算表》</w:t>
      </w:r>
    </w:p>
    <w:p>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三、《支出决算表》</w:t>
      </w:r>
    </w:p>
    <w:p>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四、《财政拨款收入支出决算总表》</w:t>
      </w:r>
    </w:p>
    <w:p>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五、《一般公共预算财政拨款支出决算表》</w:t>
      </w:r>
    </w:p>
    <w:p>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六、《一般公共预算财政拨款基本支出决算表》</w:t>
      </w:r>
    </w:p>
    <w:p>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七、《财政拨款</w:t>
      </w:r>
      <w:r>
        <w:rPr>
          <w:rFonts w:hint="default" w:ascii="Times New Roman" w:hAnsi="Times New Roman" w:eastAsia="仿宋_GB2312" w:cs="仿宋_GB2312"/>
          <w:sz w:val="32"/>
          <w:szCs w:val="32"/>
        </w:rPr>
        <w:t>“</w:t>
      </w:r>
      <w:r>
        <w:rPr>
          <w:rFonts w:hint="eastAsia" w:ascii="仿宋_GB2312" w:hAnsi="Times New Roman" w:eastAsia="仿宋_GB2312" w:cs="仿宋_GB2312"/>
          <w:sz w:val="32"/>
          <w:szCs w:val="32"/>
        </w:rPr>
        <w:t>三公</w:t>
      </w:r>
      <w:r>
        <w:rPr>
          <w:rFonts w:hint="default" w:ascii="Times New Roman" w:hAnsi="Times New Roman" w:eastAsia="仿宋_GB2312" w:cs="仿宋_GB2312"/>
          <w:sz w:val="32"/>
          <w:szCs w:val="32"/>
        </w:rPr>
        <w:t>”</w:t>
      </w:r>
      <w:r>
        <w:rPr>
          <w:rFonts w:hint="eastAsia" w:ascii="仿宋_GB2312" w:hAnsi="Times New Roman" w:eastAsia="仿宋_GB2312" w:cs="仿宋_GB2312"/>
          <w:sz w:val="32"/>
          <w:szCs w:val="32"/>
        </w:rPr>
        <w:t>经费支出决算表》</w:t>
      </w:r>
    </w:p>
    <w:p>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八、《政府性基金预算财政拨款收入支出决算表》</w:t>
      </w:r>
    </w:p>
    <w:p>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九、《国有资本经营预算财政拨款收入支出决算表》</w:t>
      </w:r>
    </w:p>
    <w:p>
      <w:pPr>
        <w:autoSpaceDE w:val="0"/>
        <w:autoSpaceDN w:val="0"/>
        <w:adjustRightInd w:val="0"/>
        <w:spacing w:line="540" w:lineRule="exact"/>
        <w:ind w:firstLine="640"/>
        <w:rPr>
          <w:rFonts w:hint="default" w:ascii="Times New Roman" w:hAnsi="Times New Roman" w:eastAsia="仿宋_GB2312"/>
          <w:b/>
          <w:kern w:val="0"/>
          <w:sz w:val="28"/>
          <w:szCs w:val="28"/>
        </w:rPr>
      </w:pPr>
    </w:p>
    <w:p>
      <w:pPr>
        <w:shd w:val="clear" w:color="auto" w:fill="FFFFFF"/>
        <w:autoSpaceDE w:val="0"/>
        <w:autoSpaceDN w:val="0"/>
        <w:adjustRightInd w:val="0"/>
        <w:spacing w:line="360" w:lineRule="auto"/>
        <w:jc w:val="center"/>
        <w:rPr>
          <w:rFonts w:hint="default" w:ascii="Times New Roman" w:hAnsi="Times New Roman" w:eastAsia="仿宋_GB2312"/>
          <w:kern w:val="0"/>
          <w:sz w:val="32"/>
          <w:szCs w:val="32"/>
        </w:rPr>
      </w:pPr>
    </w:p>
    <w:p>
      <w:pPr>
        <w:shd w:val="clear" w:color="auto" w:fill="FFFFFF"/>
        <w:autoSpaceDE w:val="0"/>
        <w:autoSpaceDN w:val="0"/>
        <w:adjustRightInd w:val="0"/>
        <w:spacing w:line="360" w:lineRule="auto"/>
        <w:jc w:val="center"/>
        <w:rPr>
          <w:rFonts w:hint="cs" w:eastAsia="黑体" w:cs="黑体"/>
          <w:kern w:val="0"/>
          <w:sz w:val="32"/>
          <w:szCs w:val="32"/>
          <w:rtl/>
          <w:lang w:val="ar-SA"/>
        </w:rPr>
      </w:pPr>
      <w:r>
        <w:rPr>
          <w:rFonts w:hint="default" w:ascii="Times New Roman" w:hAnsi="Times New Roman" w:eastAsia="仿宋_GB2312"/>
          <w:kern w:val="0"/>
          <w:sz w:val="32"/>
          <w:szCs w:val="32"/>
        </w:rPr>
        <w:br w:type="page"/>
      </w:r>
      <w:r>
        <w:rPr>
          <w:rFonts w:hint="eastAsia" w:ascii="黑体" w:hAnsi="Times New Roman" w:eastAsia="黑体" w:cs="黑体"/>
          <w:kern w:val="0"/>
          <w:sz w:val="32"/>
          <w:szCs w:val="32"/>
        </w:rPr>
        <w:t>第一部分 单位概况</w:t>
      </w:r>
    </w:p>
    <w:p>
      <w:pPr>
        <w:autoSpaceDE w:val="0"/>
        <w:autoSpaceDN w:val="0"/>
        <w:adjustRightInd w:val="0"/>
        <w:spacing w:line="360" w:lineRule="auto"/>
        <w:ind w:firstLine="640"/>
        <w:rPr>
          <w:rFonts w:hint="default" w:ascii="Times New Roman" w:hAnsi="Times New Roman" w:eastAsia="黑体"/>
          <w:sz w:val="32"/>
          <w:szCs w:val="32"/>
          <w:highlight w:val="none"/>
          <w:lang w:val="zh-CN"/>
        </w:rPr>
      </w:pPr>
      <w:r>
        <w:rPr>
          <w:rFonts w:hint="eastAsia" w:ascii="黑体" w:hAnsi="Times New Roman" w:eastAsia="黑体" w:cs="黑体"/>
          <w:sz w:val="32"/>
          <w:szCs w:val="32"/>
          <w:highlight w:val="none"/>
          <w:lang w:val="zh-CN"/>
        </w:rPr>
        <w:t>一、主要职能</w:t>
      </w:r>
    </w:p>
    <w:p>
      <w:pPr>
        <w:shd w:val="clear" w:color="auto" w:fill="FFFFFF"/>
        <w:autoSpaceDE w:val="0"/>
        <w:autoSpaceDN w:val="0"/>
        <w:adjustRightInd w:val="0"/>
        <w:spacing w:line="360" w:lineRule="auto"/>
        <w:ind w:firstLine="640"/>
        <w:rPr>
          <w:rFonts w:hint="eastAsia" w:ascii="仿宋_GB2312" w:hAnsi="Times New Roman" w:eastAsia="仿宋_GB2312" w:cs="仿宋_GB2312"/>
          <w:kern w:val="0"/>
          <w:sz w:val="32"/>
          <w:szCs w:val="32"/>
        </w:rPr>
      </w:pPr>
      <w:r>
        <w:rPr>
          <w:rFonts w:hint="eastAsia" w:ascii="仿宋_GB2312" w:hAnsi="Times New Roman" w:eastAsia="仿宋_GB2312" w:cs="仿宋_GB2312"/>
          <w:kern w:val="0"/>
          <w:sz w:val="32"/>
          <w:szCs w:val="32"/>
        </w:rPr>
        <w:t>1.贯彻执行国家和自治区、乌鲁木齐市有关财政、税收、行政事业单位国有资产管理的法规、制度和方针政策；组织拟定财政、财务、会计管理、行政事业单位国有资产管理等方面的规章、办法，并监督实施。</w:t>
      </w:r>
    </w:p>
    <w:p>
      <w:pPr>
        <w:shd w:val="clear" w:color="auto" w:fill="FFFFFF"/>
        <w:autoSpaceDE w:val="0"/>
        <w:autoSpaceDN w:val="0"/>
        <w:adjustRightInd w:val="0"/>
        <w:spacing w:line="360" w:lineRule="auto"/>
        <w:ind w:firstLine="640"/>
        <w:rPr>
          <w:rFonts w:hint="eastAsia" w:ascii="仿宋_GB2312" w:hAnsi="Times New Roman" w:eastAsia="仿宋_GB2312" w:cs="仿宋_GB2312"/>
          <w:kern w:val="0"/>
          <w:sz w:val="32"/>
          <w:szCs w:val="32"/>
        </w:rPr>
      </w:pPr>
      <w:r>
        <w:rPr>
          <w:rFonts w:hint="eastAsia" w:ascii="仿宋_GB2312" w:hAnsi="Times New Roman" w:eastAsia="仿宋_GB2312" w:cs="仿宋_GB2312"/>
          <w:kern w:val="0"/>
          <w:sz w:val="32"/>
          <w:szCs w:val="32"/>
        </w:rPr>
        <w:t>2.承担我镇各项财政收支管理责任；负责编制乡镇本级预决算草案并组织执行；受镇人民政府委托向镇人民代表大会报告区本级和我镇预算及其执行情况，向镇人大常委会报告决算；组织实施专项资金绩效考核工作；组织制定经费开支标准、定额，负责财政预决算工作。</w:t>
      </w:r>
    </w:p>
    <w:p>
      <w:pPr>
        <w:shd w:val="clear" w:color="auto" w:fill="FFFFFF"/>
        <w:autoSpaceDE w:val="0"/>
        <w:autoSpaceDN w:val="0"/>
        <w:adjustRightInd w:val="0"/>
        <w:spacing w:line="360" w:lineRule="auto"/>
        <w:ind w:firstLine="640"/>
        <w:rPr>
          <w:rFonts w:hint="eastAsia" w:ascii="仿宋_GB2312" w:hAnsi="Times New Roman" w:eastAsia="仿宋_GB2312" w:cs="仿宋_GB2312"/>
          <w:kern w:val="0"/>
          <w:sz w:val="32"/>
          <w:szCs w:val="32"/>
        </w:rPr>
      </w:pPr>
      <w:r>
        <w:rPr>
          <w:rFonts w:hint="eastAsia" w:ascii="仿宋_GB2312" w:hAnsi="Times New Roman" w:eastAsia="仿宋_GB2312" w:cs="仿宋_GB2312"/>
          <w:kern w:val="0"/>
          <w:sz w:val="32"/>
          <w:szCs w:val="32"/>
        </w:rPr>
        <w:t>3.根据预算安排，拟定财政税收收入计划，并组织实施、管理和监督；负责政府非税收入和政府性基金管理；监管财政票据。</w:t>
      </w:r>
    </w:p>
    <w:p>
      <w:pPr>
        <w:shd w:val="clear" w:color="auto" w:fill="FFFFFF"/>
        <w:autoSpaceDE w:val="0"/>
        <w:autoSpaceDN w:val="0"/>
        <w:adjustRightInd w:val="0"/>
        <w:spacing w:line="360" w:lineRule="auto"/>
        <w:ind w:firstLine="640"/>
        <w:rPr>
          <w:rFonts w:hint="eastAsia" w:ascii="仿宋_GB2312" w:hAnsi="Times New Roman" w:eastAsia="仿宋_GB2312" w:cs="仿宋_GB2312"/>
          <w:kern w:val="0"/>
          <w:sz w:val="32"/>
          <w:szCs w:val="32"/>
        </w:rPr>
      </w:pPr>
      <w:r>
        <w:rPr>
          <w:rFonts w:hint="eastAsia" w:ascii="仿宋_GB2312" w:hAnsi="Times New Roman" w:eastAsia="仿宋_GB2312" w:cs="仿宋_GB2312"/>
          <w:kern w:val="0"/>
          <w:sz w:val="32"/>
          <w:szCs w:val="32"/>
        </w:rPr>
        <w:t>4.组织实施国库管理和国库集中收付制度，按规定开展本级国库现金管理工作，管理监督各部门国库资金缴拨使用；负责制定我镇政府采购制度并监督管理；管理财政统一发放工资工作。</w:t>
      </w:r>
    </w:p>
    <w:p>
      <w:pPr>
        <w:shd w:val="clear" w:color="auto" w:fill="FFFFFF"/>
        <w:autoSpaceDE w:val="0"/>
        <w:autoSpaceDN w:val="0"/>
        <w:adjustRightInd w:val="0"/>
        <w:spacing w:line="360" w:lineRule="auto"/>
        <w:ind w:firstLine="640"/>
        <w:rPr>
          <w:rFonts w:hint="eastAsia" w:ascii="仿宋_GB2312" w:hAnsi="Times New Roman" w:eastAsia="仿宋_GB2312" w:cs="仿宋_GB2312"/>
          <w:kern w:val="0"/>
          <w:sz w:val="32"/>
          <w:szCs w:val="32"/>
        </w:rPr>
      </w:pPr>
      <w:r>
        <w:rPr>
          <w:rFonts w:hint="eastAsia" w:ascii="仿宋_GB2312" w:hAnsi="Times New Roman" w:eastAsia="仿宋_GB2312" w:cs="仿宋_GB2312"/>
          <w:kern w:val="0"/>
          <w:sz w:val="32"/>
          <w:szCs w:val="32"/>
        </w:rPr>
        <w:t>5.负责制定我镇行政事业单位国有资产管理规章制度，按规定管理行政事业单位国有资产，拟定和执行需要全区统一规定的开支标准和支出政策。</w:t>
      </w:r>
    </w:p>
    <w:p>
      <w:pPr>
        <w:shd w:val="clear" w:color="auto" w:fill="FFFFFF"/>
        <w:autoSpaceDE w:val="0"/>
        <w:autoSpaceDN w:val="0"/>
        <w:adjustRightInd w:val="0"/>
        <w:spacing w:line="360" w:lineRule="auto"/>
        <w:ind w:firstLine="640"/>
        <w:rPr>
          <w:rFonts w:hint="eastAsia" w:ascii="仿宋_GB2312" w:hAnsi="Times New Roman" w:eastAsia="仿宋_GB2312" w:cs="仿宋_GB2312"/>
          <w:kern w:val="0"/>
          <w:sz w:val="32"/>
          <w:szCs w:val="32"/>
        </w:rPr>
      </w:pPr>
      <w:r>
        <w:rPr>
          <w:rFonts w:hint="eastAsia" w:ascii="仿宋_GB2312" w:hAnsi="Times New Roman" w:eastAsia="仿宋_GB2312" w:cs="仿宋_GB2312"/>
          <w:kern w:val="0"/>
          <w:sz w:val="32"/>
          <w:szCs w:val="32"/>
        </w:rPr>
        <w:t>6.负责做好政府债务管理，合理安排偿债资金预算。</w:t>
      </w:r>
    </w:p>
    <w:p>
      <w:pPr>
        <w:shd w:val="clear" w:color="auto" w:fill="FFFFFF"/>
        <w:autoSpaceDE w:val="0"/>
        <w:autoSpaceDN w:val="0"/>
        <w:adjustRightInd w:val="0"/>
        <w:spacing w:line="360" w:lineRule="auto"/>
        <w:ind w:firstLine="640"/>
        <w:rPr>
          <w:rFonts w:hint="eastAsia" w:ascii="仿宋_GB2312" w:hAnsi="Times New Roman" w:eastAsia="仿宋_GB2312" w:cs="仿宋_GB2312"/>
          <w:kern w:val="0"/>
          <w:sz w:val="32"/>
          <w:szCs w:val="32"/>
        </w:rPr>
      </w:pPr>
      <w:r>
        <w:rPr>
          <w:rFonts w:hint="eastAsia" w:ascii="仿宋_GB2312" w:hAnsi="Times New Roman" w:eastAsia="仿宋_GB2312" w:cs="仿宋_GB2312"/>
          <w:kern w:val="0"/>
          <w:sz w:val="32"/>
          <w:szCs w:val="32"/>
        </w:rPr>
        <w:t>7.参与制定我镇基本建设财务管理制度，负责政府性投资项目财政资金管理工作；承担有关政策性补贴和专项储备资金财政管理工作。</w:t>
      </w:r>
    </w:p>
    <w:p>
      <w:pPr>
        <w:shd w:val="clear" w:color="auto" w:fill="FFFFFF"/>
        <w:autoSpaceDE w:val="0"/>
        <w:autoSpaceDN w:val="0"/>
        <w:adjustRightInd w:val="0"/>
        <w:spacing w:line="360" w:lineRule="auto"/>
        <w:ind w:firstLine="640"/>
        <w:rPr>
          <w:rFonts w:hint="eastAsia" w:ascii="仿宋_GB2312" w:hAnsi="Times New Roman" w:eastAsia="仿宋_GB2312" w:cs="仿宋_GB2312"/>
          <w:kern w:val="0"/>
          <w:sz w:val="32"/>
          <w:szCs w:val="32"/>
        </w:rPr>
      </w:pPr>
      <w:r>
        <w:rPr>
          <w:rFonts w:hint="eastAsia" w:ascii="仿宋_GB2312" w:hAnsi="Times New Roman" w:eastAsia="仿宋_GB2312" w:cs="仿宋_GB2312"/>
          <w:kern w:val="0"/>
          <w:sz w:val="32"/>
          <w:szCs w:val="32"/>
        </w:rPr>
        <w:t>8.会同有关部门管理镇财政社会保障和就业及医疗卫生资金管理工作，会同有关部门研究制定社会保障资金有关的财务管理制度。</w:t>
      </w:r>
    </w:p>
    <w:p>
      <w:pPr>
        <w:shd w:val="clear" w:color="auto" w:fill="FFFFFF"/>
        <w:autoSpaceDE w:val="0"/>
        <w:autoSpaceDN w:val="0"/>
        <w:adjustRightInd w:val="0"/>
        <w:spacing w:line="360" w:lineRule="auto"/>
        <w:ind w:firstLine="640"/>
        <w:rPr>
          <w:rFonts w:hint="eastAsia" w:ascii="仿宋_GB2312" w:hAnsi="Times New Roman" w:eastAsia="仿宋_GB2312" w:cs="仿宋_GB2312"/>
          <w:kern w:val="0"/>
          <w:sz w:val="32"/>
          <w:szCs w:val="32"/>
        </w:rPr>
      </w:pPr>
      <w:r>
        <w:rPr>
          <w:rFonts w:hint="eastAsia" w:ascii="仿宋_GB2312" w:hAnsi="Times New Roman" w:eastAsia="仿宋_GB2312" w:cs="仿宋_GB2312"/>
          <w:kern w:val="0"/>
          <w:sz w:val="32"/>
          <w:szCs w:val="32"/>
        </w:rPr>
        <w:t>9.管理和指导我镇会计工作，规范会计行为；组织执行国家统一的会计制度和自治区相关补充规定。</w:t>
      </w:r>
    </w:p>
    <w:p>
      <w:pPr>
        <w:shd w:val="clear" w:color="auto" w:fill="FFFFFF"/>
        <w:autoSpaceDE w:val="0"/>
        <w:autoSpaceDN w:val="0"/>
        <w:adjustRightInd w:val="0"/>
        <w:spacing w:line="360" w:lineRule="auto"/>
        <w:ind w:firstLine="640"/>
        <w:rPr>
          <w:rFonts w:hint="eastAsia" w:ascii="仿宋_GB2312" w:hAnsi="Times New Roman" w:eastAsia="仿宋_GB2312" w:cs="仿宋_GB2312"/>
          <w:kern w:val="0"/>
          <w:sz w:val="32"/>
          <w:szCs w:val="32"/>
        </w:rPr>
      </w:pPr>
      <w:r>
        <w:rPr>
          <w:rFonts w:hint="eastAsia" w:ascii="仿宋_GB2312" w:hAnsi="Times New Roman" w:eastAsia="仿宋_GB2312" w:cs="仿宋_GB2312"/>
          <w:kern w:val="0"/>
          <w:sz w:val="32"/>
          <w:szCs w:val="32"/>
        </w:rPr>
        <w:t>10.监督检查财税法规、政策的执行情况，反映财政收支管理中的重大问题，提出加强财政管理的政策建议。</w:t>
      </w:r>
    </w:p>
    <w:p>
      <w:pPr>
        <w:shd w:val="clear" w:color="auto" w:fill="FFFFFF"/>
        <w:autoSpaceDE w:val="0"/>
        <w:autoSpaceDN w:val="0"/>
        <w:adjustRightInd w:val="0"/>
        <w:spacing w:line="360" w:lineRule="auto"/>
        <w:ind w:firstLine="640"/>
        <w:rPr>
          <w:rFonts w:hint="default" w:ascii="仿宋_GB2312" w:hAnsi="Times New Roman" w:eastAsia="仿宋_GB2312" w:cs="仿宋_GB2312"/>
          <w:kern w:val="0"/>
          <w:sz w:val="32"/>
          <w:szCs w:val="32"/>
          <w:lang w:val="zh-CN"/>
        </w:rPr>
      </w:pPr>
      <w:r>
        <w:rPr>
          <w:rFonts w:hint="eastAsia" w:ascii="仿宋_GB2312" w:hAnsi="Times New Roman" w:eastAsia="仿宋_GB2312" w:cs="仿宋_GB2312"/>
          <w:kern w:val="0"/>
          <w:sz w:val="32"/>
          <w:szCs w:val="32"/>
        </w:rPr>
        <w:t>11.承办上级人民政府交办的其他事项。</w:t>
      </w:r>
    </w:p>
    <w:p>
      <w:pPr>
        <w:autoSpaceDE w:val="0"/>
        <w:autoSpaceDN w:val="0"/>
        <w:adjustRightInd w:val="0"/>
        <w:spacing w:line="360" w:lineRule="auto"/>
        <w:ind w:firstLine="640"/>
        <w:rPr>
          <w:rFonts w:hint="default" w:ascii="Times New Roman" w:hAnsi="Times New Roman" w:eastAsia="黑体"/>
          <w:sz w:val="32"/>
          <w:szCs w:val="32"/>
          <w:lang w:val="zh-CN"/>
        </w:rPr>
      </w:pPr>
      <w:r>
        <w:rPr>
          <w:rFonts w:hint="eastAsia" w:ascii="黑体" w:hAnsi="Times New Roman" w:eastAsia="黑体" w:cs="黑体"/>
          <w:sz w:val="32"/>
          <w:szCs w:val="32"/>
          <w:lang w:val="zh-CN"/>
        </w:rPr>
        <w:t>二、机构设置及人员情况</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乌鲁木齐市米东区长山子镇人民政府2022年度，实有人数118人，其中：在职人员96人，离休人员0人，退休人员22人。</w:t>
      </w:r>
    </w:p>
    <w:p>
      <w:pPr>
        <w:shd w:val="clear" w:color="auto" w:fill="FFFFFF"/>
        <w:autoSpaceDE w:val="0"/>
        <w:autoSpaceDN w:val="0"/>
        <w:adjustRightInd w:val="0"/>
        <w:spacing w:line="360" w:lineRule="auto"/>
        <w:ind w:firstLine="640"/>
        <w:rPr>
          <w:rFonts w:hint="cs" w:ascii="Times New Roman"/>
          <w:kern w:val="0"/>
          <w:sz w:val="24"/>
          <w:szCs w:val="24"/>
          <w:rtl/>
          <w:lang w:val="zh-CN" w:bidi="zh-CN"/>
        </w:rPr>
      </w:pPr>
      <w:r>
        <w:rPr>
          <w:rFonts w:hint="eastAsia" w:ascii="仿宋_GB2312" w:hAnsi="Times New Roman" w:eastAsia="仿宋_GB2312" w:cs="仿宋_GB2312"/>
          <w:kern w:val="0"/>
          <w:sz w:val="32"/>
          <w:szCs w:val="32"/>
        </w:rPr>
        <w:t>从部门决算单位构成看，乌鲁木齐市米东区长山子镇人民政府部门决算包括：乌鲁木齐市米东区长山子镇人民政府</w:t>
      </w:r>
      <w:r>
        <w:rPr>
          <w:rFonts w:hint="eastAsia" w:ascii="仿宋_GB2312" w:hAnsi="Times New Roman" w:eastAsia="仿宋_GB2312" w:cs="仿宋_GB2312"/>
          <w:kern w:val="0"/>
          <w:sz w:val="32"/>
          <w:szCs w:val="32"/>
          <w:lang w:val="zh-CN"/>
        </w:rPr>
        <w:t>决算。单位无下属预算单</w:t>
      </w:r>
      <w:r>
        <w:rPr>
          <w:rFonts w:hint="eastAsia" w:ascii="仿宋_GB2312" w:hAnsi="Times New Roman" w:eastAsia="仿宋_GB2312" w:cs="仿宋_GB2312"/>
          <w:kern w:val="0"/>
          <w:sz w:val="32"/>
          <w:szCs w:val="32"/>
          <w:highlight w:val="none"/>
          <w:lang w:val="zh-CN"/>
        </w:rPr>
        <w:t>位，下设</w:t>
      </w:r>
      <w:r>
        <w:rPr>
          <w:rFonts w:hint="eastAsia" w:ascii="仿宋_GB2312" w:hAnsi="Times New Roman" w:eastAsia="仿宋_GB2312" w:cs="仿宋_GB2312"/>
          <w:kern w:val="0"/>
          <w:sz w:val="32"/>
          <w:szCs w:val="32"/>
          <w:highlight w:val="none"/>
          <w:lang w:val="en-US" w:eastAsia="zh-CN"/>
        </w:rPr>
        <w:t>11</w:t>
      </w:r>
      <w:bookmarkStart w:id="0" w:name="_GoBack"/>
      <w:bookmarkEnd w:id="0"/>
      <w:r>
        <w:rPr>
          <w:rFonts w:hint="eastAsia" w:ascii="仿宋_GB2312" w:hAnsi="Times New Roman" w:eastAsia="仿宋_GB2312" w:cs="仿宋_GB2312"/>
          <w:kern w:val="0"/>
          <w:sz w:val="32"/>
          <w:szCs w:val="32"/>
          <w:highlight w:val="none"/>
          <w:lang w:val="zh-CN"/>
        </w:rPr>
        <w:t>个科室，分别是：</w:t>
      </w:r>
      <w:r>
        <w:rPr>
          <w:rFonts w:hint="eastAsia" w:ascii="仿宋_GB2312" w:hAnsi="Times New Roman" w:eastAsia="仿宋_GB2312" w:cs="仿宋_GB2312"/>
          <w:kern w:val="0"/>
          <w:sz w:val="32"/>
          <w:szCs w:val="32"/>
          <w:highlight w:val="none"/>
        </w:rPr>
        <w:t>党政办公室、党建办公室、经济发展办公室、社会事务办公室（综合执法办公室）、农业（畜牧业）发展服务中心、文体广电旅游服务中心、社会保障（民政）服务中心（退役军人服务站）、农村合作经济（统计）发展中心（财政所）、村镇规划建设发展中心（生态环境工作站）、防疫专员办公室（公共卫生服务指导中心）、综治中心（网格化服务中心）</w:t>
      </w:r>
      <w:r>
        <w:rPr>
          <w:rFonts w:hint="eastAsia" w:ascii="仿宋_GB2312" w:hAnsi="Times New Roman" w:eastAsia="仿宋_GB2312" w:cs="仿宋_GB2312"/>
          <w:kern w:val="0"/>
          <w:sz w:val="32"/>
          <w:szCs w:val="32"/>
          <w:highlight w:val="none"/>
          <w:lang w:val="zh-CN"/>
        </w:rPr>
        <w:t>。</w:t>
      </w:r>
    </w:p>
    <w:p>
      <w:pPr>
        <w:shd w:val="clear" w:color="auto" w:fill="FFFFFF"/>
        <w:autoSpaceDE w:val="0"/>
        <w:autoSpaceDN w:val="0"/>
        <w:adjustRightInd w:val="0"/>
        <w:spacing w:before="100" w:after="240"/>
        <w:jc w:val="center"/>
        <w:rPr>
          <w:rFonts w:hint="cs" w:ascii="Times New Roman"/>
          <w:kern w:val="0"/>
          <w:sz w:val="28"/>
          <w:szCs w:val="28"/>
          <w:rtl/>
          <w:lang w:val="ar-SA"/>
        </w:rPr>
      </w:pPr>
      <w:r>
        <w:rPr>
          <w:rFonts w:hint="eastAsia" w:ascii="黑体" w:hAnsi="Times New Roman" w:eastAsia="黑体" w:cs="黑体"/>
          <w:kern w:val="0"/>
          <w:sz w:val="32"/>
          <w:szCs w:val="32"/>
        </w:rPr>
        <w:t>第二部分 部门决算情况说明</w:t>
      </w:r>
    </w:p>
    <w:p>
      <w:pPr>
        <w:autoSpaceDE w:val="0"/>
        <w:autoSpaceDN w:val="0"/>
        <w:adjustRightInd w:val="0"/>
        <w:spacing w:line="360" w:lineRule="auto"/>
        <w:ind w:firstLine="640"/>
        <w:rPr>
          <w:rFonts w:hint="default" w:ascii="Times New Roman" w:hAnsi="Times New Roman" w:eastAsia="黑体"/>
          <w:sz w:val="32"/>
          <w:szCs w:val="32"/>
          <w:lang w:val="zh-CN"/>
        </w:rPr>
      </w:pPr>
      <w:r>
        <w:rPr>
          <w:rFonts w:hint="eastAsia" w:ascii="黑体" w:hAnsi="Times New Roman" w:eastAsia="黑体" w:cs="黑体"/>
          <w:sz w:val="32"/>
          <w:szCs w:val="32"/>
          <w:lang w:val="zh-CN"/>
        </w:rPr>
        <w:t>一、收入支出决算总体情况说明</w:t>
      </w:r>
    </w:p>
    <w:p>
      <w:pPr>
        <w:shd w:val="clear" w:color="auto" w:fill="FFFFFF"/>
        <w:autoSpaceDE w:val="0"/>
        <w:autoSpaceDN w:val="0"/>
        <w:adjustRightInd w:val="0"/>
        <w:spacing w:line="360" w:lineRule="auto"/>
        <w:ind w:firstLine="640"/>
        <w:rPr>
          <w:rFonts w:hint="eastAsia" w:ascii="仿宋_GB2312" w:hAnsi="Times New Roman" w:eastAsia="仿宋_GB2312" w:cs="仿宋_GB2312"/>
          <w:kern w:val="0"/>
          <w:sz w:val="32"/>
          <w:szCs w:val="32"/>
          <w:highlight w:val="none"/>
        </w:rPr>
      </w:pPr>
      <w:r>
        <w:rPr>
          <w:rFonts w:hint="eastAsia" w:ascii="仿宋_GB2312" w:hAnsi="Times New Roman" w:eastAsia="仿宋_GB2312" w:cs="仿宋_GB2312"/>
          <w:kern w:val="0"/>
          <w:sz w:val="32"/>
          <w:szCs w:val="32"/>
        </w:rPr>
        <w:t>2022年度收入</w:t>
      </w:r>
      <w:r>
        <w:rPr>
          <w:rFonts w:hint="eastAsia" w:ascii="仿宋_GB2312" w:hAnsi="Times New Roman" w:eastAsia="仿宋_GB2312" w:cs="仿宋_GB2312"/>
          <w:sz w:val="32"/>
          <w:szCs w:val="32"/>
        </w:rPr>
        <w:t>总计</w:t>
      </w:r>
      <w:r>
        <w:rPr>
          <w:rFonts w:hint="eastAsia" w:ascii="仿宋_GB2312" w:hAnsi="Times New Roman" w:eastAsia="仿宋_GB2312" w:cs="仿宋_GB2312"/>
          <w:kern w:val="0"/>
          <w:sz w:val="32"/>
          <w:szCs w:val="32"/>
        </w:rPr>
        <w:t>3,664.25万元，</w:t>
      </w:r>
      <w:r>
        <w:rPr>
          <w:rFonts w:hint="eastAsia" w:ascii="仿宋_GB2312" w:hAnsi="Times New Roman" w:eastAsia="仿宋_GB2312" w:cs="仿宋_GB2312"/>
          <w:sz w:val="32"/>
          <w:szCs w:val="32"/>
        </w:rPr>
        <w:t>其中：本年收入合计</w:t>
      </w:r>
      <w:r>
        <w:rPr>
          <w:rFonts w:hint="eastAsia" w:ascii="仿宋_GB2312" w:hAnsi="Times New Roman" w:eastAsia="仿宋_GB2312" w:cs="仿宋_GB2312"/>
          <w:kern w:val="0"/>
          <w:sz w:val="32"/>
          <w:szCs w:val="32"/>
        </w:rPr>
        <w:t>3,631.22</w:t>
      </w:r>
      <w:r>
        <w:rPr>
          <w:rFonts w:hint="eastAsia" w:ascii="仿宋_GB2312" w:hAnsi="Times New Roman" w:eastAsia="仿宋_GB2312" w:cs="仿宋_GB2312"/>
          <w:sz w:val="32"/>
          <w:szCs w:val="32"/>
        </w:rPr>
        <w:t>万元，使用非财政拨款结余</w:t>
      </w:r>
      <w:r>
        <w:rPr>
          <w:rFonts w:hint="eastAsia" w:ascii="仿宋_GB2312" w:hAnsi="Times New Roman" w:eastAsia="仿宋_GB2312" w:cs="仿宋_GB2312"/>
          <w:kern w:val="0"/>
          <w:sz w:val="32"/>
          <w:szCs w:val="32"/>
        </w:rPr>
        <w:t>0.00</w:t>
      </w:r>
      <w:r>
        <w:rPr>
          <w:rFonts w:hint="eastAsia" w:ascii="仿宋_GB2312" w:hAnsi="Times New Roman" w:eastAsia="仿宋_GB2312" w:cs="仿宋_GB2312"/>
          <w:sz w:val="32"/>
          <w:szCs w:val="32"/>
        </w:rPr>
        <w:t>万元，年初结转和结余</w:t>
      </w:r>
      <w:r>
        <w:rPr>
          <w:rFonts w:hint="eastAsia" w:ascii="仿宋_GB2312" w:hAnsi="Times New Roman" w:eastAsia="仿宋_GB2312" w:cs="仿宋_GB2312"/>
          <w:kern w:val="0"/>
          <w:sz w:val="32"/>
          <w:szCs w:val="32"/>
        </w:rPr>
        <w:t>33.</w:t>
      </w:r>
      <w:r>
        <w:rPr>
          <w:rFonts w:hint="eastAsia" w:ascii="仿宋_GB2312" w:hAnsi="Times New Roman" w:eastAsia="仿宋_GB2312" w:cs="仿宋_GB2312"/>
          <w:kern w:val="0"/>
          <w:sz w:val="32"/>
          <w:szCs w:val="32"/>
          <w:highlight w:val="none"/>
        </w:rPr>
        <w:t>03</w:t>
      </w:r>
      <w:r>
        <w:rPr>
          <w:rFonts w:hint="eastAsia" w:ascii="仿宋_GB2312" w:hAnsi="Times New Roman" w:eastAsia="仿宋_GB2312" w:cs="仿宋_GB2312"/>
          <w:sz w:val="32"/>
          <w:szCs w:val="32"/>
          <w:highlight w:val="none"/>
        </w:rPr>
        <w:t>万元。收入总计</w:t>
      </w:r>
      <w:r>
        <w:rPr>
          <w:rFonts w:hint="eastAsia" w:ascii="仿宋_GB2312" w:hAnsi="Times New Roman" w:eastAsia="仿宋_GB2312" w:cs="仿宋_GB2312"/>
          <w:kern w:val="0"/>
          <w:sz w:val="32"/>
          <w:szCs w:val="32"/>
          <w:highlight w:val="none"/>
        </w:rPr>
        <w:t>与上年相比，减少300.64万元，下降7.58%，主要原因是：</w:t>
      </w:r>
      <w:r>
        <w:rPr>
          <w:rFonts w:hint="eastAsia" w:ascii="仿宋_GB2312" w:hAnsi="Times New Roman" w:eastAsia="仿宋_GB2312" w:cs="仿宋_GB2312"/>
          <w:kern w:val="0"/>
          <w:sz w:val="32"/>
          <w:szCs w:val="32"/>
          <w:highlight w:val="none"/>
          <w:lang w:val="en-US" w:eastAsia="zh-CN"/>
        </w:rPr>
        <w:t>本年受疫情影响减少城市精细化管理专项经费、非洲猪瘟疫情防控工作经费、村基础社设施项目、乌财农【2019】188土窑子食用菌大棚项目、长山子镇政府，解放村、二湾村、土梁村村级补助资金，收入减少</w:t>
      </w:r>
      <w:r>
        <w:rPr>
          <w:rFonts w:hint="eastAsia" w:ascii="仿宋_GB2312" w:hAnsi="Times New Roman" w:eastAsia="仿宋_GB2312" w:cs="仿宋_GB2312"/>
          <w:kern w:val="0"/>
          <w:sz w:val="32"/>
          <w:szCs w:val="32"/>
          <w:highlight w:val="none"/>
        </w:rPr>
        <w:t>。</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highlight w:val="yellow"/>
        </w:rPr>
      </w:pPr>
      <w:r>
        <w:rPr>
          <w:rFonts w:hint="eastAsia" w:ascii="仿宋_GB2312" w:hAnsi="Times New Roman" w:eastAsia="仿宋_GB2312" w:cs="仿宋_GB2312"/>
          <w:sz w:val="32"/>
          <w:szCs w:val="32"/>
        </w:rPr>
        <w:t>本年支出总计</w:t>
      </w:r>
      <w:r>
        <w:rPr>
          <w:rFonts w:hint="eastAsia" w:ascii="仿宋_GB2312" w:hAnsi="Times New Roman" w:eastAsia="仿宋_GB2312" w:cs="仿宋_GB2312"/>
          <w:kern w:val="0"/>
          <w:sz w:val="32"/>
          <w:szCs w:val="32"/>
        </w:rPr>
        <w:t>3,664.25万元，</w:t>
      </w:r>
      <w:r>
        <w:rPr>
          <w:rFonts w:hint="eastAsia" w:ascii="仿宋_GB2312" w:hAnsi="Times New Roman" w:eastAsia="仿宋_GB2312" w:cs="仿宋_GB2312"/>
          <w:sz w:val="32"/>
          <w:szCs w:val="32"/>
        </w:rPr>
        <w:t>其中：本年支出合计</w:t>
      </w:r>
      <w:r>
        <w:rPr>
          <w:rFonts w:hint="eastAsia" w:ascii="仿宋_GB2312" w:hAnsi="Times New Roman" w:eastAsia="仿宋_GB2312" w:cs="仿宋_GB2312"/>
          <w:kern w:val="0"/>
          <w:sz w:val="32"/>
          <w:szCs w:val="32"/>
        </w:rPr>
        <w:t>3,631.22</w:t>
      </w:r>
      <w:r>
        <w:rPr>
          <w:rFonts w:hint="eastAsia" w:ascii="仿宋_GB2312" w:hAnsi="Times New Roman" w:eastAsia="仿宋_GB2312" w:cs="仿宋_GB2312"/>
          <w:sz w:val="32"/>
          <w:szCs w:val="32"/>
        </w:rPr>
        <w:t>万元，结</w:t>
      </w:r>
      <w:r>
        <w:rPr>
          <w:rFonts w:hint="eastAsia" w:ascii="仿宋_GB2312" w:hAnsi="Times New Roman" w:eastAsia="仿宋_GB2312" w:cs="仿宋_GB2312"/>
          <w:sz w:val="32"/>
          <w:szCs w:val="32"/>
          <w:highlight w:val="none"/>
        </w:rPr>
        <w:t>余分配</w:t>
      </w:r>
      <w:r>
        <w:rPr>
          <w:rFonts w:hint="eastAsia" w:ascii="仿宋_GB2312" w:hAnsi="Times New Roman" w:eastAsia="仿宋_GB2312" w:cs="仿宋_GB2312"/>
          <w:kern w:val="0"/>
          <w:sz w:val="32"/>
          <w:szCs w:val="32"/>
          <w:highlight w:val="none"/>
        </w:rPr>
        <w:t>0.00</w:t>
      </w:r>
      <w:r>
        <w:rPr>
          <w:rFonts w:hint="eastAsia" w:ascii="仿宋_GB2312" w:hAnsi="Times New Roman" w:eastAsia="仿宋_GB2312" w:cs="仿宋_GB2312"/>
          <w:sz w:val="32"/>
          <w:szCs w:val="32"/>
          <w:highlight w:val="none"/>
        </w:rPr>
        <w:t>万元，年末结转和结余</w:t>
      </w:r>
      <w:r>
        <w:rPr>
          <w:rFonts w:hint="eastAsia" w:ascii="仿宋_GB2312" w:hAnsi="Times New Roman" w:eastAsia="仿宋_GB2312" w:cs="仿宋_GB2312"/>
          <w:kern w:val="0"/>
          <w:sz w:val="32"/>
          <w:szCs w:val="32"/>
          <w:highlight w:val="none"/>
        </w:rPr>
        <w:t>33.03</w:t>
      </w:r>
      <w:r>
        <w:rPr>
          <w:rFonts w:hint="eastAsia" w:ascii="仿宋_GB2312" w:hAnsi="Times New Roman" w:eastAsia="仿宋_GB2312" w:cs="仿宋_GB2312"/>
          <w:sz w:val="32"/>
          <w:szCs w:val="32"/>
          <w:highlight w:val="none"/>
        </w:rPr>
        <w:t>万元。支出总计</w:t>
      </w:r>
      <w:r>
        <w:rPr>
          <w:rFonts w:hint="eastAsia" w:ascii="仿宋_GB2312" w:hAnsi="Times New Roman" w:eastAsia="仿宋_GB2312" w:cs="仿宋_GB2312"/>
          <w:kern w:val="0"/>
          <w:sz w:val="32"/>
          <w:szCs w:val="32"/>
          <w:highlight w:val="none"/>
        </w:rPr>
        <w:t>与上年相比，减少300.64万元，下降7.58%，主要原因是：</w:t>
      </w:r>
      <w:r>
        <w:rPr>
          <w:rFonts w:hint="eastAsia" w:ascii="仿宋_GB2312" w:hAnsi="Times New Roman" w:eastAsia="仿宋_GB2312" w:cs="仿宋_GB2312"/>
          <w:kern w:val="0"/>
          <w:sz w:val="32"/>
          <w:szCs w:val="32"/>
          <w:highlight w:val="none"/>
          <w:lang w:val="en-US" w:eastAsia="zh-CN"/>
        </w:rPr>
        <w:t>本年受疫情影响减少城市精细化管理专项经费、非洲猪瘟疫情防控工作经费、村基础社设施项目、乌财农【2019】188土窑子食用菌大棚项目、长山子镇政府，解放村、二湾村、土梁村村级补助资金，支出减少</w:t>
      </w:r>
      <w:r>
        <w:rPr>
          <w:rFonts w:hint="eastAsia" w:ascii="仿宋_GB2312" w:hAnsi="Times New Roman" w:eastAsia="仿宋_GB2312" w:cs="仿宋_GB2312"/>
          <w:kern w:val="0"/>
          <w:sz w:val="32"/>
          <w:szCs w:val="32"/>
          <w:highlight w:val="none"/>
        </w:rPr>
        <w:t>。</w:t>
      </w:r>
    </w:p>
    <w:p>
      <w:pPr>
        <w:autoSpaceDE w:val="0"/>
        <w:autoSpaceDN w:val="0"/>
        <w:adjustRightInd w:val="0"/>
        <w:spacing w:line="360" w:lineRule="auto"/>
        <w:ind w:firstLine="640"/>
        <w:rPr>
          <w:rFonts w:hint="default" w:ascii="Times New Roman" w:hAnsi="Times New Roman" w:eastAsia="黑体"/>
          <w:sz w:val="32"/>
          <w:szCs w:val="32"/>
        </w:rPr>
      </w:pPr>
      <w:r>
        <w:rPr>
          <w:rFonts w:hint="eastAsia" w:ascii="黑体" w:hAnsi="Times New Roman" w:eastAsia="黑体" w:cs="黑体"/>
          <w:sz w:val="32"/>
          <w:szCs w:val="32"/>
          <w:lang w:val="zh-CN"/>
        </w:rPr>
        <w:t>二、收入决算情况说明</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2022年度本年收入3,631.22万元，其中：财政拨款收入3,631.22万元，占100.00%；上级补助收入0.00万元，占0.00%；事业收入0.00万元，占0.00%；经营收入0.00万元，占0.00%；附属单位上缴收入0.00万元，占0.00%；其他收入0.00万元，占0.00%。</w:t>
      </w:r>
    </w:p>
    <w:p>
      <w:pPr>
        <w:autoSpaceDE w:val="0"/>
        <w:autoSpaceDN w:val="0"/>
        <w:adjustRightInd w:val="0"/>
        <w:spacing w:line="360" w:lineRule="auto"/>
        <w:ind w:firstLine="640"/>
        <w:rPr>
          <w:rFonts w:hint="default" w:ascii="Times New Roman" w:hAnsi="Times New Roman" w:eastAsia="黑体"/>
          <w:sz w:val="32"/>
          <w:szCs w:val="32"/>
        </w:rPr>
      </w:pPr>
      <w:r>
        <w:rPr>
          <w:rFonts w:hint="eastAsia" w:ascii="黑体" w:hAnsi="Times New Roman" w:eastAsia="黑体" w:cs="黑体"/>
          <w:sz w:val="32"/>
          <w:szCs w:val="32"/>
          <w:lang w:val="zh-CN"/>
        </w:rPr>
        <w:t>三、支出决算情况说明</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2022年度本年支出3,631.22万元，其中：基本支出3,624.68万元，占99.82%；项目支出6.54万元，占0.18%；上缴上级支出0.00万元，占0.00%；经营支出0.00万元，占0.00%；对附属单位补助支出0.00万元，占0.00%。</w:t>
      </w:r>
    </w:p>
    <w:p>
      <w:pPr>
        <w:autoSpaceDE w:val="0"/>
        <w:autoSpaceDN w:val="0"/>
        <w:adjustRightInd w:val="0"/>
        <w:spacing w:line="360" w:lineRule="auto"/>
        <w:ind w:firstLine="640"/>
        <w:rPr>
          <w:rFonts w:hint="default" w:ascii="Times New Roman" w:hAnsi="Times New Roman" w:eastAsia="黑体"/>
          <w:sz w:val="32"/>
          <w:szCs w:val="32"/>
          <w:lang w:val="zh-CN"/>
        </w:rPr>
      </w:pPr>
      <w:r>
        <w:rPr>
          <w:rFonts w:hint="eastAsia" w:ascii="黑体" w:hAnsi="Times New Roman" w:eastAsia="黑体" w:cs="黑体"/>
          <w:sz w:val="32"/>
          <w:szCs w:val="32"/>
          <w:lang w:val="zh-CN"/>
        </w:rPr>
        <w:t>四、财政拨款收入支出决算总体情况说明</w:t>
      </w:r>
    </w:p>
    <w:p>
      <w:pPr>
        <w:shd w:val="clear" w:color="auto" w:fill="FFFFFF"/>
        <w:autoSpaceDE w:val="0"/>
        <w:autoSpaceDN w:val="0"/>
        <w:adjustRightInd w:val="0"/>
        <w:spacing w:line="360" w:lineRule="auto"/>
        <w:ind w:firstLine="640"/>
        <w:rPr>
          <w:rFonts w:hint="eastAsia" w:ascii="仿宋_GB2312" w:hAnsi="Times New Roman" w:eastAsia="仿宋_GB2312" w:cs="仿宋_GB2312"/>
          <w:kern w:val="0"/>
          <w:sz w:val="32"/>
          <w:szCs w:val="32"/>
          <w:highlight w:val="none"/>
        </w:rPr>
      </w:pPr>
      <w:r>
        <w:rPr>
          <w:rFonts w:hint="eastAsia" w:ascii="仿宋_GB2312" w:hAnsi="Times New Roman" w:eastAsia="仿宋_GB2312" w:cs="仿宋_GB2312"/>
          <w:kern w:val="0"/>
          <w:sz w:val="32"/>
          <w:szCs w:val="32"/>
        </w:rPr>
        <w:t>2022年度财政拨款收入</w:t>
      </w:r>
      <w:r>
        <w:rPr>
          <w:rFonts w:hint="eastAsia" w:ascii="仿宋_GB2312" w:hAnsi="Times New Roman" w:eastAsia="仿宋_GB2312" w:cs="仿宋_GB2312"/>
          <w:sz w:val="32"/>
          <w:szCs w:val="32"/>
        </w:rPr>
        <w:t>总计</w:t>
      </w:r>
      <w:r>
        <w:rPr>
          <w:rFonts w:hint="eastAsia" w:ascii="仿宋_GB2312" w:hAnsi="Times New Roman" w:eastAsia="仿宋_GB2312" w:cs="仿宋_GB2312"/>
          <w:kern w:val="0"/>
          <w:sz w:val="32"/>
          <w:szCs w:val="32"/>
        </w:rPr>
        <w:t>3,664.25万元，</w:t>
      </w:r>
      <w:r>
        <w:rPr>
          <w:rFonts w:hint="eastAsia" w:ascii="仿宋_GB2312" w:hAnsi="Times New Roman" w:eastAsia="仿宋_GB2312" w:cs="仿宋_GB2312"/>
          <w:sz w:val="32"/>
          <w:szCs w:val="32"/>
        </w:rPr>
        <w:t>其中：年初财政拨款结转和结余</w:t>
      </w:r>
      <w:r>
        <w:rPr>
          <w:rFonts w:hint="eastAsia" w:ascii="仿宋_GB2312" w:hAnsi="Times New Roman" w:eastAsia="仿宋_GB2312" w:cs="仿宋_GB2312"/>
          <w:kern w:val="0"/>
          <w:sz w:val="32"/>
          <w:szCs w:val="32"/>
        </w:rPr>
        <w:t>33.03</w:t>
      </w:r>
      <w:r>
        <w:rPr>
          <w:rFonts w:hint="eastAsia" w:ascii="仿宋_GB2312" w:hAnsi="Times New Roman" w:eastAsia="仿宋_GB2312" w:cs="仿宋_GB2312"/>
          <w:sz w:val="32"/>
          <w:szCs w:val="32"/>
        </w:rPr>
        <w:t>万元，财政拨款本年收入</w:t>
      </w:r>
      <w:r>
        <w:rPr>
          <w:rFonts w:hint="eastAsia" w:ascii="仿宋_GB2312" w:hAnsi="Times New Roman" w:eastAsia="仿宋_GB2312" w:cs="仿宋_GB2312"/>
          <w:kern w:val="0"/>
          <w:sz w:val="32"/>
          <w:szCs w:val="32"/>
        </w:rPr>
        <w:t>3,631.22</w:t>
      </w:r>
      <w:r>
        <w:rPr>
          <w:rFonts w:hint="eastAsia" w:ascii="仿宋_GB2312" w:hAnsi="Times New Roman" w:eastAsia="仿宋_GB2312" w:cs="仿宋_GB2312"/>
          <w:sz w:val="32"/>
          <w:szCs w:val="32"/>
        </w:rPr>
        <w:t>万元。财政拨款收入总计</w:t>
      </w:r>
      <w:r>
        <w:rPr>
          <w:rFonts w:hint="eastAsia" w:ascii="仿宋_GB2312" w:hAnsi="Times New Roman" w:eastAsia="仿宋_GB2312" w:cs="仿宋_GB2312"/>
          <w:kern w:val="0"/>
          <w:sz w:val="32"/>
          <w:szCs w:val="32"/>
        </w:rPr>
        <w:t>与上年相比，减少290.64万元，下降7.35%，</w:t>
      </w:r>
      <w:r>
        <w:rPr>
          <w:rFonts w:hint="eastAsia" w:ascii="仿宋_GB2312" w:hAnsi="Times New Roman" w:eastAsia="仿宋_GB2312" w:cs="仿宋_GB2312"/>
          <w:kern w:val="0"/>
          <w:sz w:val="32"/>
          <w:szCs w:val="32"/>
          <w:highlight w:val="none"/>
        </w:rPr>
        <w:t>主要原因是：</w:t>
      </w:r>
      <w:r>
        <w:rPr>
          <w:rFonts w:hint="eastAsia" w:ascii="仿宋_GB2312" w:hAnsi="Times New Roman" w:eastAsia="仿宋_GB2312" w:cs="仿宋_GB2312"/>
          <w:kern w:val="0"/>
          <w:sz w:val="32"/>
          <w:szCs w:val="32"/>
          <w:highlight w:val="none"/>
          <w:lang w:val="en-US" w:eastAsia="zh-CN"/>
        </w:rPr>
        <w:t>本年受疫情影响减少城市精细化管理专项经费、非洲猪瘟疫情防控工作经费、村基础社设施项目、乌财农【2019】188土窑子食用菌大棚项目、长山子镇政府，解放村、二湾村、土梁村村级补助资金，收入减少</w:t>
      </w:r>
      <w:r>
        <w:rPr>
          <w:rFonts w:hint="eastAsia" w:ascii="仿宋_GB2312" w:hAnsi="Times New Roman" w:eastAsia="仿宋_GB2312" w:cs="仿宋_GB2312"/>
          <w:kern w:val="0"/>
          <w:sz w:val="32"/>
          <w:szCs w:val="32"/>
          <w:highlight w:val="none"/>
        </w:rPr>
        <w:t>。</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highlight w:val="none"/>
        </w:rPr>
      </w:pPr>
      <w:r>
        <w:rPr>
          <w:rFonts w:hint="eastAsia" w:ascii="仿宋_GB2312" w:hAnsi="Times New Roman" w:eastAsia="仿宋_GB2312" w:cs="仿宋_GB2312"/>
          <w:kern w:val="0"/>
          <w:sz w:val="32"/>
          <w:szCs w:val="32"/>
        </w:rPr>
        <w:t>财政拨款支出</w:t>
      </w:r>
      <w:r>
        <w:rPr>
          <w:rFonts w:hint="eastAsia" w:ascii="仿宋_GB2312" w:hAnsi="Times New Roman" w:eastAsia="仿宋_GB2312" w:cs="仿宋_GB2312"/>
          <w:sz w:val="32"/>
          <w:szCs w:val="32"/>
        </w:rPr>
        <w:t>总计</w:t>
      </w:r>
      <w:r>
        <w:rPr>
          <w:rFonts w:hint="eastAsia" w:ascii="仿宋_GB2312" w:hAnsi="Times New Roman" w:eastAsia="仿宋_GB2312" w:cs="仿宋_GB2312"/>
          <w:kern w:val="0"/>
          <w:sz w:val="32"/>
          <w:szCs w:val="32"/>
        </w:rPr>
        <w:t>3,664.25万元，</w:t>
      </w:r>
      <w:r>
        <w:rPr>
          <w:rFonts w:hint="eastAsia" w:ascii="仿宋_GB2312" w:hAnsi="Times New Roman" w:eastAsia="仿宋_GB2312" w:cs="仿宋_GB2312"/>
          <w:sz w:val="32"/>
          <w:szCs w:val="32"/>
        </w:rPr>
        <w:t>其中：年末财政拨款结转和结余</w:t>
      </w:r>
      <w:r>
        <w:rPr>
          <w:rFonts w:hint="eastAsia" w:ascii="仿宋_GB2312" w:hAnsi="Times New Roman" w:eastAsia="仿宋_GB2312" w:cs="仿宋_GB2312"/>
          <w:kern w:val="0"/>
          <w:sz w:val="32"/>
          <w:szCs w:val="32"/>
        </w:rPr>
        <w:t>33.03</w:t>
      </w:r>
      <w:r>
        <w:rPr>
          <w:rFonts w:hint="eastAsia" w:ascii="仿宋_GB2312" w:hAnsi="Times New Roman" w:eastAsia="仿宋_GB2312" w:cs="仿宋_GB2312"/>
          <w:sz w:val="32"/>
          <w:szCs w:val="32"/>
        </w:rPr>
        <w:t>万元，财政拨款本年支出</w:t>
      </w:r>
      <w:r>
        <w:rPr>
          <w:rFonts w:hint="eastAsia" w:ascii="仿宋_GB2312" w:hAnsi="Times New Roman" w:eastAsia="仿宋_GB2312" w:cs="仿宋_GB2312"/>
          <w:kern w:val="0"/>
          <w:sz w:val="32"/>
          <w:szCs w:val="32"/>
        </w:rPr>
        <w:t>3,631.22</w:t>
      </w:r>
      <w:r>
        <w:rPr>
          <w:rFonts w:hint="eastAsia" w:ascii="仿宋_GB2312" w:hAnsi="Times New Roman" w:eastAsia="仿宋_GB2312" w:cs="仿宋_GB2312"/>
          <w:sz w:val="32"/>
          <w:szCs w:val="32"/>
        </w:rPr>
        <w:t>万元。财政拨款支出总</w:t>
      </w:r>
      <w:r>
        <w:rPr>
          <w:rFonts w:hint="eastAsia" w:ascii="仿宋_GB2312" w:hAnsi="Times New Roman" w:eastAsia="仿宋_GB2312" w:cs="仿宋_GB2312"/>
          <w:sz w:val="32"/>
          <w:szCs w:val="32"/>
          <w:highlight w:val="none"/>
        </w:rPr>
        <w:t>计</w:t>
      </w:r>
      <w:r>
        <w:rPr>
          <w:rFonts w:hint="eastAsia" w:ascii="仿宋_GB2312" w:hAnsi="Times New Roman" w:eastAsia="仿宋_GB2312" w:cs="仿宋_GB2312"/>
          <w:kern w:val="0"/>
          <w:sz w:val="32"/>
          <w:szCs w:val="32"/>
          <w:highlight w:val="none"/>
        </w:rPr>
        <w:t>与上年相比，减少290.64万元，下降7.35%，主要原因是：</w:t>
      </w:r>
      <w:r>
        <w:rPr>
          <w:rFonts w:hint="eastAsia" w:ascii="仿宋_GB2312" w:hAnsi="Times New Roman" w:eastAsia="仿宋_GB2312" w:cs="仿宋_GB2312"/>
          <w:kern w:val="0"/>
          <w:sz w:val="32"/>
          <w:szCs w:val="32"/>
          <w:highlight w:val="none"/>
          <w:lang w:val="en-US" w:eastAsia="zh-CN"/>
        </w:rPr>
        <w:t>本年受疫情影响减少城市精细化管理专项经费、非洲猪瘟疫情防控工作经费、村基础社设施项目、乌财农【2019】188土窑子食用菌大棚项目、长山子镇政府，解放村、二湾村、土梁村村级补助资金，支出减少</w:t>
      </w:r>
      <w:r>
        <w:rPr>
          <w:rFonts w:hint="eastAsia" w:ascii="仿宋_GB2312" w:hAnsi="Times New Roman" w:eastAsia="仿宋_GB2312" w:cs="仿宋_GB2312"/>
          <w:kern w:val="0"/>
          <w:sz w:val="32"/>
          <w:szCs w:val="32"/>
          <w:highlight w:val="none"/>
        </w:rPr>
        <w:t>。</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highlight w:val="none"/>
        </w:rPr>
      </w:pPr>
      <w:r>
        <w:rPr>
          <w:rFonts w:hint="eastAsia" w:ascii="仿宋_GB2312" w:hAnsi="Times New Roman" w:eastAsia="仿宋_GB2312" w:cs="仿宋_GB2312"/>
          <w:kern w:val="0"/>
          <w:sz w:val="32"/>
          <w:szCs w:val="32"/>
        </w:rPr>
        <w:t>与年初预算数相比情况：财政拨款收入</w:t>
      </w:r>
      <w:r>
        <w:rPr>
          <w:rFonts w:hint="eastAsia" w:ascii="仿宋_GB2312" w:hAnsi="Times New Roman" w:eastAsia="仿宋_GB2312" w:cs="仿宋_GB2312"/>
          <w:sz w:val="32"/>
          <w:szCs w:val="32"/>
        </w:rPr>
        <w:t>总计</w:t>
      </w:r>
      <w:r>
        <w:rPr>
          <w:rFonts w:hint="eastAsia" w:ascii="仿宋_GB2312" w:hAnsi="Times New Roman" w:eastAsia="仿宋_GB2312" w:cs="仿宋_GB2312"/>
          <w:kern w:val="0"/>
          <w:sz w:val="32"/>
          <w:szCs w:val="32"/>
        </w:rPr>
        <w:t>年初预算数4,815.71万元，决算数3,664.25万元，预决算差异率-23.91%，</w:t>
      </w:r>
      <w:r>
        <w:rPr>
          <w:rFonts w:hint="eastAsia" w:ascii="仿宋_GB2312" w:hAnsi="Times New Roman" w:eastAsia="仿宋_GB2312" w:cs="仿宋_GB2312"/>
          <w:kern w:val="0"/>
          <w:sz w:val="32"/>
          <w:szCs w:val="32"/>
          <w:highlight w:val="none"/>
        </w:rPr>
        <w:t>主要原因是：</w:t>
      </w:r>
      <w:r>
        <w:rPr>
          <w:rFonts w:hint="eastAsia" w:ascii="仿宋_GB2312" w:hAnsi="Times New Roman" w:eastAsia="仿宋_GB2312" w:cs="仿宋_GB2312"/>
          <w:kern w:val="0"/>
          <w:sz w:val="32"/>
          <w:szCs w:val="32"/>
          <w:highlight w:val="none"/>
          <w:lang w:val="en-US" w:eastAsia="zh-CN"/>
        </w:rPr>
        <w:t>本年调减城市精细化管理专项经费、非洲猪瘟疫情防控工作经费、村基础社设施项目、乌财农【2019】188土窑子食用菌大棚项目、长山子镇政府，解放村、二湾村、土梁村村级补助资金，收入减少，与预算相比导致差异</w:t>
      </w:r>
      <w:r>
        <w:rPr>
          <w:rFonts w:hint="eastAsia" w:ascii="仿宋_GB2312" w:hAnsi="Times New Roman" w:eastAsia="仿宋_GB2312" w:cs="仿宋_GB2312"/>
          <w:kern w:val="0"/>
          <w:sz w:val="32"/>
          <w:szCs w:val="32"/>
          <w:highlight w:val="none"/>
        </w:rPr>
        <w:t>。财</w:t>
      </w:r>
      <w:r>
        <w:rPr>
          <w:rFonts w:hint="eastAsia" w:ascii="仿宋_GB2312" w:hAnsi="Times New Roman" w:eastAsia="仿宋_GB2312" w:cs="仿宋_GB2312"/>
          <w:kern w:val="0"/>
          <w:sz w:val="32"/>
          <w:szCs w:val="32"/>
        </w:rPr>
        <w:t>政拨款支出</w:t>
      </w:r>
      <w:r>
        <w:rPr>
          <w:rFonts w:hint="eastAsia" w:ascii="仿宋_GB2312" w:hAnsi="Times New Roman" w:eastAsia="仿宋_GB2312" w:cs="仿宋_GB2312"/>
          <w:sz w:val="32"/>
          <w:szCs w:val="32"/>
        </w:rPr>
        <w:t>总计</w:t>
      </w:r>
      <w:r>
        <w:rPr>
          <w:rFonts w:hint="eastAsia" w:ascii="仿宋_GB2312" w:hAnsi="Times New Roman" w:eastAsia="仿宋_GB2312" w:cs="仿宋_GB2312"/>
          <w:kern w:val="0"/>
          <w:sz w:val="32"/>
          <w:szCs w:val="32"/>
        </w:rPr>
        <w:t>年初预算数4,815.71万元，决算数3,664.25万元，预决算差异率-23.91%</w:t>
      </w:r>
      <w:r>
        <w:rPr>
          <w:rFonts w:hint="eastAsia" w:ascii="仿宋_GB2312" w:hAnsi="Times New Roman" w:eastAsia="仿宋_GB2312" w:cs="仿宋_GB2312"/>
          <w:kern w:val="0"/>
          <w:sz w:val="32"/>
          <w:szCs w:val="32"/>
          <w:highlight w:val="none"/>
        </w:rPr>
        <w:t>，主要原因是：</w:t>
      </w:r>
      <w:r>
        <w:rPr>
          <w:rFonts w:hint="eastAsia" w:ascii="仿宋_GB2312" w:hAnsi="Times New Roman" w:eastAsia="仿宋_GB2312" w:cs="仿宋_GB2312"/>
          <w:kern w:val="0"/>
          <w:sz w:val="32"/>
          <w:szCs w:val="32"/>
          <w:highlight w:val="none"/>
          <w:lang w:val="en-US" w:eastAsia="zh-CN"/>
        </w:rPr>
        <w:t>本年调减</w:t>
      </w:r>
      <w:r>
        <w:rPr>
          <w:rFonts w:hint="eastAsia" w:ascii="仿宋_GB2312" w:hAnsi="Times New Roman" w:eastAsia="仿宋_GB2312" w:cs="仿宋_GB2312"/>
          <w:kern w:val="0"/>
          <w:sz w:val="32"/>
          <w:szCs w:val="32"/>
          <w:highlight w:val="none"/>
        </w:rPr>
        <w:t>城市精细化管理专项经费、非洲猪瘟疫情防控工作经费、村基础社设施项目、乌财农【2019】188土窑子食用菌大棚项目、长山子镇政府，解放村、二湾村、土梁村村级补助资金，</w:t>
      </w:r>
      <w:r>
        <w:rPr>
          <w:rFonts w:hint="eastAsia" w:ascii="仿宋_GB2312" w:hAnsi="Times New Roman" w:eastAsia="仿宋_GB2312" w:cs="仿宋_GB2312"/>
          <w:kern w:val="0"/>
          <w:sz w:val="32"/>
          <w:szCs w:val="32"/>
          <w:highlight w:val="none"/>
          <w:lang w:val="en-US" w:eastAsia="zh-CN"/>
        </w:rPr>
        <w:t>支出减少，与预算相比导致差异</w:t>
      </w:r>
      <w:r>
        <w:rPr>
          <w:rFonts w:hint="eastAsia" w:ascii="仿宋_GB2312" w:hAnsi="Times New Roman" w:eastAsia="仿宋_GB2312" w:cs="仿宋_GB2312"/>
          <w:kern w:val="0"/>
          <w:sz w:val="32"/>
          <w:szCs w:val="32"/>
          <w:highlight w:val="none"/>
        </w:rPr>
        <w:t>。</w:t>
      </w:r>
    </w:p>
    <w:p>
      <w:pPr>
        <w:autoSpaceDE w:val="0"/>
        <w:autoSpaceDN w:val="0"/>
        <w:adjustRightInd w:val="0"/>
        <w:spacing w:line="360" w:lineRule="auto"/>
        <w:ind w:firstLine="640"/>
        <w:rPr>
          <w:rFonts w:hint="default" w:ascii="Times New Roman" w:hAnsi="Times New Roman" w:eastAsia="黑体"/>
          <w:sz w:val="32"/>
          <w:szCs w:val="32"/>
          <w:lang w:val="zh-CN"/>
        </w:rPr>
      </w:pPr>
      <w:r>
        <w:rPr>
          <w:rFonts w:hint="eastAsia" w:ascii="黑体" w:hAnsi="Times New Roman" w:eastAsia="黑体" w:cs="黑体"/>
          <w:sz w:val="32"/>
          <w:szCs w:val="32"/>
          <w:lang w:val="zh-CN"/>
        </w:rPr>
        <w:t>五、一般公共预算财政拨款支出决算情况说明</w:t>
      </w:r>
    </w:p>
    <w:p>
      <w:pPr>
        <w:autoSpaceDE w:val="0"/>
        <w:autoSpaceDN w:val="0"/>
        <w:adjustRightInd w:val="0"/>
        <w:ind w:firstLine="640"/>
        <w:rPr>
          <w:rFonts w:hint="default" w:ascii="Times New Roman" w:hAnsi="Times New Roman" w:eastAsia="黑体"/>
          <w:sz w:val="32"/>
          <w:szCs w:val="32"/>
        </w:rPr>
      </w:pPr>
      <w:r>
        <w:rPr>
          <w:rFonts w:hint="eastAsia" w:ascii="黑体" w:hAnsi="Times New Roman" w:eastAsia="黑体" w:cs="黑体"/>
          <w:sz w:val="32"/>
          <w:szCs w:val="32"/>
        </w:rPr>
        <w:t>（一）一般公共预算财政拨款支出决算总体情况</w:t>
      </w:r>
    </w:p>
    <w:p>
      <w:pPr>
        <w:autoSpaceDE w:val="0"/>
        <w:autoSpaceDN w:val="0"/>
        <w:adjustRightInd w:val="0"/>
        <w:spacing w:line="600" w:lineRule="exact"/>
        <w:ind w:firstLine="640"/>
        <w:rPr>
          <w:rFonts w:hint="eastAsia" w:ascii="仿宋_GB2312" w:hAnsi="Times New Roman" w:eastAsia="仿宋_GB2312" w:cs="仿宋_GB2312"/>
          <w:kern w:val="0"/>
          <w:sz w:val="32"/>
          <w:szCs w:val="32"/>
          <w:highlight w:val="none"/>
        </w:rPr>
      </w:pPr>
      <w:r>
        <w:rPr>
          <w:rFonts w:hint="eastAsia" w:ascii="仿宋_GB2312" w:hAnsi="Times New Roman" w:eastAsia="仿宋_GB2312" w:cs="仿宋_GB2312"/>
          <w:sz w:val="32"/>
          <w:szCs w:val="32"/>
        </w:rPr>
        <w:t>2022年度一般公共预算财政拨款支出</w:t>
      </w:r>
      <w:r>
        <w:rPr>
          <w:rFonts w:hint="eastAsia" w:ascii="仿宋_GB2312" w:hAnsi="Times New Roman" w:eastAsia="仿宋_GB2312" w:cs="仿宋_GB2312"/>
          <w:kern w:val="0"/>
          <w:sz w:val="32"/>
          <w:szCs w:val="32"/>
        </w:rPr>
        <w:t>3,631.22</w:t>
      </w:r>
      <w:r>
        <w:rPr>
          <w:rFonts w:hint="eastAsia" w:ascii="仿宋_GB2312" w:hAnsi="Times New Roman" w:eastAsia="仿宋_GB2312" w:cs="仿宋_GB2312"/>
          <w:sz w:val="32"/>
          <w:szCs w:val="32"/>
        </w:rPr>
        <w:t>万元，占本年支出合计的</w:t>
      </w:r>
      <w:r>
        <w:rPr>
          <w:rFonts w:hint="eastAsia" w:ascii="仿宋_GB2312" w:hAnsi="Times New Roman" w:eastAsia="仿宋_GB2312" w:cs="仿宋_GB2312"/>
          <w:kern w:val="0"/>
          <w:sz w:val="32"/>
          <w:szCs w:val="32"/>
        </w:rPr>
        <w:t>100.00%</w:t>
      </w:r>
      <w:r>
        <w:rPr>
          <w:rFonts w:hint="eastAsia" w:ascii="仿宋_GB2312" w:hAnsi="Times New Roman" w:eastAsia="仿宋_GB2312" w:cs="仿宋_GB2312"/>
          <w:sz w:val="32"/>
          <w:szCs w:val="32"/>
        </w:rPr>
        <w:t>，与上年相比，</w:t>
      </w:r>
      <w:r>
        <w:rPr>
          <w:rFonts w:hint="eastAsia" w:ascii="仿宋_GB2312" w:hAnsi="Times New Roman" w:eastAsia="仿宋_GB2312" w:cs="仿宋_GB2312"/>
          <w:kern w:val="0"/>
          <w:sz w:val="32"/>
          <w:szCs w:val="32"/>
        </w:rPr>
        <w:t>减少290.64万元，下降7.</w:t>
      </w:r>
      <w:r>
        <w:rPr>
          <w:rFonts w:hint="eastAsia" w:ascii="仿宋_GB2312" w:hAnsi="Times New Roman" w:eastAsia="仿宋_GB2312" w:cs="仿宋_GB2312"/>
          <w:kern w:val="0"/>
          <w:sz w:val="32"/>
          <w:szCs w:val="32"/>
          <w:highlight w:val="none"/>
        </w:rPr>
        <w:t>41%，主要原因是：</w:t>
      </w:r>
      <w:r>
        <w:rPr>
          <w:rFonts w:hint="eastAsia" w:ascii="仿宋_GB2312" w:hAnsi="Times New Roman" w:eastAsia="仿宋_GB2312" w:cs="仿宋_GB2312"/>
          <w:kern w:val="0"/>
          <w:sz w:val="32"/>
          <w:szCs w:val="32"/>
          <w:highlight w:val="none"/>
          <w:lang w:val="en-US" w:eastAsia="zh-CN"/>
        </w:rPr>
        <w:t>本年受疫情影响减少城市精细化管理专项经费、非洲猪瘟疫情防控工作经费、村基础社设施项目、乌财农【2019】188土窑子食用菌大棚项目、长山子镇政府，解放村、二湾村、土梁村村级补助资金，支出减少</w:t>
      </w:r>
      <w:r>
        <w:rPr>
          <w:rFonts w:hint="eastAsia" w:ascii="仿宋_GB2312" w:hAnsi="Times New Roman" w:eastAsia="仿宋_GB2312" w:cs="仿宋_GB2312"/>
          <w:kern w:val="0"/>
          <w:sz w:val="32"/>
          <w:szCs w:val="32"/>
          <w:highlight w:val="none"/>
        </w:rPr>
        <w:t>。</w:t>
      </w:r>
    </w:p>
    <w:p>
      <w:pPr>
        <w:autoSpaceDE w:val="0"/>
        <w:autoSpaceDN w:val="0"/>
        <w:adjustRightInd w:val="0"/>
        <w:ind w:firstLine="640"/>
        <w:rPr>
          <w:rFonts w:hint="default" w:ascii="Times New Roman" w:hAnsi="Times New Roman" w:eastAsia="黑体"/>
          <w:sz w:val="32"/>
          <w:szCs w:val="32"/>
        </w:rPr>
      </w:pPr>
      <w:r>
        <w:rPr>
          <w:rFonts w:hint="eastAsia" w:ascii="黑体" w:hAnsi="Times New Roman" w:eastAsia="黑体" w:cs="黑体"/>
          <w:sz w:val="32"/>
          <w:szCs w:val="32"/>
        </w:rPr>
        <w:t>（二）一般公共预算财政拨款支出决算结构情况</w:t>
      </w:r>
    </w:p>
    <w:p>
      <w:pPr>
        <w:autoSpaceDE w:val="0"/>
        <w:autoSpaceDN w:val="0"/>
        <w:adjustRightInd w:val="0"/>
        <w:spacing w:line="600" w:lineRule="exact"/>
        <w:ind w:firstLine="640"/>
        <w:rPr>
          <w:rFonts w:hint="eastAsia" w:ascii="仿宋_GB2312" w:hAnsi="Times New Roman" w:eastAsia="仿宋_GB2312" w:cs="仿宋_GB2312"/>
          <w:kern w:val="0"/>
          <w:sz w:val="32"/>
          <w:szCs w:val="32"/>
        </w:rPr>
      </w:pPr>
      <w:r>
        <w:rPr>
          <w:rFonts w:hint="eastAsia" w:ascii="仿宋_GB2312" w:hAnsi="Times New Roman" w:eastAsia="仿宋_GB2312" w:cs="仿宋_GB2312"/>
          <w:kern w:val="0"/>
          <w:sz w:val="32"/>
          <w:szCs w:val="32"/>
        </w:rPr>
        <w:t>1.一般公共服务支出（类）2,723.46万元，占75.00%；</w:t>
      </w:r>
    </w:p>
    <w:p>
      <w:pPr>
        <w:autoSpaceDE w:val="0"/>
        <w:autoSpaceDN w:val="0"/>
        <w:adjustRightInd w:val="0"/>
        <w:spacing w:line="600" w:lineRule="exact"/>
        <w:ind w:firstLine="640"/>
        <w:rPr>
          <w:rFonts w:hint="eastAsia" w:ascii="仿宋_GB2312" w:hAnsi="Times New Roman" w:eastAsia="仿宋_GB2312" w:cs="仿宋_GB2312"/>
          <w:kern w:val="0"/>
          <w:sz w:val="32"/>
          <w:szCs w:val="32"/>
        </w:rPr>
      </w:pPr>
      <w:r>
        <w:rPr>
          <w:rFonts w:hint="eastAsia" w:ascii="仿宋_GB2312" w:hAnsi="Times New Roman" w:eastAsia="仿宋_GB2312" w:cs="仿宋_GB2312"/>
          <w:kern w:val="0"/>
          <w:sz w:val="32"/>
          <w:szCs w:val="32"/>
        </w:rPr>
        <w:t>2.社会保障和就业支出（类）123.58万元，占3.40%；</w:t>
      </w:r>
    </w:p>
    <w:p>
      <w:pPr>
        <w:autoSpaceDE w:val="0"/>
        <w:autoSpaceDN w:val="0"/>
        <w:adjustRightInd w:val="0"/>
        <w:spacing w:line="600" w:lineRule="exact"/>
        <w:ind w:firstLine="640"/>
        <w:rPr>
          <w:rFonts w:hint="eastAsia" w:ascii="仿宋_GB2312" w:hAnsi="Times New Roman" w:eastAsia="仿宋_GB2312" w:cs="仿宋_GB2312"/>
          <w:kern w:val="0"/>
          <w:sz w:val="32"/>
          <w:szCs w:val="32"/>
        </w:rPr>
      </w:pPr>
      <w:r>
        <w:rPr>
          <w:rFonts w:hint="eastAsia" w:ascii="仿宋_GB2312" w:hAnsi="Times New Roman" w:eastAsia="仿宋_GB2312" w:cs="仿宋_GB2312"/>
          <w:kern w:val="0"/>
          <w:sz w:val="32"/>
          <w:szCs w:val="32"/>
        </w:rPr>
        <w:t>3.卫生健康支出（类）36.67万元，占1.01%；</w:t>
      </w:r>
    </w:p>
    <w:p>
      <w:pPr>
        <w:autoSpaceDE w:val="0"/>
        <w:autoSpaceDN w:val="0"/>
        <w:adjustRightInd w:val="0"/>
        <w:spacing w:line="600" w:lineRule="exact"/>
        <w:ind w:firstLine="640"/>
        <w:rPr>
          <w:rFonts w:hint="default" w:ascii="Times New Roman" w:hAnsi="Times New Roman" w:eastAsia="仿宋_GB2312"/>
          <w:kern w:val="0"/>
          <w:sz w:val="32"/>
          <w:szCs w:val="32"/>
          <w:highlight w:val="yellow"/>
        </w:rPr>
      </w:pPr>
      <w:r>
        <w:rPr>
          <w:rFonts w:hint="eastAsia" w:ascii="仿宋_GB2312" w:hAnsi="Times New Roman" w:eastAsia="仿宋_GB2312" w:cs="仿宋_GB2312"/>
          <w:kern w:val="0"/>
          <w:sz w:val="32"/>
          <w:szCs w:val="32"/>
        </w:rPr>
        <w:t>4.农林水支出（类）747.51万元，占20.59%。</w:t>
      </w:r>
    </w:p>
    <w:p>
      <w:pPr>
        <w:autoSpaceDE w:val="0"/>
        <w:autoSpaceDN w:val="0"/>
        <w:adjustRightInd w:val="0"/>
        <w:ind w:firstLine="640"/>
        <w:rPr>
          <w:rFonts w:hint="default" w:ascii="Times New Roman" w:hAnsi="Times New Roman" w:eastAsia="黑体"/>
          <w:sz w:val="32"/>
          <w:szCs w:val="32"/>
        </w:rPr>
      </w:pPr>
      <w:r>
        <w:rPr>
          <w:rFonts w:hint="eastAsia" w:ascii="黑体" w:hAnsi="Times New Roman" w:eastAsia="黑体" w:cs="黑体"/>
          <w:sz w:val="32"/>
          <w:szCs w:val="32"/>
        </w:rPr>
        <w:t>（三）一般公共预算财政拨款支出决算具体情况</w:t>
      </w:r>
    </w:p>
    <w:p>
      <w:pPr>
        <w:autoSpaceDE w:val="0"/>
        <w:autoSpaceDN w:val="0"/>
        <w:adjustRightInd w:val="0"/>
        <w:spacing w:line="360" w:lineRule="auto"/>
        <w:ind w:firstLine="640"/>
        <w:rPr>
          <w:rFonts w:hint="eastAsia" w:ascii="仿宋_GB2312" w:hAnsi="Times New Roman" w:eastAsia="仿宋_GB2312" w:cs="仿宋_GB2312"/>
          <w:sz w:val="32"/>
          <w:szCs w:val="32"/>
          <w:highlight w:val="none"/>
        </w:rPr>
      </w:pPr>
      <w:r>
        <w:rPr>
          <w:rFonts w:hint="eastAsia" w:ascii="仿宋_GB2312" w:hAnsi="Times New Roman" w:eastAsia="仿宋_GB2312" w:cs="仿宋_GB2312"/>
          <w:sz w:val="32"/>
          <w:szCs w:val="32"/>
          <w:highlight w:val="none"/>
        </w:rPr>
        <w:t>1.一般公共服务支出（类）人大事务（款）行政运行（项）:支出决算数为3.64万元，比上年决算增加3.64万元，增长100.00%，主要原因是：</w:t>
      </w:r>
      <w:r>
        <w:rPr>
          <w:rFonts w:hint="eastAsia" w:ascii="仿宋_GB2312" w:hAnsi="Times New Roman" w:eastAsia="仿宋_GB2312" w:cs="仿宋_GB2312"/>
          <w:sz w:val="32"/>
          <w:szCs w:val="32"/>
          <w:highlight w:val="none"/>
          <w:lang w:val="en-US" w:eastAsia="zh-CN"/>
        </w:rPr>
        <w:t>本年我单位人员工资薪金、绩效奖金调标，此项支出增加</w:t>
      </w:r>
      <w:r>
        <w:rPr>
          <w:rFonts w:hint="eastAsia" w:ascii="仿宋_GB2312" w:hAnsi="Times New Roman" w:eastAsia="仿宋_GB2312" w:cs="仿宋_GB2312"/>
          <w:sz w:val="32"/>
          <w:szCs w:val="32"/>
          <w:highlight w:val="none"/>
        </w:rPr>
        <w:t>；</w:t>
      </w:r>
    </w:p>
    <w:p>
      <w:pPr>
        <w:autoSpaceDE w:val="0"/>
        <w:autoSpaceDN w:val="0"/>
        <w:adjustRightInd w:val="0"/>
        <w:spacing w:line="360" w:lineRule="auto"/>
        <w:ind w:firstLine="640"/>
        <w:rPr>
          <w:rFonts w:hint="eastAsia" w:ascii="仿宋_GB2312" w:hAnsi="Times New Roman" w:eastAsia="仿宋_GB2312" w:cs="仿宋_GB2312"/>
          <w:sz w:val="32"/>
          <w:szCs w:val="32"/>
          <w:highlight w:val="none"/>
        </w:rPr>
      </w:pPr>
      <w:r>
        <w:rPr>
          <w:rFonts w:hint="eastAsia" w:ascii="仿宋_GB2312" w:hAnsi="Times New Roman" w:eastAsia="仿宋_GB2312" w:cs="仿宋_GB2312"/>
          <w:sz w:val="32"/>
          <w:szCs w:val="32"/>
          <w:highlight w:val="none"/>
        </w:rPr>
        <w:t>2.一般公共服务支出（类）人大事务（款）机关服务（项）:支出决算数为0.00万元，比上年决算减少109.67万元，下降100.00%，主要原因是：</w:t>
      </w:r>
      <w:r>
        <w:rPr>
          <w:rFonts w:hint="eastAsia" w:ascii="仿宋_GB2312" w:hAnsi="Times New Roman" w:eastAsia="仿宋_GB2312" w:cs="仿宋_GB2312"/>
          <w:sz w:val="32"/>
          <w:szCs w:val="32"/>
          <w:highlight w:val="none"/>
          <w:lang w:val="en-US" w:eastAsia="zh-CN"/>
        </w:rPr>
        <w:t>本年此功能科目未支出</w:t>
      </w:r>
      <w:r>
        <w:rPr>
          <w:rFonts w:hint="eastAsia" w:ascii="仿宋_GB2312" w:hAnsi="Times New Roman" w:eastAsia="仿宋_GB2312" w:cs="仿宋_GB2312"/>
          <w:sz w:val="32"/>
          <w:szCs w:val="32"/>
          <w:highlight w:val="none"/>
        </w:rPr>
        <w:t>；</w:t>
      </w:r>
    </w:p>
    <w:p>
      <w:pPr>
        <w:autoSpaceDE w:val="0"/>
        <w:autoSpaceDN w:val="0"/>
        <w:adjustRightInd w:val="0"/>
        <w:spacing w:line="360" w:lineRule="auto"/>
        <w:ind w:firstLine="640"/>
        <w:rPr>
          <w:rFonts w:hint="eastAsia" w:ascii="仿宋_GB2312" w:hAnsi="Times New Roman" w:eastAsia="仿宋_GB2312" w:cs="仿宋_GB2312"/>
          <w:sz w:val="32"/>
          <w:szCs w:val="32"/>
          <w:highlight w:val="none"/>
        </w:rPr>
      </w:pPr>
      <w:r>
        <w:rPr>
          <w:rFonts w:hint="eastAsia" w:ascii="仿宋_GB2312" w:hAnsi="Times New Roman" w:eastAsia="仿宋_GB2312" w:cs="仿宋_GB2312"/>
          <w:sz w:val="32"/>
          <w:szCs w:val="32"/>
          <w:highlight w:val="none"/>
        </w:rPr>
        <w:t>3.一般公共服务支出（类）政府办公厅（室）及相关机构事务（款）行政运行（项）:支出决算数为2,719.82万元，比上年决算增加95.72万元，增长3.65%，主要原因是：本年我单位人员工资薪金、绩效奖金调</w:t>
      </w:r>
      <w:r>
        <w:rPr>
          <w:rFonts w:hint="eastAsia" w:ascii="仿宋_GB2312" w:hAnsi="Times New Roman" w:eastAsia="仿宋_GB2312" w:cs="仿宋_GB2312"/>
          <w:sz w:val="32"/>
          <w:szCs w:val="32"/>
          <w:highlight w:val="none"/>
          <w:lang w:val="en-US" w:eastAsia="zh-CN"/>
        </w:rPr>
        <w:t>标</w:t>
      </w:r>
      <w:r>
        <w:rPr>
          <w:rFonts w:hint="eastAsia" w:ascii="仿宋_GB2312" w:hAnsi="Times New Roman" w:eastAsia="仿宋_GB2312" w:cs="仿宋_GB2312"/>
          <w:sz w:val="32"/>
          <w:szCs w:val="32"/>
          <w:highlight w:val="none"/>
        </w:rPr>
        <w:t>，此项支出增加；</w:t>
      </w:r>
    </w:p>
    <w:p>
      <w:pPr>
        <w:autoSpaceDE w:val="0"/>
        <w:autoSpaceDN w:val="0"/>
        <w:adjustRightInd w:val="0"/>
        <w:spacing w:line="360" w:lineRule="auto"/>
        <w:ind w:firstLine="640"/>
        <w:rPr>
          <w:rFonts w:hint="eastAsia" w:ascii="仿宋_GB2312" w:hAnsi="Times New Roman" w:eastAsia="仿宋_GB2312" w:cs="仿宋_GB2312"/>
          <w:sz w:val="32"/>
          <w:szCs w:val="32"/>
          <w:highlight w:val="none"/>
        </w:rPr>
      </w:pPr>
      <w:r>
        <w:rPr>
          <w:rFonts w:hint="eastAsia" w:ascii="仿宋_GB2312" w:hAnsi="Times New Roman" w:eastAsia="仿宋_GB2312" w:cs="仿宋_GB2312"/>
          <w:sz w:val="32"/>
          <w:szCs w:val="32"/>
          <w:highlight w:val="none"/>
        </w:rPr>
        <w:t>4.一般公共服务支出（类）政府办公厅（室）及相关机构事务（款）事业运行（项）:支出决算数为0.00万元，比上年决算减少120.02万元，下降100.00%，主要原因是：</w:t>
      </w:r>
      <w:r>
        <w:rPr>
          <w:rFonts w:hint="eastAsia" w:ascii="仿宋_GB2312" w:hAnsi="Times New Roman" w:eastAsia="仿宋_GB2312" w:cs="仿宋_GB2312"/>
          <w:sz w:val="32"/>
          <w:szCs w:val="32"/>
          <w:highlight w:val="none"/>
          <w:lang w:val="en-US" w:eastAsia="zh-CN"/>
        </w:rPr>
        <w:t>本年此功能科目未支出</w:t>
      </w:r>
      <w:r>
        <w:rPr>
          <w:rFonts w:hint="eastAsia" w:ascii="仿宋_GB2312" w:hAnsi="Times New Roman" w:eastAsia="仿宋_GB2312" w:cs="仿宋_GB2312"/>
          <w:sz w:val="32"/>
          <w:szCs w:val="32"/>
          <w:highlight w:val="none"/>
        </w:rPr>
        <w:t>；</w:t>
      </w:r>
    </w:p>
    <w:p>
      <w:pPr>
        <w:autoSpaceDE w:val="0"/>
        <w:autoSpaceDN w:val="0"/>
        <w:adjustRightInd w:val="0"/>
        <w:spacing w:line="360" w:lineRule="auto"/>
        <w:ind w:firstLine="640"/>
        <w:rPr>
          <w:rFonts w:hint="eastAsia" w:ascii="仿宋_GB2312" w:hAnsi="Times New Roman" w:eastAsia="仿宋_GB2312" w:cs="仿宋_GB2312"/>
          <w:sz w:val="32"/>
          <w:szCs w:val="32"/>
          <w:highlight w:val="none"/>
        </w:rPr>
      </w:pPr>
      <w:r>
        <w:rPr>
          <w:rFonts w:hint="eastAsia" w:ascii="仿宋_GB2312" w:hAnsi="Times New Roman" w:eastAsia="仿宋_GB2312" w:cs="仿宋_GB2312"/>
          <w:sz w:val="32"/>
          <w:szCs w:val="32"/>
          <w:highlight w:val="none"/>
        </w:rPr>
        <w:t>5.文化旅游体育与传媒支出（类）文化和旅游（款）机关服务（项）:支出决算数为0.00万元，比上年决算减少98.27万元，下降100.00%，主要原因是：</w:t>
      </w:r>
      <w:r>
        <w:rPr>
          <w:rFonts w:hint="eastAsia" w:ascii="仿宋_GB2312" w:hAnsi="Times New Roman" w:eastAsia="仿宋_GB2312" w:cs="仿宋_GB2312"/>
          <w:sz w:val="32"/>
          <w:szCs w:val="32"/>
          <w:highlight w:val="none"/>
          <w:lang w:val="en-US" w:eastAsia="zh-CN"/>
        </w:rPr>
        <w:t>本年此功能科目未支出</w:t>
      </w:r>
      <w:r>
        <w:rPr>
          <w:rFonts w:hint="eastAsia" w:ascii="仿宋_GB2312" w:hAnsi="Times New Roman" w:eastAsia="仿宋_GB2312" w:cs="仿宋_GB2312"/>
          <w:sz w:val="32"/>
          <w:szCs w:val="32"/>
          <w:highlight w:val="none"/>
        </w:rPr>
        <w:t>；</w:t>
      </w:r>
    </w:p>
    <w:p>
      <w:pPr>
        <w:autoSpaceDE w:val="0"/>
        <w:autoSpaceDN w:val="0"/>
        <w:adjustRightInd w:val="0"/>
        <w:spacing w:line="360" w:lineRule="auto"/>
        <w:ind w:firstLine="640"/>
        <w:rPr>
          <w:rFonts w:hint="eastAsia" w:ascii="仿宋_GB2312" w:hAnsi="Times New Roman" w:eastAsia="仿宋_GB2312" w:cs="仿宋_GB2312"/>
          <w:sz w:val="32"/>
          <w:szCs w:val="32"/>
          <w:highlight w:val="none"/>
        </w:rPr>
      </w:pPr>
      <w:r>
        <w:rPr>
          <w:rFonts w:hint="eastAsia" w:ascii="仿宋_GB2312" w:hAnsi="Times New Roman" w:eastAsia="仿宋_GB2312" w:cs="仿宋_GB2312"/>
          <w:sz w:val="32"/>
          <w:szCs w:val="32"/>
          <w:highlight w:val="none"/>
        </w:rPr>
        <w:t>6.社会保障和就业支出（类）人力资源和社会保障管理事务（款）机关服务（项）:支出决算数为0.00万元，比上年决算减少127.30万元，下降100.00%，主要原因是：</w:t>
      </w:r>
      <w:r>
        <w:rPr>
          <w:rFonts w:hint="eastAsia" w:ascii="仿宋_GB2312" w:hAnsi="Times New Roman" w:eastAsia="仿宋_GB2312" w:cs="仿宋_GB2312"/>
          <w:sz w:val="32"/>
          <w:szCs w:val="32"/>
          <w:highlight w:val="none"/>
          <w:lang w:val="en-US" w:eastAsia="zh-CN"/>
        </w:rPr>
        <w:t>本年此功能科目未支出</w:t>
      </w:r>
      <w:r>
        <w:rPr>
          <w:rFonts w:hint="eastAsia" w:ascii="仿宋_GB2312" w:hAnsi="Times New Roman" w:eastAsia="仿宋_GB2312" w:cs="仿宋_GB2312"/>
          <w:sz w:val="32"/>
          <w:szCs w:val="32"/>
          <w:highlight w:val="none"/>
        </w:rPr>
        <w:t>；</w:t>
      </w:r>
    </w:p>
    <w:p>
      <w:pPr>
        <w:autoSpaceDE w:val="0"/>
        <w:autoSpaceDN w:val="0"/>
        <w:adjustRightInd w:val="0"/>
        <w:spacing w:line="360" w:lineRule="auto"/>
        <w:ind w:firstLine="640"/>
        <w:rPr>
          <w:rFonts w:hint="eastAsia" w:ascii="仿宋_GB2312" w:hAnsi="Times New Roman" w:eastAsia="仿宋_GB2312" w:cs="仿宋_GB2312"/>
          <w:sz w:val="32"/>
          <w:szCs w:val="32"/>
          <w:highlight w:val="none"/>
        </w:rPr>
      </w:pPr>
      <w:r>
        <w:rPr>
          <w:rFonts w:hint="eastAsia" w:ascii="仿宋_GB2312" w:hAnsi="Times New Roman" w:eastAsia="仿宋_GB2312" w:cs="仿宋_GB2312"/>
          <w:sz w:val="32"/>
          <w:szCs w:val="32"/>
          <w:highlight w:val="none"/>
        </w:rPr>
        <w:t>7.社会保障和就业支出（类）民政管理事务（款）基层政权建设和社区治理（项）:支出决算数为0.00万元，比上年决算减少269.04万元，下降100.00%，主要原因是：</w:t>
      </w:r>
      <w:r>
        <w:rPr>
          <w:rFonts w:hint="eastAsia" w:ascii="仿宋_GB2312" w:hAnsi="Times New Roman" w:eastAsia="仿宋_GB2312" w:cs="仿宋_GB2312"/>
          <w:sz w:val="32"/>
          <w:szCs w:val="32"/>
          <w:highlight w:val="none"/>
          <w:lang w:val="en-US" w:eastAsia="zh-CN"/>
        </w:rPr>
        <w:t>本年此功能科目未支出</w:t>
      </w:r>
      <w:r>
        <w:rPr>
          <w:rFonts w:hint="eastAsia" w:ascii="仿宋_GB2312" w:hAnsi="Times New Roman" w:eastAsia="仿宋_GB2312" w:cs="仿宋_GB2312"/>
          <w:sz w:val="32"/>
          <w:szCs w:val="32"/>
          <w:highlight w:val="none"/>
        </w:rPr>
        <w:t>；</w:t>
      </w:r>
    </w:p>
    <w:p>
      <w:pPr>
        <w:autoSpaceDE w:val="0"/>
        <w:autoSpaceDN w:val="0"/>
        <w:adjustRightInd w:val="0"/>
        <w:spacing w:line="360" w:lineRule="auto"/>
        <w:ind w:firstLine="640"/>
        <w:rPr>
          <w:rFonts w:hint="eastAsia" w:ascii="仿宋_GB2312" w:hAnsi="Times New Roman" w:eastAsia="仿宋_GB2312" w:cs="仿宋_GB2312"/>
          <w:sz w:val="32"/>
          <w:szCs w:val="32"/>
          <w:highlight w:val="none"/>
        </w:rPr>
      </w:pPr>
      <w:r>
        <w:rPr>
          <w:rFonts w:hint="eastAsia" w:ascii="仿宋_GB2312" w:hAnsi="Times New Roman" w:eastAsia="仿宋_GB2312" w:cs="仿宋_GB2312"/>
          <w:sz w:val="32"/>
          <w:szCs w:val="32"/>
        </w:rPr>
        <w:t>8.社会保障和就业支出（类）行政事业单位养老支出（款）机关事业单位基本养老保险缴费支出（项）:支出决算数为</w:t>
      </w:r>
      <w:r>
        <w:rPr>
          <w:rFonts w:hint="eastAsia" w:ascii="仿宋_GB2312" w:hAnsi="Times New Roman" w:eastAsia="仿宋_GB2312" w:cs="仿宋_GB2312"/>
          <w:sz w:val="32"/>
          <w:szCs w:val="32"/>
          <w:highlight w:val="none"/>
        </w:rPr>
        <w:t>118.58万元，比上年决算增加28.84万元，增长32.14%，主要原因是：本年我单位人员工资薪金、绩效奖金调</w:t>
      </w:r>
      <w:r>
        <w:rPr>
          <w:rFonts w:hint="eastAsia" w:ascii="仿宋_GB2312" w:hAnsi="Times New Roman" w:eastAsia="仿宋_GB2312" w:cs="仿宋_GB2312"/>
          <w:sz w:val="32"/>
          <w:szCs w:val="32"/>
          <w:highlight w:val="none"/>
          <w:lang w:val="en-US" w:eastAsia="zh-CN"/>
        </w:rPr>
        <w:t>标</w:t>
      </w:r>
      <w:r>
        <w:rPr>
          <w:rFonts w:hint="eastAsia" w:ascii="仿宋_GB2312" w:hAnsi="Times New Roman" w:eastAsia="仿宋_GB2312" w:cs="仿宋_GB2312"/>
          <w:sz w:val="32"/>
          <w:szCs w:val="32"/>
          <w:highlight w:val="none"/>
        </w:rPr>
        <w:t>，</w:t>
      </w:r>
      <w:r>
        <w:rPr>
          <w:rFonts w:hint="eastAsia" w:ascii="仿宋_GB2312" w:hAnsi="Times New Roman" w:eastAsia="仿宋_GB2312" w:cs="仿宋_GB2312"/>
          <w:sz w:val="32"/>
          <w:szCs w:val="32"/>
          <w:highlight w:val="none"/>
          <w:lang w:val="en-US" w:eastAsia="zh-CN"/>
        </w:rPr>
        <w:t>养老保险缴费增加，</w:t>
      </w:r>
      <w:r>
        <w:rPr>
          <w:rFonts w:hint="eastAsia" w:ascii="仿宋_GB2312" w:hAnsi="Times New Roman" w:eastAsia="仿宋_GB2312" w:cs="仿宋_GB2312"/>
          <w:sz w:val="32"/>
          <w:szCs w:val="32"/>
          <w:highlight w:val="none"/>
        </w:rPr>
        <w:t>此项支出增加；</w:t>
      </w:r>
    </w:p>
    <w:p>
      <w:pPr>
        <w:autoSpaceDE w:val="0"/>
        <w:autoSpaceDN w:val="0"/>
        <w:adjustRightInd w:val="0"/>
        <w:spacing w:line="360" w:lineRule="auto"/>
        <w:ind w:firstLine="640"/>
        <w:rPr>
          <w:rFonts w:hint="eastAsia" w:ascii="仿宋_GB2312" w:hAnsi="Times New Roman" w:eastAsia="仿宋_GB2312" w:cs="仿宋_GB2312"/>
          <w:sz w:val="32"/>
          <w:szCs w:val="32"/>
          <w:highlight w:val="none"/>
        </w:rPr>
      </w:pPr>
      <w:r>
        <w:rPr>
          <w:rFonts w:hint="eastAsia" w:ascii="仿宋_GB2312" w:hAnsi="Times New Roman" w:eastAsia="仿宋_GB2312" w:cs="仿宋_GB2312"/>
          <w:sz w:val="32"/>
          <w:szCs w:val="32"/>
        </w:rPr>
        <w:t>9.社会保障和就业支出（类）其他生活救助（款）其他城市生活救助（项）:支出决算数为5.00万元，比上年决算增加5.00万元，增长100.00%，</w:t>
      </w:r>
      <w:r>
        <w:rPr>
          <w:rFonts w:hint="eastAsia" w:ascii="仿宋_GB2312" w:hAnsi="Times New Roman" w:eastAsia="仿宋_GB2312" w:cs="仿宋_GB2312"/>
          <w:sz w:val="32"/>
          <w:szCs w:val="32"/>
          <w:highlight w:val="none"/>
        </w:rPr>
        <w:t>主要原因是：</w:t>
      </w:r>
      <w:r>
        <w:rPr>
          <w:rFonts w:hint="eastAsia" w:ascii="仿宋_GB2312" w:hAnsi="Times New Roman" w:eastAsia="仿宋_GB2312" w:cs="仿宋_GB2312"/>
          <w:sz w:val="32"/>
          <w:szCs w:val="32"/>
          <w:highlight w:val="none"/>
          <w:lang w:val="en-US" w:eastAsia="zh-CN"/>
        </w:rPr>
        <w:t>本</w:t>
      </w:r>
      <w:r>
        <w:rPr>
          <w:rFonts w:hint="eastAsia" w:ascii="仿宋_GB2312" w:hAnsi="Times New Roman" w:eastAsia="仿宋_GB2312" w:cs="仿宋_GB2312"/>
          <w:sz w:val="32"/>
          <w:szCs w:val="32"/>
          <w:highlight w:val="none"/>
        </w:rPr>
        <w:t>年</w:t>
      </w:r>
      <w:r>
        <w:rPr>
          <w:rFonts w:hint="eastAsia" w:ascii="仿宋_GB2312" w:hAnsi="Times New Roman" w:eastAsia="仿宋_GB2312" w:cs="仿宋_GB2312"/>
          <w:sz w:val="32"/>
          <w:szCs w:val="32"/>
          <w:highlight w:val="none"/>
          <w:lang w:val="en-US" w:eastAsia="zh-CN"/>
        </w:rPr>
        <w:t>增加</w:t>
      </w:r>
      <w:r>
        <w:rPr>
          <w:rFonts w:hint="eastAsia" w:ascii="仿宋_GB2312" w:hAnsi="Times New Roman" w:eastAsia="仿宋_GB2312" w:cs="仿宋_GB2312"/>
          <w:sz w:val="32"/>
          <w:szCs w:val="32"/>
          <w:highlight w:val="none"/>
        </w:rPr>
        <w:t>受疫情影响生活困难人员救助金</w:t>
      </w:r>
      <w:r>
        <w:rPr>
          <w:rFonts w:hint="eastAsia" w:ascii="仿宋_GB2312" w:hAnsi="Times New Roman" w:eastAsia="仿宋_GB2312" w:cs="仿宋_GB2312"/>
          <w:sz w:val="32"/>
          <w:szCs w:val="32"/>
          <w:highlight w:val="none"/>
          <w:lang w:eastAsia="zh-CN"/>
        </w:rPr>
        <w:t>，</w:t>
      </w:r>
      <w:r>
        <w:rPr>
          <w:rFonts w:hint="eastAsia" w:ascii="仿宋_GB2312" w:hAnsi="Times New Roman" w:eastAsia="仿宋_GB2312" w:cs="仿宋_GB2312"/>
          <w:sz w:val="32"/>
          <w:szCs w:val="32"/>
          <w:highlight w:val="none"/>
          <w:lang w:val="en-US" w:eastAsia="zh-CN"/>
        </w:rPr>
        <w:t>此项支出增加</w:t>
      </w:r>
      <w:r>
        <w:rPr>
          <w:rFonts w:hint="eastAsia" w:ascii="仿宋_GB2312" w:hAnsi="Times New Roman" w:eastAsia="仿宋_GB2312" w:cs="仿宋_GB2312"/>
          <w:sz w:val="32"/>
          <w:szCs w:val="32"/>
          <w:highlight w:val="none"/>
        </w:rPr>
        <w:t>；</w:t>
      </w:r>
    </w:p>
    <w:p>
      <w:pPr>
        <w:autoSpaceDE w:val="0"/>
        <w:autoSpaceDN w:val="0"/>
        <w:adjustRightInd w:val="0"/>
        <w:spacing w:line="360" w:lineRule="auto"/>
        <w:ind w:firstLine="640"/>
        <w:rPr>
          <w:rFonts w:hint="eastAsia" w:ascii="仿宋_GB2312" w:hAnsi="Times New Roman" w:eastAsia="仿宋_GB2312" w:cs="仿宋_GB2312"/>
          <w:sz w:val="32"/>
          <w:szCs w:val="32"/>
          <w:highlight w:val="none"/>
        </w:rPr>
      </w:pPr>
      <w:r>
        <w:rPr>
          <w:rFonts w:hint="eastAsia" w:ascii="仿宋_GB2312" w:hAnsi="Times New Roman" w:eastAsia="仿宋_GB2312" w:cs="仿宋_GB2312"/>
          <w:sz w:val="32"/>
          <w:szCs w:val="32"/>
        </w:rPr>
        <w:t>10.卫生健康支出（类）公共卫生（款）其他专业公共卫生机构（项</w:t>
      </w:r>
      <w:r>
        <w:rPr>
          <w:rFonts w:hint="eastAsia" w:ascii="仿宋_GB2312" w:hAnsi="Times New Roman" w:eastAsia="仿宋_GB2312" w:cs="仿宋_GB2312"/>
          <w:sz w:val="32"/>
          <w:szCs w:val="32"/>
          <w:highlight w:val="none"/>
        </w:rPr>
        <w:t>）:支出决算数为0.00万元，比上年决算减少21.50万元，下降100.00%，主要原因是：</w:t>
      </w:r>
      <w:r>
        <w:rPr>
          <w:rFonts w:hint="eastAsia" w:ascii="仿宋_GB2312" w:hAnsi="Times New Roman" w:eastAsia="仿宋_GB2312" w:cs="仿宋_GB2312"/>
          <w:sz w:val="32"/>
          <w:szCs w:val="32"/>
          <w:highlight w:val="none"/>
          <w:lang w:val="en-US" w:eastAsia="zh-CN"/>
        </w:rPr>
        <w:t>本年此功能科目未支出</w:t>
      </w:r>
      <w:r>
        <w:rPr>
          <w:rFonts w:hint="eastAsia" w:ascii="仿宋_GB2312" w:hAnsi="Times New Roman" w:eastAsia="仿宋_GB2312" w:cs="仿宋_GB2312"/>
          <w:sz w:val="32"/>
          <w:szCs w:val="32"/>
          <w:highlight w:val="none"/>
        </w:rPr>
        <w:t>；</w:t>
      </w:r>
    </w:p>
    <w:p>
      <w:pPr>
        <w:autoSpaceDE w:val="0"/>
        <w:autoSpaceDN w:val="0"/>
        <w:adjustRightInd w:val="0"/>
        <w:spacing w:line="360" w:lineRule="auto"/>
        <w:ind w:firstLine="640"/>
        <w:rPr>
          <w:rFonts w:hint="eastAsia" w:ascii="仿宋_GB2312" w:hAnsi="Times New Roman" w:eastAsia="仿宋_GB2312" w:cs="仿宋_GB2312"/>
          <w:sz w:val="32"/>
          <w:szCs w:val="32"/>
          <w:highlight w:val="none"/>
        </w:rPr>
      </w:pPr>
      <w:r>
        <w:rPr>
          <w:rFonts w:hint="eastAsia" w:ascii="仿宋_GB2312" w:hAnsi="Times New Roman" w:eastAsia="仿宋_GB2312" w:cs="仿宋_GB2312"/>
          <w:sz w:val="32"/>
          <w:szCs w:val="32"/>
        </w:rPr>
        <w:t>11.卫生健康支出（类）公共卫生（款）突发公共卫生事件应急处理（项）:支出决算数为1.54万元，比上年决算增加1.54万元，增长100.00%，</w:t>
      </w:r>
      <w:r>
        <w:rPr>
          <w:rFonts w:hint="eastAsia" w:ascii="仿宋_GB2312" w:hAnsi="Times New Roman" w:eastAsia="仿宋_GB2312" w:cs="仿宋_GB2312"/>
          <w:sz w:val="32"/>
          <w:szCs w:val="32"/>
          <w:highlight w:val="none"/>
        </w:rPr>
        <w:t>主要原因是：</w:t>
      </w:r>
      <w:r>
        <w:rPr>
          <w:rFonts w:hint="eastAsia" w:ascii="仿宋_GB2312" w:hAnsi="Times New Roman" w:eastAsia="仿宋_GB2312" w:cs="仿宋_GB2312"/>
          <w:sz w:val="32"/>
          <w:szCs w:val="32"/>
          <w:highlight w:val="none"/>
          <w:lang w:val="en-US" w:eastAsia="zh-CN"/>
        </w:rPr>
        <w:t>本年增加</w:t>
      </w:r>
      <w:r>
        <w:rPr>
          <w:rFonts w:hint="eastAsia" w:ascii="仿宋_GB2312" w:hAnsi="Times New Roman" w:eastAsia="仿宋_GB2312" w:cs="仿宋_GB2312"/>
          <w:sz w:val="32"/>
          <w:szCs w:val="32"/>
          <w:highlight w:val="none"/>
        </w:rPr>
        <w:t>乌财社【2022】311号关于2022年第七十五批疫情防控补助资金</w:t>
      </w:r>
      <w:r>
        <w:rPr>
          <w:rFonts w:hint="eastAsia" w:ascii="仿宋_GB2312" w:hAnsi="Times New Roman" w:eastAsia="仿宋_GB2312" w:cs="仿宋_GB2312"/>
          <w:sz w:val="32"/>
          <w:szCs w:val="32"/>
          <w:highlight w:val="none"/>
          <w:lang w:eastAsia="zh-CN"/>
        </w:rPr>
        <w:t>，</w:t>
      </w:r>
      <w:r>
        <w:rPr>
          <w:rFonts w:hint="eastAsia" w:ascii="仿宋_GB2312" w:hAnsi="Times New Roman" w:eastAsia="仿宋_GB2312" w:cs="仿宋_GB2312"/>
          <w:sz w:val="32"/>
          <w:szCs w:val="32"/>
          <w:highlight w:val="none"/>
          <w:lang w:val="en-US" w:eastAsia="zh-CN"/>
        </w:rPr>
        <w:t>此项支出增加</w:t>
      </w:r>
      <w:r>
        <w:rPr>
          <w:rFonts w:hint="eastAsia" w:ascii="仿宋_GB2312" w:hAnsi="Times New Roman" w:eastAsia="仿宋_GB2312" w:cs="仿宋_GB2312"/>
          <w:sz w:val="32"/>
          <w:szCs w:val="32"/>
          <w:highlight w:val="none"/>
        </w:rPr>
        <w:t>；</w:t>
      </w:r>
    </w:p>
    <w:p>
      <w:pPr>
        <w:autoSpaceDE w:val="0"/>
        <w:autoSpaceDN w:val="0"/>
        <w:adjustRightInd w:val="0"/>
        <w:spacing w:line="360" w:lineRule="auto"/>
        <w:ind w:firstLine="640"/>
        <w:rPr>
          <w:rFonts w:hint="eastAsia" w:ascii="仿宋_GB2312" w:hAnsi="Times New Roman" w:eastAsia="仿宋_GB2312" w:cs="仿宋_GB2312"/>
          <w:sz w:val="32"/>
          <w:szCs w:val="32"/>
          <w:highlight w:val="none"/>
        </w:rPr>
      </w:pPr>
      <w:r>
        <w:rPr>
          <w:rFonts w:hint="eastAsia" w:ascii="仿宋_GB2312" w:hAnsi="Times New Roman" w:eastAsia="仿宋_GB2312" w:cs="仿宋_GB2312"/>
          <w:sz w:val="32"/>
          <w:szCs w:val="32"/>
        </w:rPr>
        <w:t>12.卫生健康支出（类）计划生育事务（款）计划生育服务（项）:支出决算数为35.13万元，比上年决算增加35.13万元，增长100.00%，</w:t>
      </w:r>
      <w:r>
        <w:rPr>
          <w:rFonts w:hint="eastAsia" w:ascii="仿宋_GB2312" w:hAnsi="Times New Roman" w:eastAsia="仿宋_GB2312" w:cs="仿宋_GB2312"/>
          <w:sz w:val="32"/>
          <w:szCs w:val="32"/>
          <w:highlight w:val="none"/>
        </w:rPr>
        <w:t>主要原因是：</w:t>
      </w:r>
      <w:r>
        <w:rPr>
          <w:rFonts w:hint="eastAsia" w:ascii="仿宋_GB2312" w:hAnsi="Times New Roman" w:eastAsia="仿宋_GB2312" w:cs="仿宋_GB2312"/>
          <w:sz w:val="32"/>
          <w:szCs w:val="32"/>
          <w:highlight w:val="none"/>
          <w:lang w:val="en-US" w:eastAsia="zh-CN"/>
        </w:rPr>
        <w:t>本年部分人员工资、绩效奖金调至此功能科目支出，导致此项支出增加</w:t>
      </w:r>
      <w:r>
        <w:rPr>
          <w:rFonts w:hint="eastAsia" w:ascii="仿宋_GB2312" w:hAnsi="Times New Roman" w:eastAsia="仿宋_GB2312" w:cs="仿宋_GB2312"/>
          <w:sz w:val="32"/>
          <w:szCs w:val="32"/>
          <w:highlight w:val="none"/>
        </w:rPr>
        <w:t>；</w:t>
      </w:r>
    </w:p>
    <w:p>
      <w:pPr>
        <w:autoSpaceDE w:val="0"/>
        <w:autoSpaceDN w:val="0"/>
        <w:adjustRightInd w:val="0"/>
        <w:spacing w:line="360" w:lineRule="auto"/>
        <w:ind w:firstLine="640"/>
        <w:rPr>
          <w:rFonts w:hint="eastAsia" w:ascii="仿宋_GB2312" w:hAnsi="Times New Roman" w:eastAsia="仿宋_GB2312" w:cs="仿宋_GB2312"/>
          <w:sz w:val="32"/>
          <w:szCs w:val="32"/>
          <w:highlight w:val="none"/>
        </w:rPr>
      </w:pPr>
      <w:r>
        <w:rPr>
          <w:rFonts w:hint="eastAsia" w:ascii="仿宋_GB2312" w:hAnsi="Times New Roman" w:eastAsia="仿宋_GB2312" w:cs="仿宋_GB2312"/>
          <w:sz w:val="32"/>
          <w:szCs w:val="32"/>
          <w:highlight w:val="none"/>
        </w:rPr>
        <w:t>13.城乡社区支出（类）城乡社区管理事务（款）其他城乡社区管理事务支出（项）:支出决算数为0.00万元，比上年决算减少10.00万元，下降100.00%，主要原因是：</w:t>
      </w:r>
      <w:r>
        <w:rPr>
          <w:rFonts w:hint="eastAsia" w:ascii="仿宋_GB2312" w:hAnsi="Times New Roman" w:eastAsia="仿宋_GB2312" w:cs="仿宋_GB2312"/>
          <w:sz w:val="32"/>
          <w:szCs w:val="32"/>
          <w:highlight w:val="none"/>
          <w:lang w:val="en-US" w:eastAsia="zh-CN"/>
        </w:rPr>
        <w:t>本年此功能科目未支出</w:t>
      </w:r>
      <w:r>
        <w:rPr>
          <w:rFonts w:hint="eastAsia" w:ascii="仿宋_GB2312" w:hAnsi="Times New Roman" w:eastAsia="仿宋_GB2312" w:cs="仿宋_GB2312"/>
          <w:sz w:val="32"/>
          <w:szCs w:val="32"/>
          <w:highlight w:val="none"/>
        </w:rPr>
        <w:t>；</w:t>
      </w:r>
    </w:p>
    <w:p>
      <w:pPr>
        <w:autoSpaceDE w:val="0"/>
        <w:autoSpaceDN w:val="0"/>
        <w:adjustRightInd w:val="0"/>
        <w:spacing w:line="360" w:lineRule="auto"/>
        <w:ind w:firstLine="640"/>
        <w:rPr>
          <w:rFonts w:hint="eastAsia" w:ascii="仿宋_GB2312" w:hAnsi="Times New Roman" w:eastAsia="仿宋_GB2312" w:cs="仿宋_GB2312"/>
          <w:sz w:val="32"/>
          <w:szCs w:val="32"/>
          <w:highlight w:val="none"/>
        </w:rPr>
      </w:pPr>
      <w:r>
        <w:rPr>
          <w:rFonts w:hint="eastAsia" w:ascii="仿宋_GB2312" w:hAnsi="Times New Roman" w:eastAsia="仿宋_GB2312" w:cs="仿宋_GB2312"/>
          <w:sz w:val="32"/>
          <w:szCs w:val="32"/>
        </w:rPr>
        <w:t>14.农林水支出（类）农业农村（款）事业运行（项）:支出决算数为747.51万元，比上年决算增加441.12万元，增长143.97%</w:t>
      </w:r>
      <w:r>
        <w:rPr>
          <w:rFonts w:hint="eastAsia" w:ascii="仿宋_GB2312" w:hAnsi="Times New Roman" w:eastAsia="仿宋_GB2312" w:cs="仿宋_GB2312"/>
          <w:sz w:val="32"/>
          <w:szCs w:val="32"/>
          <w:highlight w:val="none"/>
        </w:rPr>
        <w:t>，主要原因是：</w:t>
      </w:r>
      <w:r>
        <w:rPr>
          <w:rFonts w:hint="eastAsia" w:ascii="仿宋_GB2312" w:hAnsi="Times New Roman" w:eastAsia="仿宋_GB2312" w:cs="仿宋_GB2312"/>
          <w:sz w:val="32"/>
          <w:szCs w:val="32"/>
          <w:highlight w:val="none"/>
          <w:lang w:val="en-US" w:eastAsia="zh-CN"/>
        </w:rPr>
        <w:t>本年部分人员工资、绩效奖金调至此功能科目支出，导致此项支出增加</w:t>
      </w:r>
      <w:r>
        <w:rPr>
          <w:rFonts w:hint="eastAsia" w:ascii="仿宋_GB2312" w:hAnsi="Times New Roman" w:eastAsia="仿宋_GB2312" w:cs="仿宋_GB2312"/>
          <w:sz w:val="32"/>
          <w:szCs w:val="32"/>
          <w:highlight w:val="none"/>
        </w:rPr>
        <w:t>；</w:t>
      </w:r>
    </w:p>
    <w:p>
      <w:pPr>
        <w:autoSpaceDE w:val="0"/>
        <w:autoSpaceDN w:val="0"/>
        <w:adjustRightInd w:val="0"/>
        <w:spacing w:line="360" w:lineRule="auto"/>
        <w:ind w:firstLine="640"/>
        <w:rPr>
          <w:rFonts w:hint="eastAsia" w:ascii="仿宋_GB2312" w:hAnsi="Times New Roman" w:eastAsia="仿宋_GB2312" w:cs="仿宋_GB2312"/>
          <w:sz w:val="32"/>
          <w:szCs w:val="32"/>
          <w:highlight w:val="none"/>
        </w:rPr>
      </w:pPr>
      <w:r>
        <w:rPr>
          <w:rFonts w:hint="eastAsia" w:ascii="仿宋_GB2312" w:hAnsi="Times New Roman" w:eastAsia="仿宋_GB2312" w:cs="仿宋_GB2312"/>
          <w:sz w:val="32"/>
          <w:szCs w:val="32"/>
          <w:highlight w:val="none"/>
        </w:rPr>
        <w:t>15.农林水支出（类）农业农村（款）其他农业农村支出（项）:支出决算数为0.00万元，比上年决算减少48.63万元，下降100.00%，主要原因是：</w:t>
      </w:r>
      <w:r>
        <w:rPr>
          <w:rFonts w:hint="eastAsia" w:ascii="仿宋_GB2312" w:hAnsi="Times New Roman" w:eastAsia="仿宋_GB2312" w:cs="仿宋_GB2312"/>
          <w:sz w:val="32"/>
          <w:szCs w:val="32"/>
          <w:highlight w:val="none"/>
          <w:lang w:val="en-US" w:eastAsia="zh-CN"/>
        </w:rPr>
        <w:t>本年此功能科目未支出</w:t>
      </w:r>
      <w:r>
        <w:rPr>
          <w:rFonts w:hint="eastAsia" w:ascii="仿宋_GB2312" w:hAnsi="Times New Roman" w:eastAsia="仿宋_GB2312" w:cs="仿宋_GB2312"/>
          <w:sz w:val="32"/>
          <w:szCs w:val="32"/>
          <w:highlight w:val="none"/>
        </w:rPr>
        <w:t>；</w:t>
      </w:r>
    </w:p>
    <w:p>
      <w:pPr>
        <w:autoSpaceDE w:val="0"/>
        <w:autoSpaceDN w:val="0"/>
        <w:adjustRightInd w:val="0"/>
        <w:spacing w:line="360" w:lineRule="auto"/>
        <w:ind w:firstLine="640"/>
        <w:rPr>
          <w:rFonts w:hint="eastAsia" w:ascii="仿宋_GB2312" w:hAnsi="Times New Roman" w:eastAsia="仿宋_GB2312" w:cs="仿宋_GB2312"/>
          <w:sz w:val="32"/>
          <w:szCs w:val="32"/>
          <w:highlight w:val="none"/>
        </w:rPr>
      </w:pPr>
      <w:r>
        <w:rPr>
          <w:rFonts w:hint="eastAsia" w:ascii="仿宋_GB2312" w:hAnsi="Times New Roman" w:eastAsia="仿宋_GB2312" w:cs="仿宋_GB2312"/>
          <w:sz w:val="32"/>
          <w:szCs w:val="32"/>
        </w:rPr>
        <w:t>16.农林水支出（类）农村综合改革（款）对村级公益事业建设的补助（项</w:t>
      </w:r>
      <w:r>
        <w:rPr>
          <w:rFonts w:hint="eastAsia" w:ascii="仿宋_GB2312" w:hAnsi="Times New Roman" w:eastAsia="仿宋_GB2312" w:cs="仿宋_GB2312"/>
          <w:sz w:val="32"/>
          <w:szCs w:val="32"/>
          <w:highlight w:val="none"/>
        </w:rPr>
        <w:t>）:支出决算数为0.00万元，比上年决算减少90.00万元，下降100.00%，主要原因是：</w:t>
      </w:r>
      <w:r>
        <w:rPr>
          <w:rFonts w:hint="eastAsia" w:ascii="仿宋_GB2312" w:hAnsi="Times New Roman" w:eastAsia="仿宋_GB2312" w:cs="仿宋_GB2312"/>
          <w:sz w:val="32"/>
          <w:szCs w:val="32"/>
          <w:highlight w:val="none"/>
          <w:lang w:val="en-US" w:eastAsia="zh-CN"/>
        </w:rPr>
        <w:t>本年此功能科目未支出</w:t>
      </w:r>
      <w:r>
        <w:rPr>
          <w:rFonts w:hint="eastAsia" w:ascii="仿宋_GB2312" w:hAnsi="Times New Roman" w:eastAsia="仿宋_GB2312" w:cs="仿宋_GB2312"/>
          <w:sz w:val="32"/>
          <w:szCs w:val="32"/>
          <w:highlight w:val="none"/>
        </w:rPr>
        <w:t>；</w:t>
      </w:r>
    </w:p>
    <w:p>
      <w:pPr>
        <w:autoSpaceDE w:val="0"/>
        <w:autoSpaceDN w:val="0"/>
        <w:adjustRightInd w:val="0"/>
        <w:spacing w:line="360" w:lineRule="auto"/>
        <w:ind w:firstLine="640"/>
        <w:rPr>
          <w:rFonts w:hint="eastAsia" w:ascii="仿宋_GB2312" w:hAnsi="Times New Roman" w:eastAsia="仿宋_GB2312" w:cs="仿宋_GB2312"/>
          <w:sz w:val="32"/>
          <w:szCs w:val="32"/>
          <w:highlight w:val="none"/>
        </w:rPr>
      </w:pPr>
      <w:r>
        <w:rPr>
          <w:rFonts w:hint="eastAsia" w:ascii="仿宋_GB2312" w:hAnsi="Times New Roman" w:eastAsia="仿宋_GB2312" w:cs="仿宋_GB2312"/>
          <w:sz w:val="32"/>
          <w:szCs w:val="32"/>
          <w:highlight w:val="none"/>
        </w:rPr>
        <w:t>17.农林水支出（类）农村综合改革（款）对村集体经济组织的补助（项）:支出决算数为0.00万元，比上年决算减少7.20万元，下降100.00%，主要原因是：</w:t>
      </w:r>
      <w:r>
        <w:rPr>
          <w:rFonts w:hint="eastAsia" w:ascii="仿宋_GB2312" w:hAnsi="Times New Roman" w:eastAsia="仿宋_GB2312" w:cs="仿宋_GB2312"/>
          <w:sz w:val="32"/>
          <w:szCs w:val="32"/>
          <w:highlight w:val="none"/>
          <w:lang w:val="en-US" w:eastAsia="zh-CN"/>
        </w:rPr>
        <w:t>本年此功能科目未支出</w:t>
      </w:r>
      <w:r>
        <w:rPr>
          <w:rFonts w:hint="eastAsia" w:ascii="仿宋_GB2312" w:hAnsi="Times New Roman" w:eastAsia="仿宋_GB2312" w:cs="仿宋_GB2312"/>
          <w:sz w:val="32"/>
          <w:szCs w:val="32"/>
          <w:highlight w:val="none"/>
        </w:rPr>
        <w:t>。</w:t>
      </w:r>
    </w:p>
    <w:p>
      <w:pPr>
        <w:autoSpaceDE w:val="0"/>
        <w:autoSpaceDN w:val="0"/>
        <w:adjustRightInd w:val="0"/>
        <w:spacing w:line="360" w:lineRule="auto"/>
        <w:ind w:firstLine="640"/>
        <w:rPr>
          <w:rFonts w:hint="default" w:ascii="Times New Roman" w:hAnsi="Times New Roman" w:eastAsia="黑体"/>
          <w:sz w:val="32"/>
          <w:szCs w:val="32"/>
          <w:highlight w:val="none"/>
          <w:lang w:val="zh-CN"/>
        </w:rPr>
      </w:pPr>
      <w:r>
        <w:rPr>
          <w:rFonts w:hint="eastAsia" w:ascii="黑体" w:hAnsi="Times New Roman" w:eastAsia="黑体" w:cs="黑体"/>
          <w:sz w:val="32"/>
          <w:szCs w:val="32"/>
          <w:highlight w:val="none"/>
          <w:lang w:val="zh-CN"/>
        </w:rPr>
        <w:t>六、一般公共预算财政拨款基本支出决算情况说明</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highlight w:val="yellow"/>
        </w:rPr>
      </w:pPr>
      <w:r>
        <w:rPr>
          <w:rFonts w:hint="eastAsia" w:ascii="仿宋_GB2312" w:hAnsi="Times New Roman" w:eastAsia="仿宋_GB2312" w:cs="仿宋_GB2312"/>
          <w:kern w:val="0"/>
          <w:sz w:val="32"/>
          <w:szCs w:val="32"/>
        </w:rPr>
        <w:t>2022年度一般公共预算财政拨款基本支出3,624.68万元，其中：</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人员经费2,723.41万元，包括：基本工资、津贴补贴、机关事业单位基本养老保险缴费、职工基本医疗保险缴费、公务员医疗补助缴费、其他社会保障缴费、住房公积金、其他工资福利支出、退休费、生活补助、奖励金。</w:t>
      </w:r>
    </w:p>
    <w:p>
      <w:pPr>
        <w:autoSpaceDE w:val="0"/>
        <w:autoSpaceDN w:val="0"/>
        <w:adjustRightInd w:val="0"/>
        <w:spacing w:line="360" w:lineRule="auto"/>
        <w:ind w:firstLine="640"/>
        <w:rPr>
          <w:rFonts w:hint="eastAsia" w:ascii="仿宋_GB2312" w:hAnsi="Times New Roman" w:eastAsia="仿宋_GB2312" w:cs="仿宋_GB2312"/>
          <w:kern w:val="0"/>
          <w:sz w:val="32"/>
          <w:szCs w:val="32"/>
        </w:rPr>
      </w:pPr>
      <w:r>
        <w:rPr>
          <w:rFonts w:hint="eastAsia" w:ascii="仿宋_GB2312" w:hAnsi="Times New Roman" w:eastAsia="仿宋_GB2312" w:cs="仿宋_GB2312"/>
          <w:kern w:val="0"/>
          <w:sz w:val="32"/>
          <w:szCs w:val="32"/>
        </w:rPr>
        <w:t>公用经费901.27万元，包括：办公费、印刷费、水费、电费、邮电费、取暖费、差旅费、租赁费、劳务费、公务用车运行维护费、其他交通费用、其他商品和服务支出。</w:t>
      </w:r>
    </w:p>
    <w:p>
      <w:pPr>
        <w:autoSpaceDE w:val="0"/>
        <w:autoSpaceDN w:val="0"/>
        <w:adjustRightInd w:val="0"/>
        <w:spacing w:line="360" w:lineRule="auto"/>
        <w:ind w:firstLine="640"/>
        <w:rPr>
          <w:rFonts w:hint="default" w:ascii="Times New Roman" w:hAnsi="Times New Roman" w:eastAsia="黑体"/>
          <w:sz w:val="32"/>
          <w:szCs w:val="32"/>
        </w:rPr>
      </w:pPr>
      <w:r>
        <w:rPr>
          <w:rFonts w:hint="eastAsia" w:ascii="黑体" w:hAnsi="Times New Roman" w:eastAsia="黑体" w:cs="黑体"/>
          <w:sz w:val="32"/>
          <w:szCs w:val="32"/>
          <w:lang w:val="zh-CN"/>
        </w:rPr>
        <w:t>七、财政拨款</w:t>
      </w:r>
      <w:r>
        <w:rPr>
          <w:rFonts w:hint="default" w:ascii="Times New Roman" w:hAnsi="Times New Roman" w:eastAsia="黑体" w:cs="黑体"/>
          <w:kern w:val="0"/>
          <w:sz w:val="32"/>
          <w:szCs w:val="32"/>
        </w:rPr>
        <w:t>“</w:t>
      </w:r>
      <w:r>
        <w:rPr>
          <w:rFonts w:hint="eastAsia" w:ascii="黑体" w:hAnsi="Times New Roman" w:eastAsia="黑体" w:cs="黑体"/>
          <w:kern w:val="0"/>
          <w:sz w:val="32"/>
          <w:szCs w:val="32"/>
        </w:rPr>
        <w:t>三公</w:t>
      </w:r>
      <w:r>
        <w:rPr>
          <w:rFonts w:hint="default" w:ascii="Times New Roman" w:hAnsi="Times New Roman" w:eastAsia="黑体" w:cs="黑体"/>
          <w:kern w:val="0"/>
          <w:sz w:val="32"/>
          <w:szCs w:val="32"/>
        </w:rPr>
        <w:t>”</w:t>
      </w:r>
      <w:r>
        <w:rPr>
          <w:rFonts w:hint="eastAsia" w:ascii="黑体" w:hAnsi="Times New Roman" w:eastAsia="黑体" w:cs="黑体"/>
          <w:sz w:val="32"/>
          <w:szCs w:val="32"/>
          <w:lang w:val="zh-CN"/>
        </w:rPr>
        <w:t>经费支出决算情况说明</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highlight w:val="none"/>
        </w:rPr>
      </w:pPr>
      <w:r>
        <w:rPr>
          <w:rFonts w:hint="eastAsia" w:ascii="仿宋_GB2312" w:hAnsi="Times New Roman" w:eastAsia="仿宋_GB2312" w:cs="仿宋_GB2312"/>
          <w:kern w:val="0"/>
          <w:sz w:val="32"/>
          <w:szCs w:val="32"/>
          <w:highlight w:val="none"/>
        </w:rPr>
        <w:t>2022年度</w:t>
      </w:r>
      <w:r>
        <w:rPr>
          <w:rFonts w:hint="eastAsia" w:ascii="仿宋_GB2312" w:hAnsi="Times New Roman" w:eastAsia="仿宋_GB2312" w:cs="仿宋_GB2312"/>
          <w:sz w:val="32"/>
          <w:szCs w:val="32"/>
          <w:highlight w:val="none"/>
        </w:rPr>
        <w:t>财政拨款</w:t>
      </w:r>
      <w:r>
        <w:rPr>
          <w:rFonts w:hint="default" w:ascii="Times New Roman" w:hAnsi="Times New Roman" w:eastAsia="仿宋_GB2312" w:cs="仿宋_GB2312"/>
          <w:kern w:val="0"/>
          <w:sz w:val="32"/>
          <w:szCs w:val="32"/>
          <w:highlight w:val="none"/>
        </w:rPr>
        <w:t>“</w:t>
      </w:r>
      <w:r>
        <w:rPr>
          <w:rFonts w:hint="eastAsia" w:ascii="仿宋_GB2312" w:hAnsi="Times New Roman" w:eastAsia="仿宋_GB2312" w:cs="仿宋_GB2312"/>
          <w:kern w:val="0"/>
          <w:sz w:val="32"/>
          <w:szCs w:val="32"/>
          <w:highlight w:val="none"/>
        </w:rPr>
        <w:t>三公</w:t>
      </w:r>
      <w:r>
        <w:rPr>
          <w:rFonts w:hint="default" w:ascii="Times New Roman" w:hAnsi="Times New Roman" w:eastAsia="仿宋_GB2312" w:cs="仿宋_GB2312"/>
          <w:kern w:val="0"/>
          <w:sz w:val="32"/>
          <w:szCs w:val="32"/>
          <w:highlight w:val="none"/>
        </w:rPr>
        <w:t>”</w:t>
      </w:r>
      <w:r>
        <w:rPr>
          <w:rFonts w:hint="eastAsia" w:ascii="仿宋_GB2312" w:hAnsi="Times New Roman" w:eastAsia="仿宋_GB2312" w:cs="仿宋_GB2312"/>
          <w:kern w:val="0"/>
          <w:sz w:val="32"/>
          <w:szCs w:val="32"/>
          <w:highlight w:val="none"/>
        </w:rPr>
        <w:t>经费支出决算4.16万元，比上年减少10.71万元，下降72.02%，主要原因是：</w:t>
      </w:r>
      <w:r>
        <w:rPr>
          <w:rFonts w:hint="eastAsia" w:ascii="仿宋_GB2312" w:hAnsi="Times New Roman" w:eastAsia="仿宋_GB2312" w:cs="仿宋_GB2312"/>
          <w:kern w:val="0"/>
          <w:sz w:val="32"/>
          <w:szCs w:val="32"/>
          <w:highlight w:val="none"/>
          <w:lang w:val="en-US" w:eastAsia="zh-CN"/>
        </w:rPr>
        <w:t>疫情影响我单位车辆出行次数减少、车辆维修维护费、燃油费减少</w:t>
      </w:r>
      <w:r>
        <w:rPr>
          <w:rFonts w:hint="eastAsia" w:ascii="仿宋_GB2312" w:hAnsi="Times New Roman" w:eastAsia="仿宋_GB2312" w:cs="仿宋_GB2312"/>
          <w:kern w:val="0"/>
          <w:sz w:val="32"/>
          <w:szCs w:val="32"/>
          <w:highlight w:val="none"/>
        </w:rPr>
        <w:t>。其中：因公出国（境）费支出0.00万元，占0.00%，比上年增加0.00万元，增长0.00%，主要原因是：本年单位无因公出国（境）费支出；公务用车购置及运行维护费支出4.16万元，占100.00%，比上年减少10.71万元，下降72.02%，主要原因是：</w:t>
      </w:r>
      <w:r>
        <w:rPr>
          <w:rFonts w:hint="eastAsia" w:ascii="仿宋_GB2312" w:hAnsi="Times New Roman" w:eastAsia="仿宋_GB2312" w:cs="仿宋_GB2312"/>
          <w:kern w:val="0"/>
          <w:sz w:val="32"/>
          <w:szCs w:val="32"/>
          <w:highlight w:val="none"/>
          <w:lang w:val="en-US" w:eastAsia="zh-CN"/>
        </w:rPr>
        <w:t>疫情影响我单位车辆出行次数减少、车辆维修维护费、燃油费减少</w:t>
      </w:r>
      <w:r>
        <w:rPr>
          <w:rFonts w:hint="eastAsia" w:ascii="仿宋_GB2312" w:hAnsi="Times New Roman" w:eastAsia="仿宋_GB2312" w:cs="仿宋_GB2312"/>
          <w:kern w:val="0"/>
          <w:sz w:val="32"/>
          <w:szCs w:val="32"/>
          <w:highlight w:val="none"/>
        </w:rPr>
        <w:t>；公务接待费支出0.00万元，占0.00%，比上年增加0.00万元，增长0.00%，主要原因是：</w:t>
      </w:r>
      <w:r>
        <w:rPr>
          <w:rFonts w:hint="eastAsia" w:ascii="仿宋_GB2312" w:hAnsi="Times New Roman" w:eastAsia="仿宋_GB2312" w:cs="仿宋_GB2312"/>
          <w:kern w:val="0"/>
          <w:sz w:val="32"/>
          <w:szCs w:val="32"/>
          <w:highlight w:val="none"/>
          <w:lang w:val="en-US" w:eastAsia="zh-CN"/>
        </w:rPr>
        <w:t>本年单位无此项支出</w:t>
      </w:r>
      <w:r>
        <w:rPr>
          <w:rFonts w:hint="eastAsia" w:ascii="仿宋_GB2312" w:hAnsi="Times New Roman" w:eastAsia="仿宋_GB2312" w:cs="仿宋_GB2312"/>
          <w:kern w:val="0"/>
          <w:sz w:val="32"/>
          <w:szCs w:val="32"/>
          <w:highlight w:val="none"/>
        </w:rPr>
        <w:t>。具体情况如下：</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highlight w:val="none"/>
        </w:rPr>
      </w:pPr>
      <w:r>
        <w:rPr>
          <w:rFonts w:hint="eastAsia" w:ascii="仿宋_GB2312" w:hAnsi="Times New Roman" w:eastAsia="仿宋_GB2312" w:cs="仿宋_GB2312"/>
          <w:kern w:val="0"/>
          <w:sz w:val="32"/>
          <w:szCs w:val="32"/>
          <w:highlight w:val="none"/>
        </w:rPr>
        <w:t>因公出国（境）费支出0.00万元，开支内容包括本年单位无因公出国（境）费支出。单位全年安排的因公出国（境）团组0个，因公出国（境）0人次。</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highlight w:val="none"/>
        </w:rPr>
      </w:pPr>
      <w:r>
        <w:rPr>
          <w:rFonts w:hint="eastAsia" w:ascii="仿宋_GB2312" w:hAnsi="Times New Roman" w:eastAsia="仿宋_GB2312" w:cs="仿宋_GB2312"/>
          <w:kern w:val="0"/>
          <w:sz w:val="32"/>
          <w:szCs w:val="32"/>
          <w:highlight w:val="none"/>
        </w:rPr>
        <w:t>公务用车购置及运行维护费4.16万元，其中：公务用车购置费0.00万元，公务用车运行维护费4.16万元。公务用车运行维护费开支内容包括公务用车燃油费、车辆维修维护费、保险费、过路费等。公务用车购置数0辆，公务用车保有量6辆。</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highlight w:val="none"/>
        </w:rPr>
      </w:pPr>
      <w:r>
        <w:rPr>
          <w:rFonts w:hint="eastAsia" w:ascii="仿宋_GB2312" w:hAnsi="Times New Roman" w:eastAsia="仿宋_GB2312" w:cs="仿宋_GB2312"/>
          <w:kern w:val="0"/>
          <w:sz w:val="32"/>
          <w:szCs w:val="32"/>
          <w:highlight w:val="none"/>
        </w:rPr>
        <w:t>公务接待费0.00万元，开支内容包括</w:t>
      </w:r>
      <w:r>
        <w:rPr>
          <w:rFonts w:hint="eastAsia" w:ascii="仿宋_GB2312" w:hAnsi="Times New Roman" w:eastAsia="仿宋_GB2312" w:cs="仿宋_GB2312"/>
          <w:kern w:val="0"/>
          <w:sz w:val="32"/>
          <w:szCs w:val="32"/>
          <w:highlight w:val="none"/>
          <w:lang w:val="en-US" w:eastAsia="zh-CN"/>
        </w:rPr>
        <w:t>本年单位无此项支出</w:t>
      </w:r>
      <w:r>
        <w:rPr>
          <w:rFonts w:hint="eastAsia" w:ascii="仿宋_GB2312" w:hAnsi="Times New Roman" w:eastAsia="仿宋_GB2312" w:cs="仿宋_GB2312"/>
          <w:kern w:val="0"/>
          <w:sz w:val="32"/>
          <w:szCs w:val="32"/>
          <w:highlight w:val="none"/>
        </w:rPr>
        <w:t>。单位全年安排的国内公务接待0批次，0人次。</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highlight w:val="none"/>
        </w:rPr>
      </w:pPr>
      <w:r>
        <w:rPr>
          <w:rFonts w:hint="eastAsia" w:ascii="仿宋_GB2312" w:hAnsi="Times New Roman" w:eastAsia="仿宋_GB2312" w:cs="仿宋_GB2312"/>
          <w:kern w:val="0"/>
          <w:sz w:val="32"/>
          <w:szCs w:val="32"/>
          <w:highlight w:val="none"/>
        </w:rPr>
        <w:t>与</w:t>
      </w:r>
      <w:r>
        <w:rPr>
          <w:rFonts w:hint="eastAsia" w:ascii="仿宋_GB2312" w:hAnsi="Times New Roman" w:eastAsia="仿宋_GB2312" w:cs="仿宋_GB2312"/>
          <w:sz w:val="32"/>
          <w:szCs w:val="32"/>
          <w:highlight w:val="none"/>
        </w:rPr>
        <w:t>全年</w:t>
      </w:r>
      <w:r>
        <w:rPr>
          <w:rFonts w:hint="eastAsia" w:ascii="仿宋_GB2312" w:hAnsi="Times New Roman" w:eastAsia="仿宋_GB2312" w:cs="仿宋_GB2312"/>
          <w:kern w:val="0"/>
          <w:sz w:val="32"/>
          <w:szCs w:val="32"/>
          <w:highlight w:val="none"/>
        </w:rPr>
        <w:t>预算</w:t>
      </w:r>
      <w:r>
        <w:rPr>
          <w:rFonts w:hint="eastAsia" w:ascii="仿宋_GB2312" w:hAnsi="Times New Roman" w:eastAsia="仿宋_GB2312" w:cs="仿宋_GB2312"/>
          <w:kern w:val="0"/>
          <w:sz w:val="32"/>
          <w:szCs w:val="32"/>
          <w:highlight w:val="none"/>
          <w:lang w:val="zh-CN"/>
        </w:rPr>
        <w:t>数</w:t>
      </w:r>
      <w:r>
        <w:rPr>
          <w:rFonts w:hint="eastAsia" w:ascii="仿宋_GB2312" w:hAnsi="Times New Roman" w:eastAsia="仿宋_GB2312" w:cs="仿宋_GB2312"/>
          <w:kern w:val="0"/>
          <w:sz w:val="32"/>
          <w:szCs w:val="32"/>
          <w:highlight w:val="none"/>
        </w:rPr>
        <w:t>相比情况</w:t>
      </w:r>
      <w:r>
        <w:rPr>
          <w:rFonts w:hint="eastAsia" w:ascii="仿宋_GB2312" w:hAnsi="Times New Roman" w:eastAsia="仿宋_GB2312" w:cs="仿宋_GB2312"/>
          <w:sz w:val="32"/>
          <w:szCs w:val="32"/>
          <w:highlight w:val="none"/>
        </w:rPr>
        <w:t>：</w:t>
      </w:r>
      <w:r>
        <w:rPr>
          <w:rFonts w:hint="default" w:ascii="Times New Roman" w:hAnsi="Times New Roman" w:eastAsia="仿宋_GB2312"/>
          <w:kern w:val="0"/>
          <w:sz w:val="32"/>
          <w:szCs w:val="32"/>
          <w:highlight w:val="none"/>
        </w:rPr>
        <w:t>“</w:t>
      </w:r>
      <w:r>
        <w:rPr>
          <w:rFonts w:hint="eastAsia" w:ascii="仿宋_GB2312" w:hAnsi="Times New Roman" w:eastAsia="仿宋_GB2312" w:cs="仿宋_GB2312"/>
          <w:kern w:val="0"/>
          <w:sz w:val="32"/>
          <w:szCs w:val="32"/>
          <w:highlight w:val="none"/>
        </w:rPr>
        <w:t>三公</w:t>
      </w:r>
      <w:r>
        <w:rPr>
          <w:rFonts w:hint="default" w:ascii="Times New Roman" w:hAnsi="Times New Roman" w:eastAsia="仿宋_GB2312"/>
          <w:kern w:val="0"/>
          <w:sz w:val="32"/>
          <w:szCs w:val="32"/>
          <w:highlight w:val="none"/>
        </w:rPr>
        <w:t>”</w:t>
      </w:r>
      <w:r>
        <w:rPr>
          <w:rFonts w:hint="eastAsia" w:ascii="仿宋_GB2312" w:hAnsi="Times New Roman" w:eastAsia="仿宋_GB2312" w:cs="仿宋_GB2312"/>
          <w:kern w:val="0"/>
          <w:sz w:val="32"/>
          <w:szCs w:val="32"/>
          <w:highlight w:val="none"/>
        </w:rPr>
        <w:t>经费支出</w:t>
      </w:r>
      <w:r>
        <w:rPr>
          <w:rFonts w:hint="eastAsia" w:ascii="仿宋_GB2312" w:hAnsi="Times New Roman" w:eastAsia="仿宋_GB2312" w:cs="仿宋_GB2312"/>
          <w:sz w:val="32"/>
          <w:szCs w:val="32"/>
          <w:highlight w:val="none"/>
        </w:rPr>
        <w:t>全年预算数</w:t>
      </w:r>
      <w:r>
        <w:rPr>
          <w:rFonts w:hint="eastAsia" w:ascii="仿宋_GB2312" w:hAnsi="Times New Roman" w:eastAsia="仿宋_GB2312" w:cs="仿宋_GB2312"/>
          <w:kern w:val="0"/>
          <w:sz w:val="32"/>
          <w:szCs w:val="32"/>
          <w:highlight w:val="none"/>
        </w:rPr>
        <w:t>4.16万元，决算数4.16万元，预决算差异率0.00%，主要原因是：单位严格执行“三公”经费支出标准，未超预算。其中：因公出国（境）费全年预算数0.00万元，决算数0.00万元，预决算差异率0.00%，主要原因是：本年单位无因公出国（境）费支出；公务用车购置费全年预算数0.00万元，决算数0.00万元，预决算差异率0.00%，主要原因是：</w:t>
      </w:r>
      <w:r>
        <w:rPr>
          <w:rFonts w:hint="eastAsia" w:ascii="仿宋_GB2312" w:hAnsi="Times New Roman" w:eastAsia="仿宋_GB2312" w:cs="仿宋_GB2312"/>
          <w:kern w:val="0"/>
          <w:sz w:val="32"/>
          <w:szCs w:val="32"/>
          <w:highlight w:val="none"/>
          <w:lang w:val="en-US" w:eastAsia="zh-CN"/>
        </w:rPr>
        <w:t>本年单位无此项支出</w:t>
      </w:r>
      <w:r>
        <w:rPr>
          <w:rFonts w:hint="eastAsia" w:ascii="仿宋_GB2312" w:hAnsi="Times New Roman" w:eastAsia="仿宋_GB2312" w:cs="仿宋_GB2312"/>
          <w:kern w:val="0"/>
          <w:sz w:val="32"/>
          <w:szCs w:val="32"/>
          <w:highlight w:val="none"/>
        </w:rPr>
        <w:t>；公务用车运行费全年预算数4.16万元，决算数4.16万元，预决算差异率0.00%，主要原因是：单位严格执行“三公”经费支出标准，未超预算；公务接待费全年预算数0.00万元，决算数0.00万元，预决算差异率0.00%，主要原因是：</w:t>
      </w:r>
      <w:r>
        <w:rPr>
          <w:rFonts w:hint="eastAsia" w:ascii="仿宋_GB2312" w:hAnsi="Times New Roman" w:eastAsia="仿宋_GB2312" w:cs="仿宋_GB2312"/>
          <w:kern w:val="0"/>
          <w:sz w:val="32"/>
          <w:szCs w:val="32"/>
          <w:highlight w:val="none"/>
          <w:lang w:val="en-US" w:eastAsia="zh-CN"/>
        </w:rPr>
        <w:t>本年单位无此项支出</w:t>
      </w:r>
      <w:r>
        <w:rPr>
          <w:rFonts w:hint="eastAsia" w:ascii="仿宋_GB2312" w:hAnsi="Times New Roman" w:eastAsia="仿宋_GB2312" w:cs="仿宋_GB2312"/>
          <w:kern w:val="0"/>
          <w:sz w:val="32"/>
          <w:szCs w:val="32"/>
          <w:highlight w:val="none"/>
        </w:rPr>
        <w:t>。</w:t>
      </w:r>
    </w:p>
    <w:p>
      <w:pPr>
        <w:autoSpaceDE w:val="0"/>
        <w:autoSpaceDN w:val="0"/>
        <w:adjustRightInd w:val="0"/>
        <w:spacing w:line="360" w:lineRule="auto"/>
        <w:ind w:firstLine="640"/>
        <w:rPr>
          <w:rFonts w:hint="default" w:ascii="Times New Roman" w:hAnsi="Times New Roman" w:eastAsia="黑体"/>
          <w:sz w:val="32"/>
          <w:szCs w:val="32"/>
          <w:lang w:val="zh-CN"/>
        </w:rPr>
      </w:pPr>
      <w:r>
        <w:rPr>
          <w:rFonts w:hint="eastAsia" w:ascii="黑体" w:hAnsi="Times New Roman" w:eastAsia="黑体" w:cs="黑体"/>
          <w:sz w:val="32"/>
          <w:szCs w:val="32"/>
          <w:lang w:val="zh-CN"/>
        </w:rPr>
        <w:t>八、政府性基金预算财政拨款收入支出决算情况说明</w:t>
      </w:r>
    </w:p>
    <w:p>
      <w:pPr>
        <w:shd w:val="clear" w:color="auto" w:fill="FFFFFF"/>
        <w:autoSpaceDE w:val="0"/>
        <w:autoSpaceDN w:val="0"/>
        <w:adjustRightInd w:val="0"/>
        <w:spacing w:line="360" w:lineRule="auto"/>
        <w:ind w:firstLine="640"/>
        <w:rPr>
          <w:rFonts w:hint="eastAsia" w:ascii="仿宋_GB2312" w:hAnsi="Times New Roman" w:eastAsia="仿宋_GB2312" w:cs="仿宋_GB2312"/>
          <w:kern w:val="0"/>
          <w:sz w:val="32"/>
          <w:szCs w:val="32"/>
          <w:highlight w:val="yellow"/>
        </w:rPr>
      </w:pPr>
      <w:r>
        <w:rPr>
          <w:rFonts w:hint="eastAsia" w:ascii="仿宋_GB2312" w:hAnsi="Times New Roman" w:eastAsia="仿宋_GB2312" w:cs="仿宋_GB2312"/>
          <w:kern w:val="0"/>
          <w:sz w:val="32"/>
          <w:szCs w:val="32"/>
        </w:rPr>
        <w:t>我单位本年度无政府性基金预算财政拨款收入、支出及结转和结余，政府性基金预算财政拨款收入支出决算表为空表。</w:t>
      </w:r>
    </w:p>
    <w:p>
      <w:pPr>
        <w:autoSpaceDE w:val="0"/>
        <w:autoSpaceDN w:val="0"/>
        <w:adjustRightInd w:val="0"/>
        <w:spacing w:line="360" w:lineRule="auto"/>
        <w:ind w:firstLine="640"/>
        <w:rPr>
          <w:rFonts w:hint="default" w:ascii="Times New Roman" w:hAnsi="Times New Roman" w:eastAsia="黑体"/>
          <w:sz w:val="32"/>
          <w:szCs w:val="32"/>
          <w:lang w:val="zh-CN"/>
        </w:rPr>
      </w:pPr>
      <w:r>
        <w:rPr>
          <w:rFonts w:hint="eastAsia" w:ascii="黑体" w:hAnsi="Times New Roman" w:eastAsia="黑体" w:cs="黑体"/>
          <w:sz w:val="32"/>
          <w:szCs w:val="32"/>
          <w:lang w:val="zh-CN"/>
        </w:rPr>
        <w:t>九、国有资本经营预算财政拨款收入支出决算情况说明</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我单位本年度无国有资本经营预算财政拨款收入、支出及结转和结余，国有资本经营预算财政拨款收入支出决算表为空表。</w:t>
      </w:r>
    </w:p>
    <w:p>
      <w:pPr>
        <w:autoSpaceDE w:val="0"/>
        <w:autoSpaceDN w:val="0"/>
        <w:adjustRightInd w:val="0"/>
        <w:spacing w:line="360" w:lineRule="auto"/>
        <w:ind w:firstLine="640"/>
        <w:rPr>
          <w:rFonts w:hint="default" w:ascii="Times New Roman" w:hAnsi="Times New Roman" w:eastAsia="黑体"/>
          <w:sz w:val="32"/>
          <w:szCs w:val="32"/>
          <w:lang w:val="zh-CN"/>
        </w:rPr>
      </w:pPr>
      <w:r>
        <w:rPr>
          <w:rFonts w:hint="eastAsia" w:ascii="黑体" w:hAnsi="Times New Roman" w:eastAsia="黑体" w:cs="黑体"/>
          <w:sz w:val="32"/>
          <w:szCs w:val="32"/>
          <w:lang w:val="zh-CN"/>
        </w:rPr>
        <w:t>十、其他重要事项的情况说明</w:t>
      </w:r>
    </w:p>
    <w:p>
      <w:pPr>
        <w:autoSpaceDE w:val="0"/>
        <w:autoSpaceDN w:val="0"/>
        <w:adjustRightInd w:val="0"/>
        <w:spacing w:line="360" w:lineRule="auto"/>
        <w:ind w:firstLine="640"/>
        <w:rPr>
          <w:rFonts w:hint="default" w:ascii="Times New Roman" w:hAnsi="Times New Roman" w:eastAsia="黑体"/>
          <w:sz w:val="32"/>
          <w:szCs w:val="32"/>
          <w:lang w:val="zh-CN"/>
        </w:rPr>
      </w:pPr>
      <w:r>
        <w:rPr>
          <w:rFonts w:hint="eastAsia" w:ascii="黑体" w:hAnsi="Times New Roman" w:eastAsia="黑体" w:cs="黑体"/>
          <w:sz w:val="32"/>
          <w:szCs w:val="32"/>
          <w:lang w:val="zh-CN"/>
        </w:rPr>
        <w:t xml:space="preserve">（一）机关运行经费支出情况 </w:t>
      </w:r>
    </w:p>
    <w:p>
      <w:pPr>
        <w:autoSpaceDE w:val="0"/>
        <w:autoSpaceDN w:val="0"/>
        <w:adjustRightInd w:val="0"/>
        <w:spacing w:line="360" w:lineRule="auto"/>
        <w:ind w:firstLine="640"/>
        <w:rPr>
          <w:rFonts w:hint="default" w:ascii="Times New Roman" w:hAnsi="Times New Roman" w:eastAsia="仿宋_GB2312"/>
          <w:kern w:val="0"/>
          <w:sz w:val="32"/>
          <w:szCs w:val="32"/>
          <w:highlight w:val="none"/>
        </w:rPr>
      </w:pPr>
      <w:r>
        <w:rPr>
          <w:rFonts w:hint="eastAsia" w:ascii="仿宋_GB2312" w:hAnsi="Times New Roman" w:eastAsia="仿宋_GB2312" w:cs="仿宋_GB2312"/>
          <w:kern w:val="0"/>
          <w:sz w:val="32"/>
          <w:szCs w:val="32"/>
        </w:rPr>
        <w:t>2022年度乌鲁木齐市米东区长山子镇人民政府单位机关运</w:t>
      </w:r>
      <w:r>
        <w:rPr>
          <w:rFonts w:hint="eastAsia" w:ascii="仿宋_GB2312" w:hAnsi="Times New Roman" w:eastAsia="仿宋_GB2312" w:cs="仿宋_GB2312"/>
          <w:kern w:val="0"/>
          <w:sz w:val="32"/>
          <w:szCs w:val="32"/>
          <w:highlight w:val="none"/>
        </w:rPr>
        <w:t>行经费支出901.27万元，比上年减少1,031.64万元，下降53.37%，主要原因是：</w:t>
      </w:r>
      <w:r>
        <w:rPr>
          <w:rFonts w:hint="eastAsia" w:ascii="仿宋_GB2312" w:hAnsi="Times New Roman" w:eastAsia="仿宋_GB2312" w:cs="仿宋_GB2312"/>
          <w:kern w:val="0"/>
          <w:sz w:val="32"/>
          <w:szCs w:val="32"/>
          <w:highlight w:val="none"/>
          <w:lang w:val="en-US" w:eastAsia="zh-CN"/>
        </w:rPr>
        <w:t>本年单位业务量大幅减少，临聘人员劳务费、办公经费较上年减少</w:t>
      </w:r>
      <w:r>
        <w:rPr>
          <w:rFonts w:hint="eastAsia" w:ascii="仿宋_GB2312" w:hAnsi="Times New Roman" w:eastAsia="仿宋_GB2312" w:cs="仿宋_GB2312"/>
          <w:kern w:val="0"/>
          <w:sz w:val="32"/>
          <w:szCs w:val="32"/>
          <w:highlight w:val="none"/>
        </w:rPr>
        <w:t>。</w:t>
      </w:r>
    </w:p>
    <w:p>
      <w:pPr>
        <w:autoSpaceDE w:val="0"/>
        <w:autoSpaceDN w:val="0"/>
        <w:adjustRightInd w:val="0"/>
        <w:spacing w:line="360" w:lineRule="auto"/>
        <w:ind w:firstLine="640"/>
        <w:rPr>
          <w:rFonts w:hint="default" w:ascii="Times New Roman" w:hAnsi="Times New Roman" w:eastAsia="黑体"/>
          <w:sz w:val="32"/>
          <w:szCs w:val="32"/>
        </w:rPr>
      </w:pPr>
      <w:r>
        <w:rPr>
          <w:rFonts w:hint="eastAsia" w:ascii="黑体" w:hAnsi="Times New Roman" w:eastAsia="黑体" w:cs="黑体"/>
          <w:sz w:val="32"/>
          <w:szCs w:val="32"/>
        </w:rPr>
        <w:t>（</w:t>
      </w:r>
      <w:r>
        <w:rPr>
          <w:rFonts w:hint="eastAsia" w:ascii="黑体" w:hAnsi="Times New Roman" w:eastAsia="黑体" w:cs="黑体"/>
          <w:sz w:val="32"/>
          <w:szCs w:val="32"/>
          <w:lang w:val="zh-CN"/>
        </w:rPr>
        <w:t>二</w:t>
      </w:r>
      <w:r>
        <w:rPr>
          <w:rFonts w:hint="eastAsia" w:ascii="黑体" w:hAnsi="Times New Roman" w:eastAsia="黑体" w:cs="黑体"/>
          <w:sz w:val="32"/>
          <w:szCs w:val="32"/>
        </w:rPr>
        <w:t>）</w:t>
      </w:r>
      <w:r>
        <w:rPr>
          <w:rFonts w:hint="eastAsia" w:ascii="黑体" w:hAnsi="Times New Roman" w:eastAsia="黑体" w:cs="黑体"/>
          <w:sz w:val="32"/>
          <w:szCs w:val="32"/>
          <w:lang w:val="zh-CN"/>
        </w:rPr>
        <w:t>政府采购情况</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2022年度政府采购支出总额9.07万元，其中：政府采购货物支出0.96万元、政府采购工程支出0.00万元、政府采购服务支出8.11万元。</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授予中小企业合同金额4.54万元，占政府采购支出总额的50.06%，其中：授予小微企业合同金额2.62万元，占政府采购支出总额的28.89%。</w:t>
      </w:r>
    </w:p>
    <w:p>
      <w:pPr>
        <w:autoSpaceDE w:val="0"/>
        <w:autoSpaceDN w:val="0"/>
        <w:adjustRightInd w:val="0"/>
        <w:spacing w:line="360" w:lineRule="auto"/>
        <w:ind w:firstLine="640"/>
        <w:rPr>
          <w:rFonts w:hint="default" w:ascii="Times New Roman" w:hAnsi="Times New Roman" w:eastAsia="黑体"/>
          <w:sz w:val="32"/>
          <w:szCs w:val="32"/>
          <w:lang w:val="zh-CN"/>
        </w:rPr>
      </w:pPr>
      <w:r>
        <w:rPr>
          <w:rFonts w:hint="eastAsia" w:ascii="黑体" w:hAnsi="Times New Roman" w:eastAsia="黑体" w:cs="黑体"/>
          <w:sz w:val="32"/>
          <w:szCs w:val="32"/>
          <w:lang w:val="zh-CN"/>
        </w:rPr>
        <w:t>（三）国有资产占用情况说明</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截止2022年12月31日，</w:t>
      </w:r>
      <w:r>
        <w:rPr>
          <w:rFonts w:hint="eastAsia" w:ascii="仿宋_GB2312" w:hAnsi="Times New Roman" w:eastAsia="仿宋_GB2312" w:cs="仿宋_GB2312"/>
          <w:sz w:val="32"/>
          <w:szCs w:val="32"/>
        </w:rPr>
        <w:t>固定资产原值</w:t>
      </w:r>
      <w:r>
        <w:rPr>
          <w:rFonts w:hint="eastAsia" w:ascii="仿宋_GB2312" w:hAnsi="Times New Roman" w:eastAsia="仿宋_GB2312" w:cs="仿宋_GB2312"/>
          <w:kern w:val="0"/>
          <w:sz w:val="32"/>
          <w:szCs w:val="32"/>
        </w:rPr>
        <w:t>895.41</w:t>
      </w:r>
      <w:r>
        <w:rPr>
          <w:rFonts w:hint="eastAsia" w:ascii="仿宋_GB2312" w:hAnsi="Times New Roman" w:eastAsia="仿宋_GB2312" w:cs="仿宋_GB2312"/>
          <w:sz w:val="32"/>
          <w:szCs w:val="32"/>
        </w:rPr>
        <w:t>万元，</w:t>
      </w:r>
      <w:r>
        <w:rPr>
          <w:rFonts w:hint="eastAsia" w:ascii="仿宋_GB2312" w:hAnsi="Times New Roman" w:eastAsia="仿宋_GB2312" w:cs="仿宋_GB2312"/>
          <w:kern w:val="0"/>
          <w:sz w:val="32"/>
          <w:szCs w:val="32"/>
        </w:rPr>
        <w:t>房屋3,642.11平方米，价值159.81万元。车辆16辆，价值303.70万元，其中：副部（省）级及以上领导用车0辆、主要领导干部用车3辆、机要通信用车0辆、应急保障用车0辆、执法执勤用车0辆、特种专业技术用车0辆、离退休干部用车0辆</w:t>
      </w:r>
      <w:r>
        <w:rPr>
          <w:rFonts w:hint="eastAsia" w:ascii="仿宋_GB2312" w:hAnsi="Times New Roman" w:eastAsia="仿宋_GB2312" w:cs="仿宋_GB2312"/>
          <w:kern w:val="0"/>
          <w:sz w:val="32"/>
          <w:szCs w:val="32"/>
          <w:highlight w:val="none"/>
        </w:rPr>
        <w:t>、其他用车13辆，其他用车主要是：</w:t>
      </w:r>
      <w:r>
        <w:rPr>
          <w:rFonts w:hint="eastAsia" w:ascii="仿宋_GB2312" w:hAnsi="Times New Roman" w:eastAsia="仿宋_GB2312" w:cs="仿宋_GB2312"/>
          <w:kern w:val="0"/>
          <w:sz w:val="32"/>
          <w:szCs w:val="32"/>
          <w:highlight w:val="none"/>
          <w:lang w:val="en-US" w:eastAsia="zh-CN"/>
        </w:rPr>
        <w:t>巡逻车、单位业务用车</w:t>
      </w:r>
      <w:r>
        <w:rPr>
          <w:rFonts w:hint="eastAsia" w:ascii="仿宋_GB2312" w:hAnsi="Times New Roman" w:eastAsia="仿宋_GB2312" w:cs="仿宋_GB2312"/>
          <w:kern w:val="0"/>
          <w:sz w:val="32"/>
          <w:szCs w:val="32"/>
          <w:highlight w:val="none"/>
        </w:rPr>
        <w:t>；单价100</w:t>
      </w:r>
      <w:r>
        <w:rPr>
          <w:rFonts w:hint="eastAsia" w:ascii="仿宋_GB2312" w:hAnsi="Times New Roman" w:eastAsia="仿宋_GB2312" w:cs="仿宋_GB2312"/>
          <w:sz w:val="32"/>
          <w:szCs w:val="32"/>
          <w:highlight w:val="none"/>
        </w:rPr>
        <w:t>万元（含）</w:t>
      </w:r>
      <w:r>
        <w:rPr>
          <w:rFonts w:hint="eastAsia" w:ascii="仿宋_GB2312" w:hAnsi="Times New Roman" w:eastAsia="仿宋_GB2312" w:cs="仿宋_GB2312"/>
          <w:sz w:val="32"/>
          <w:szCs w:val="32"/>
        </w:rPr>
        <w:t>以上设备（不含车辆）</w:t>
      </w:r>
      <w:r>
        <w:rPr>
          <w:rFonts w:hint="eastAsia" w:ascii="仿宋_GB2312" w:hAnsi="Times New Roman" w:eastAsia="仿宋_GB2312" w:cs="仿宋_GB2312"/>
          <w:kern w:val="0"/>
          <w:sz w:val="32"/>
          <w:szCs w:val="32"/>
        </w:rPr>
        <w:t>0台（套）。</w:t>
      </w:r>
    </w:p>
    <w:p>
      <w:pPr>
        <w:autoSpaceDE w:val="0"/>
        <w:autoSpaceDN w:val="0"/>
        <w:adjustRightInd w:val="0"/>
        <w:spacing w:line="360" w:lineRule="auto"/>
        <w:ind w:firstLine="640"/>
        <w:rPr>
          <w:rFonts w:hint="default" w:ascii="Times New Roman" w:hAnsi="Times New Roman" w:eastAsia="黑体"/>
          <w:sz w:val="32"/>
          <w:szCs w:val="32"/>
          <w:lang w:val="zh-CN"/>
        </w:rPr>
      </w:pPr>
      <w:r>
        <w:rPr>
          <w:rFonts w:hint="eastAsia" w:ascii="黑体" w:hAnsi="Times New Roman" w:eastAsia="黑体" w:cs="黑体"/>
          <w:sz w:val="32"/>
          <w:szCs w:val="32"/>
          <w:lang w:val="zh-CN"/>
        </w:rPr>
        <w:t>十一、预算绩效的情况说明</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根据预算绩效管理要求，我单位2022年度开展预算绩效评价项</w:t>
      </w:r>
      <w:r>
        <w:rPr>
          <w:rFonts w:hint="eastAsia" w:ascii="仿宋_GB2312" w:hAnsi="Times New Roman" w:eastAsia="仿宋_GB2312" w:cs="仿宋_GB2312"/>
          <w:kern w:val="0"/>
          <w:sz w:val="32"/>
          <w:szCs w:val="32"/>
          <w:highlight w:val="none"/>
        </w:rPr>
        <w:t>目</w:t>
      </w:r>
      <w:r>
        <w:rPr>
          <w:rFonts w:hint="eastAsia" w:ascii="仿宋_GB2312" w:hAnsi="Times New Roman" w:eastAsia="仿宋_GB2312" w:cs="仿宋_GB2312"/>
          <w:kern w:val="0"/>
          <w:sz w:val="32"/>
          <w:szCs w:val="32"/>
          <w:highlight w:val="none"/>
          <w:lang w:val="en-US" w:eastAsia="zh-CN"/>
        </w:rPr>
        <w:t>2</w:t>
      </w:r>
      <w:r>
        <w:rPr>
          <w:rFonts w:hint="eastAsia" w:ascii="仿宋_GB2312" w:hAnsi="Times New Roman" w:eastAsia="仿宋_GB2312" w:cs="仿宋_GB2312"/>
          <w:kern w:val="0"/>
          <w:sz w:val="32"/>
          <w:szCs w:val="32"/>
          <w:highlight w:val="none"/>
        </w:rPr>
        <w:t>个，</w:t>
      </w:r>
      <w:r>
        <w:rPr>
          <w:rFonts w:hint="eastAsia" w:ascii="仿宋_GB2312" w:hAnsi="Times New Roman" w:eastAsia="仿宋_GB2312" w:cs="仿宋_GB2312"/>
          <w:sz w:val="32"/>
          <w:szCs w:val="32"/>
          <w:highlight w:val="none"/>
        </w:rPr>
        <w:t>全年预算数</w:t>
      </w:r>
      <w:r>
        <w:rPr>
          <w:rFonts w:hint="eastAsia" w:ascii="仿宋_GB2312" w:hAnsi="Times New Roman" w:eastAsia="仿宋_GB2312" w:cs="仿宋_GB2312"/>
          <w:kern w:val="0"/>
          <w:sz w:val="32"/>
          <w:szCs w:val="32"/>
          <w:highlight w:val="none"/>
          <w:lang w:val="en-US" w:eastAsia="zh-CN"/>
        </w:rPr>
        <w:t>6.54</w:t>
      </w:r>
      <w:r>
        <w:rPr>
          <w:rFonts w:hint="eastAsia" w:ascii="仿宋_GB2312" w:hAnsi="Times New Roman" w:eastAsia="仿宋_GB2312" w:cs="仿宋_GB2312"/>
          <w:sz w:val="32"/>
          <w:szCs w:val="32"/>
          <w:highlight w:val="none"/>
        </w:rPr>
        <w:t>万元，全年执行数</w:t>
      </w:r>
      <w:r>
        <w:rPr>
          <w:rFonts w:hint="eastAsia" w:ascii="仿宋_GB2312" w:hAnsi="Times New Roman" w:eastAsia="仿宋_GB2312" w:cs="仿宋_GB2312"/>
          <w:kern w:val="0"/>
          <w:sz w:val="32"/>
          <w:szCs w:val="32"/>
          <w:highlight w:val="none"/>
          <w:lang w:val="en-US" w:eastAsia="zh-CN"/>
        </w:rPr>
        <w:t>6.54</w:t>
      </w:r>
      <w:r>
        <w:rPr>
          <w:rFonts w:hint="eastAsia" w:ascii="仿宋_GB2312" w:hAnsi="Times New Roman" w:eastAsia="仿宋_GB2312" w:cs="仿宋_GB2312"/>
          <w:sz w:val="32"/>
          <w:szCs w:val="32"/>
          <w:highlight w:val="none"/>
        </w:rPr>
        <w:t>万元。</w:t>
      </w:r>
      <w:r>
        <w:rPr>
          <w:rFonts w:hint="eastAsia" w:ascii="仿宋_GB2312" w:hAnsi="Times New Roman" w:eastAsia="仿宋_GB2312" w:cs="仿宋_GB2312"/>
          <w:kern w:val="0"/>
          <w:sz w:val="32"/>
          <w:szCs w:val="32"/>
          <w:highlight w:val="none"/>
        </w:rPr>
        <w:t>预算绩效管理取得的成效：一是发放受疫情影响生活困难人员救助金，补助166人；二是发放因疫情滞留人员补助资金，补助22人。发现的问题及原因：一是单位内部沟通协调不够细致，存在相互推诿脱拉现象；二是补助发放人员较多，卡号统计中存在一定困难，不能准确提供卡号和行号。下一步改进措施：一是各项工作责任到人，相互支持，密切配合，保证项目顺利开展并完成；二是完善和规范管理制度，提高资金使用效率。具</w:t>
      </w:r>
      <w:r>
        <w:rPr>
          <w:rFonts w:hint="eastAsia" w:ascii="仿宋_GB2312" w:hAnsi="Times New Roman" w:eastAsia="仿宋_GB2312" w:cs="仿宋_GB2312"/>
          <w:kern w:val="0"/>
          <w:sz w:val="32"/>
          <w:szCs w:val="32"/>
        </w:rPr>
        <w:t>体项目自评情况附项目支出绩效自评表。</w:t>
      </w:r>
    </w:p>
    <w:tbl>
      <w:tblPr>
        <w:tblStyle w:val="2"/>
        <w:tblW w:w="4898" w:type="pct"/>
        <w:jc w:val="center"/>
        <w:tblLayout w:type="fixed"/>
        <w:tblCellMar>
          <w:top w:w="0" w:type="dxa"/>
          <w:left w:w="108" w:type="dxa"/>
          <w:bottom w:w="0" w:type="dxa"/>
          <w:right w:w="108" w:type="dxa"/>
        </w:tblCellMar>
      </w:tblPr>
      <w:tblGrid>
        <w:gridCol w:w="1048"/>
        <w:gridCol w:w="1053"/>
        <w:gridCol w:w="1122"/>
        <w:gridCol w:w="1180"/>
        <w:gridCol w:w="884"/>
        <w:gridCol w:w="855"/>
        <w:gridCol w:w="614"/>
        <w:gridCol w:w="997"/>
        <w:gridCol w:w="921"/>
      </w:tblGrid>
      <w:tr>
        <w:tblPrEx>
          <w:tblCellMar>
            <w:top w:w="0" w:type="dxa"/>
            <w:left w:w="108" w:type="dxa"/>
            <w:bottom w:w="0" w:type="dxa"/>
            <w:right w:w="108" w:type="dxa"/>
          </w:tblCellMar>
        </w:tblPrEx>
        <w:trPr>
          <w:trHeight w:val="405" w:hRule="atLeast"/>
          <w:jc w:val="center"/>
        </w:trPr>
        <w:tc>
          <w:tcPr>
            <w:tcW w:w="8349" w:type="dxa"/>
            <w:gridSpan w:val="9"/>
            <w:tcBorders>
              <w:top w:val="nil"/>
              <w:left w:val="nil"/>
              <w:bottom w:val="nil"/>
              <w:right w:val="nil"/>
            </w:tcBorders>
            <w:shd w:val="clear" w:color="auto" w:fill="auto"/>
            <w:vAlign w:val="center"/>
          </w:tcPr>
          <w:p>
            <w:pPr>
              <w:widowControl/>
              <w:jc w:val="center"/>
              <w:rPr>
                <w:rFonts w:ascii="宋体" w:hAnsi="宋体" w:eastAsia="宋体" w:cs="宋体"/>
                <w:b/>
                <w:bCs/>
                <w:color w:val="000000"/>
                <w:kern w:val="0"/>
                <w:sz w:val="32"/>
                <w:szCs w:val="32"/>
              </w:rPr>
            </w:pPr>
            <w:r>
              <w:rPr>
                <w:rFonts w:hint="eastAsia" w:ascii="宋体" w:hAnsi="宋体" w:eastAsia="宋体" w:cs="宋体"/>
                <w:b/>
                <w:bCs/>
                <w:color w:val="000000"/>
                <w:kern w:val="0"/>
                <w:sz w:val="32"/>
                <w:szCs w:val="32"/>
              </w:rPr>
              <w:t>项目支出绩效自评表</w:t>
            </w:r>
          </w:p>
        </w:tc>
      </w:tr>
      <w:tr>
        <w:tblPrEx>
          <w:tblCellMar>
            <w:top w:w="0" w:type="dxa"/>
            <w:left w:w="108" w:type="dxa"/>
            <w:bottom w:w="0" w:type="dxa"/>
            <w:right w:w="108" w:type="dxa"/>
          </w:tblCellMar>
        </w:tblPrEx>
        <w:trPr>
          <w:trHeight w:val="270" w:hRule="atLeast"/>
          <w:jc w:val="center"/>
        </w:trPr>
        <w:tc>
          <w:tcPr>
            <w:tcW w:w="8349" w:type="dxa"/>
            <w:gridSpan w:val="9"/>
            <w:tcBorders>
              <w:top w:val="nil"/>
              <w:left w:val="nil"/>
              <w:bottom w:val="single" w:color="auto" w:sz="4" w:space="0"/>
              <w:right w:val="nil"/>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(2022年度)</w:t>
            </w:r>
          </w:p>
        </w:tc>
      </w:tr>
      <w:tr>
        <w:tblPrEx>
          <w:tblCellMar>
            <w:top w:w="0" w:type="dxa"/>
            <w:left w:w="108" w:type="dxa"/>
            <w:bottom w:w="0" w:type="dxa"/>
            <w:right w:w="108" w:type="dxa"/>
          </w:tblCellMar>
        </w:tblPrEx>
        <w:trPr>
          <w:trHeight w:val="398" w:hRule="atLeast"/>
          <w:jc w:val="center"/>
        </w:trPr>
        <w:tc>
          <w:tcPr>
            <w:tcW w:w="202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项目名称</w:t>
            </w:r>
          </w:p>
        </w:tc>
        <w:tc>
          <w:tcPr>
            <w:tcW w:w="6327"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2022受疫情影响生活困难人员救助金（第三批）</w:t>
            </w:r>
          </w:p>
        </w:tc>
      </w:tr>
      <w:tr>
        <w:tblPrEx>
          <w:tblCellMar>
            <w:top w:w="0" w:type="dxa"/>
            <w:left w:w="108" w:type="dxa"/>
            <w:bottom w:w="0" w:type="dxa"/>
            <w:right w:w="108" w:type="dxa"/>
          </w:tblCellMar>
        </w:tblPrEx>
        <w:trPr>
          <w:trHeight w:val="398" w:hRule="atLeast"/>
          <w:jc w:val="center"/>
        </w:trPr>
        <w:tc>
          <w:tcPr>
            <w:tcW w:w="202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主管部门</w:t>
            </w:r>
          </w:p>
        </w:tc>
        <w:tc>
          <w:tcPr>
            <w:tcW w:w="3067"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米东区长山子镇政府</w:t>
            </w:r>
          </w:p>
        </w:tc>
        <w:tc>
          <w:tcPr>
            <w:tcW w:w="82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实施单位</w:t>
            </w:r>
          </w:p>
        </w:tc>
        <w:tc>
          <w:tcPr>
            <w:tcW w:w="2437"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米东区长山子镇政府</w:t>
            </w:r>
          </w:p>
        </w:tc>
      </w:tr>
      <w:tr>
        <w:tblPrEx>
          <w:tblCellMar>
            <w:top w:w="0" w:type="dxa"/>
            <w:left w:w="108" w:type="dxa"/>
            <w:bottom w:w="0" w:type="dxa"/>
            <w:right w:w="108" w:type="dxa"/>
          </w:tblCellMar>
        </w:tblPrEx>
        <w:trPr>
          <w:trHeight w:val="398" w:hRule="atLeast"/>
          <w:jc w:val="center"/>
        </w:trPr>
        <w:tc>
          <w:tcPr>
            <w:tcW w:w="202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项目资金</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（万元）</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3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年初预算数</w:t>
            </w:r>
          </w:p>
        </w:tc>
        <w:tc>
          <w:tcPr>
            <w:tcW w:w="85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全年预算数</w:t>
            </w:r>
          </w:p>
        </w:tc>
        <w:tc>
          <w:tcPr>
            <w:tcW w:w="82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全年执行数</w:t>
            </w:r>
          </w:p>
        </w:tc>
        <w:tc>
          <w:tcPr>
            <w:tcW w:w="59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分值</w:t>
            </w:r>
          </w:p>
        </w:tc>
        <w:tc>
          <w:tcPr>
            <w:tcW w:w="9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执行率</w:t>
            </w:r>
          </w:p>
        </w:tc>
        <w:tc>
          <w:tcPr>
            <w:tcW w:w="88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r>
      <w:tr>
        <w:tblPrEx>
          <w:tblCellMar>
            <w:top w:w="0" w:type="dxa"/>
            <w:left w:w="108" w:type="dxa"/>
            <w:bottom w:w="0" w:type="dxa"/>
            <w:right w:w="108" w:type="dxa"/>
          </w:tblCellMar>
        </w:tblPrEx>
        <w:trPr>
          <w:trHeight w:val="398" w:hRule="atLeast"/>
          <w:jc w:val="center"/>
        </w:trPr>
        <w:tc>
          <w:tcPr>
            <w:tcW w:w="202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年度资金总额</w:t>
            </w:r>
          </w:p>
        </w:tc>
        <w:tc>
          <w:tcPr>
            <w:tcW w:w="113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5.00</w:t>
            </w:r>
          </w:p>
        </w:tc>
        <w:tc>
          <w:tcPr>
            <w:tcW w:w="85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5.00</w:t>
            </w:r>
          </w:p>
        </w:tc>
        <w:tc>
          <w:tcPr>
            <w:tcW w:w="82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5.00</w:t>
            </w:r>
          </w:p>
        </w:tc>
        <w:tc>
          <w:tcPr>
            <w:tcW w:w="59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9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88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10.00分</w:t>
            </w:r>
          </w:p>
        </w:tc>
      </w:tr>
      <w:tr>
        <w:tblPrEx>
          <w:tblCellMar>
            <w:top w:w="0" w:type="dxa"/>
            <w:left w:w="108" w:type="dxa"/>
            <w:bottom w:w="0" w:type="dxa"/>
            <w:right w:w="108" w:type="dxa"/>
          </w:tblCellMar>
        </w:tblPrEx>
        <w:trPr>
          <w:trHeight w:val="398" w:hRule="atLeast"/>
          <w:jc w:val="center"/>
        </w:trPr>
        <w:tc>
          <w:tcPr>
            <w:tcW w:w="202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其中：当年财政拨款</w:t>
            </w:r>
          </w:p>
        </w:tc>
        <w:tc>
          <w:tcPr>
            <w:tcW w:w="113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5.00</w:t>
            </w:r>
          </w:p>
        </w:tc>
        <w:tc>
          <w:tcPr>
            <w:tcW w:w="85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5.00</w:t>
            </w:r>
          </w:p>
        </w:tc>
        <w:tc>
          <w:tcPr>
            <w:tcW w:w="82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5.00</w:t>
            </w:r>
          </w:p>
        </w:tc>
        <w:tc>
          <w:tcPr>
            <w:tcW w:w="59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9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8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r>
      <w:tr>
        <w:tblPrEx>
          <w:tblCellMar>
            <w:top w:w="0" w:type="dxa"/>
            <w:left w:w="108" w:type="dxa"/>
            <w:bottom w:w="0" w:type="dxa"/>
            <w:right w:w="108" w:type="dxa"/>
          </w:tblCellMar>
        </w:tblPrEx>
        <w:trPr>
          <w:trHeight w:val="398" w:hRule="atLeast"/>
          <w:jc w:val="center"/>
        </w:trPr>
        <w:tc>
          <w:tcPr>
            <w:tcW w:w="202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上年结转资金</w:t>
            </w:r>
          </w:p>
        </w:tc>
        <w:tc>
          <w:tcPr>
            <w:tcW w:w="113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85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82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59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9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8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r>
      <w:tr>
        <w:tblPrEx>
          <w:tblCellMar>
            <w:top w:w="0" w:type="dxa"/>
            <w:left w:w="108" w:type="dxa"/>
            <w:bottom w:w="0" w:type="dxa"/>
            <w:right w:w="108" w:type="dxa"/>
          </w:tblCellMar>
        </w:tblPrEx>
        <w:trPr>
          <w:trHeight w:val="398" w:hRule="atLeast"/>
          <w:jc w:val="center"/>
        </w:trPr>
        <w:tc>
          <w:tcPr>
            <w:tcW w:w="202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其他资金</w:t>
            </w:r>
          </w:p>
        </w:tc>
        <w:tc>
          <w:tcPr>
            <w:tcW w:w="113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85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82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59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9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8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r>
      <w:tr>
        <w:tblPrEx>
          <w:tblCellMar>
            <w:top w:w="0" w:type="dxa"/>
            <w:left w:w="108" w:type="dxa"/>
            <w:bottom w:w="0" w:type="dxa"/>
            <w:right w:w="108" w:type="dxa"/>
          </w:tblCellMar>
        </w:tblPrEx>
        <w:trPr>
          <w:trHeight w:val="398" w:hRule="atLeast"/>
          <w:jc w:val="center"/>
        </w:trPr>
        <w:tc>
          <w:tcPr>
            <w:tcW w:w="100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年度总体目标</w:t>
            </w:r>
          </w:p>
        </w:tc>
        <w:tc>
          <w:tcPr>
            <w:tcW w:w="408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预期目标</w:t>
            </w:r>
          </w:p>
        </w:tc>
        <w:tc>
          <w:tcPr>
            <w:tcW w:w="32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实际完成情况</w:t>
            </w:r>
          </w:p>
        </w:tc>
      </w:tr>
      <w:tr>
        <w:tblPrEx>
          <w:tblCellMar>
            <w:top w:w="0" w:type="dxa"/>
            <w:left w:w="108" w:type="dxa"/>
            <w:bottom w:w="0" w:type="dxa"/>
            <w:right w:w="108" w:type="dxa"/>
          </w:tblCellMar>
        </w:tblPrEx>
        <w:trPr>
          <w:trHeight w:val="398" w:hRule="atLeast"/>
          <w:jc w:val="center"/>
        </w:trPr>
        <w:tc>
          <w:tcPr>
            <w:tcW w:w="10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08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该项目通过合理解决生活困难留人员问题，进一步促进社会稳定。</w:t>
            </w:r>
          </w:p>
        </w:tc>
        <w:tc>
          <w:tcPr>
            <w:tcW w:w="326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已将所有资金发放到位</w:t>
            </w:r>
          </w:p>
        </w:tc>
      </w:tr>
      <w:tr>
        <w:tblPrEx>
          <w:tblCellMar>
            <w:top w:w="0" w:type="dxa"/>
            <w:left w:w="108" w:type="dxa"/>
            <w:bottom w:w="0" w:type="dxa"/>
            <w:right w:w="108" w:type="dxa"/>
          </w:tblCellMar>
        </w:tblPrEx>
        <w:trPr>
          <w:trHeight w:val="398" w:hRule="atLeast"/>
          <w:jc w:val="center"/>
        </w:trPr>
        <w:tc>
          <w:tcPr>
            <w:tcW w:w="100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01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一级指标</w:t>
            </w:r>
          </w:p>
        </w:tc>
        <w:tc>
          <w:tcPr>
            <w:tcW w:w="10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二级指标</w:t>
            </w:r>
          </w:p>
        </w:tc>
        <w:tc>
          <w:tcPr>
            <w:tcW w:w="113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三级指标</w:t>
            </w:r>
          </w:p>
        </w:tc>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年度指标值</w:t>
            </w:r>
          </w:p>
        </w:tc>
        <w:tc>
          <w:tcPr>
            <w:tcW w:w="82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实际完成值</w:t>
            </w:r>
          </w:p>
        </w:tc>
        <w:tc>
          <w:tcPr>
            <w:tcW w:w="59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分值</w:t>
            </w:r>
          </w:p>
        </w:tc>
        <w:tc>
          <w:tcPr>
            <w:tcW w:w="9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88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偏差原因分析及改进措施</w:t>
            </w:r>
          </w:p>
        </w:tc>
      </w:tr>
      <w:tr>
        <w:tblPrEx>
          <w:tblCellMar>
            <w:top w:w="0" w:type="dxa"/>
            <w:left w:w="108" w:type="dxa"/>
            <w:bottom w:w="0" w:type="dxa"/>
            <w:right w:w="108" w:type="dxa"/>
          </w:tblCellMar>
        </w:tblPrEx>
        <w:trPr>
          <w:trHeight w:val="398" w:hRule="atLeast"/>
          <w:jc w:val="center"/>
        </w:trPr>
        <w:tc>
          <w:tcPr>
            <w:tcW w:w="10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101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113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82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5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88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r>
      <w:tr>
        <w:tblPrEx>
          <w:tblCellMar>
            <w:top w:w="0" w:type="dxa"/>
            <w:left w:w="108" w:type="dxa"/>
            <w:bottom w:w="0" w:type="dxa"/>
            <w:right w:w="108" w:type="dxa"/>
          </w:tblCellMar>
        </w:tblPrEx>
        <w:trPr>
          <w:trHeight w:val="398" w:hRule="atLeast"/>
          <w:jc w:val="center"/>
        </w:trPr>
        <w:tc>
          <w:tcPr>
            <w:tcW w:w="100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年度绩效指标完成情况</w:t>
            </w:r>
          </w:p>
        </w:tc>
        <w:tc>
          <w:tcPr>
            <w:tcW w:w="101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产出指标</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数量指标</w:t>
            </w:r>
          </w:p>
        </w:tc>
        <w:tc>
          <w:tcPr>
            <w:tcW w:w="11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补助人数（人）</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&gt;=166人</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166人</w:t>
            </w:r>
          </w:p>
        </w:tc>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8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98" w:hRule="atLeast"/>
          <w:jc w:val="center"/>
        </w:trPr>
        <w:tc>
          <w:tcPr>
            <w:tcW w:w="10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101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质量指标</w:t>
            </w:r>
          </w:p>
        </w:tc>
        <w:tc>
          <w:tcPr>
            <w:tcW w:w="11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补助发放合规率（%）</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&gt;=100%</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8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98" w:hRule="atLeast"/>
          <w:jc w:val="center"/>
        </w:trPr>
        <w:tc>
          <w:tcPr>
            <w:tcW w:w="10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101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质量指标</w:t>
            </w:r>
          </w:p>
        </w:tc>
        <w:tc>
          <w:tcPr>
            <w:tcW w:w="11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补助覆盖率.</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&gt;=90%</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90%</w:t>
            </w:r>
          </w:p>
        </w:tc>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8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98" w:hRule="atLeast"/>
          <w:jc w:val="center"/>
        </w:trPr>
        <w:tc>
          <w:tcPr>
            <w:tcW w:w="10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101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时效指标</w:t>
            </w:r>
          </w:p>
        </w:tc>
        <w:tc>
          <w:tcPr>
            <w:tcW w:w="11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补助资金发放及时率</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&gt;=100%</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8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98" w:hRule="atLeast"/>
          <w:jc w:val="center"/>
        </w:trPr>
        <w:tc>
          <w:tcPr>
            <w:tcW w:w="10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101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成本指标</w:t>
            </w:r>
          </w:p>
        </w:tc>
        <w:tc>
          <w:tcPr>
            <w:tcW w:w="11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补助资金标准</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&lt;=300元/人</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300元/人</w:t>
            </w:r>
          </w:p>
        </w:tc>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8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98" w:hRule="atLeast"/>
          <w:jc w:val="center"/>
        </w:trPr>
        <w:tc>
          <w:tcPr>
            <w:tcW w:w="10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101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效益指标</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经济效益指标</w:t>
            </w:r>
          </w:p>
        </w:tc>
        <w:tc>
          <w:tcPr>
            <w:tcW w:w="11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98" w:hRule="atLeast"/>
          <w:jc w:val="center"/>
        </w:trPr>
        <w:tc>
          <w:tcPr>
            <w:tcW w:w="10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101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社会效益指标</w:t>
            </w:r>
          </w:p>
        </w:tc>
        <w:tc>
          <w:tcPr>
            <w:tcW w:w="11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提升困难群众生活水平情况</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有所提升</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完全达到预期效果</w:t>
            </w:r>
          </w:p>
        </w:tc>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15</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15</w:t>
            </w:r>
          </w:p>
        </w:tc>
        <w:tc>
          <w:tcPr>
            <w:tcW w:w="8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98" w:hRule="atLeast"/>
          <w:jc w:val="center"/>
        </w:trPr>
        <w:tc>
          <w:tcPr>
            <w:tcW w:w="10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101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生态效益指标</w:t>
            </w:r>
          </w:p>
        </w:tc>
        <w:tc>
          <w:tcPr>
            <w:tcW w:w="11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98" w:hRule="atLeast"/>
          <w:jc w:val="center"/>
        </w:trPr>
        <w:tc>
          <w:tcPr>
            <w:tcW w:w="10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101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可持续影响指标</w:t>
            </w:r>
          </w:p>
        </w:tc>
        <w:tc>
          <w:tcPr>
            <w:tcW w:w="11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推动疫情防控工作正常开展</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长期推动</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完全达到预期效果</w:t>
            </w:r>
          </w:p>
        </w:tc>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15</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15</w:t>
            </w:r>
          </w:p>
        </w:tc>
        <w:tc>
          <w:tcPr>
            <w:tcW w:w="8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98" w:hRule="atLeast"/>
          <w:jc w:val="center"/>
        </w:trPr>
        <w:tc>
          <w:tcPr>
            <w:tcW w:w="10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101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满意度指标</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满意度指标</w:t>
            </w:r>
          </w:p>
        </w:tc>
        <w:tc>
          <w:tcPr>
            <w:tcW w:w="11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受补助人员满意度</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&gt;=95%</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95%</w:t>
            </w:r>
          </w:p>
        </w:tc>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8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98" w:hRule="atLeast"/>
          <w:jc w:val="center"/>
        </w:trPr>
        <w:tc>
          <w:tcPr>
            <w:tcW w:w="5912"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9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9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100.00分</w:t>
            </w:r>
          </w:p>
        </w:tc>
        <w:tc>
          <w:tcPr>
            <w:tcW w:w="88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bl>
    <w:p>
      <w:pPr>
        <w:rPr>
          <w:sz w:val="18"/>
          <w:szCs w:val="18"/>
        </w:rPr>
      </w:pPr>
    </w:p>
    <w:tbl>
      <w:tblPr>
        <w:tblStyle w:val="2"/>
        <w:tblW w:w="4858" w:type="pct"/>
        <w:jc w:val="center"/>
        <w:tblLayout w:type="fixed"/>
        <w:tblCellMar>
          <w:top w:w="0" w:type="dxa"/>
          <w:left w:w="108" w:type="dxa"/>
          <w:bottom w:w="0" w:type="dxa"/>
          <w:right w:w="108" w:type="dxa"/>
        </w:tblCellMar>
      </w:tblPr>
      <w:tblGrid>
        <w:gridCol w:w="1013"/>
        <w:gridCol w:w="803"/>
        <w:gridCol w:w="790"/>
        <w:gridCol w:w="997"/>
        <w:gridCol w:w="845"/>
        <w:gridCol w:w="901"/>
        <w:gridCol w:w="776"/>
        <w:gridCol w:w="997"/>
        <w:gridCol w:w="1482"/>
      </w:tblGrid>
      <w:tr>
        <w:tblPrEx>
          <w:tblCellMar>
            <w:top w:w="0" w:type="dxa"/>
            <w:left w:w="108" w:type="dxa"/>
            <w:bottom w:w="0" w:type="dxa"/>
            <w:right w:w="108" w:type="dxa"/>
          </w:tblCellMar>
        </w:tblPrEx>
        <w:trPr>
          <w:trHeight w:val="405" w:hRule="atLeast"/>
          <w:jc w:val="center"/>
        </w:trPr>
        <w:tc>
          <w:tcPr>
            <w:tcW w:w="8281" w:type="dxa"/>
            <w:gridSpan w:val="9"/>
            <w:tcBorders>
              <w:top w:val="nil"/>
              <w:left w:val="nil"/>
              <w:bottom w:val="nil"/>
              <w:right w:val="nil"/>
            </w:tcBorders>
            <w:shd w:val="clear" w:color="auto" w:fill="auto"/>
            <w:vAlign w:val="center"/>
          </w:tcPr>
          <w:p>
            <w:pPr>
              <w:widowControl/>
              <w:jc w:val="center"/>
              <w:rPr>
                <w:rFonts w:ascii="宋体" w:hAnsi="宋体" w:eastAsia="宋体" w:cs="宋体"/>
                <w:b/>
                <w:bCs/>
                <w:color w:val="000000"/>
                <w:kern w:val="0"/>
                <w:sz w:val="32"/>
                <w:szCs w:val="32"/>
              </w:rPr>
            </w:pPr>
            <w:r>
              <w:rPr>
                <w:rFonts w:hint="eastAsia" w:ascii="宋体" w:hAnsi="宋体" w:eastAsia="宋体" w:cs="宋体"/>
                <w:b/>
                <w:bCs/>
                <w:color w:val="000000"/>
                <w:kern w:val="0"/>
                <w:sz w:val="32"/>
                <w:szCs w:val="32"/>
              </w:rPr>
              <w:t>项目支出绩效自评表</w:t>
            </w:r>
          </w:p>
        </w:tc>
      </w:tr>
      <w:tr>
        <w:tblPrEx>
          <w:tblCellMar>
            <w:top w:w="0" w:type="dxa"/>
            <w:left w:w="108" w:type="dxa"/>
            <w:bottom w:w="0" w:type="dxa"/>
            <w:right w:w="108" w:type="dxa"/>
          </w:tblCellMar>
        </w:tblPrEx>
        <w:trPr>
          <w:trHeight w:val="270" w:hRule="atLeast"/>
          <w:jc w:val="center"/>
        </w:trPr>
        <w:tc>
          <w:tcPr>
            <w:tcW w:w="8281" w:type="dxa"/>
            <w:gridSpan w:val="9"/>
            <w:tcBorders>
              <w:top w:val="nil"/>
              <w:left w:val="nil"/>
              <w:bottom w:val="single" w:color="auto" w:sz="4" w:space="0"/>
              <w:right w:val="nil"/>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(2022年度)</w:t>
            </w:r>
          </w:p>
        </w:tc>
      </w:tr>
      <w:tr>
        <w:tblPrEx>
          <w:tblCellMar>
            <w:top w:w="0" w:type="dxa"/>
            <w:left w:w="108" w:type="dxa"/>
            <w:bottom w:w="0" w:type="dxa"/>
            <w:right w:w="108" w:type="dxa"/>
          </w:tblCellMar>
        </w:tblPrEx>
        <w:trPr>
          <w:trHeight w:val="398" w:hRule="atLeast"/>
          <w:jc w:val="center"/>
        </w:trPr>
        <w:tc>
          <w:tcPr>
            <w:tcW w:w="1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项目名称</w:t>
            </w:r>
          </w:p>
        </w:tc>
        <w:tc>
          <w:tcPr>
            <w:tcW w:w="6533"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乌财社【2022】311号关于拨付2022年第七十五批疫情防控补助资金【因疫情滞留】</w:t>
            </w:r>
          </w:p>
        </w:tc>
      </w:tr>
      <w:tr>
        <w:tblPrEx>
          <w:tblCellMar>
            <w:top w:w="0" w:type="dxa"/>
            <w:left w:w="108" w:type="dxa"/>
            <w:bottom w:w="0" w:type="dxa"/>
            <w:right w:w="108" w:type="dxa"/>
          </w:tblCellMar>
        </w:tblPrEx>
        <w:trPr>
          <w:trHeight w:val="398" w:hRule="atLeast"/>
          <w:jc w:val="center"/>
        </w:trPr>
        <w:tc>
          <w:tcPr>
            <w:tcW w:w="1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主管部门</w:t>
            </w:r>
          </w:p>
        </w:tc>
        <w:tc>
          <w:tcPr>
            <w:tcW w:w="2533"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米东区长山子镇政府</w:t>
            </w:r>
          </w:p>
        </w:tc>
        <w:tc>
          <w:tcPr>
            <w:tcW w:w="86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实施单位</w:t>
            </w:r>
          </w:p>
        </w:tc>
        <w:tc>
          <w:tcPr>
            <w:tcW w:w="3133"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米东区长山子镇政府</w:t>
            </w:r>
          </w:p>
        </w:tc>
      </w:tr>
      <w:tr>
        <w:tblPrEx>
          <w:tblCellMar>
            <w:top w:w="0" w:type="dxa"/>
            <w:left w:w="108" w:type="dxa"/>
            <w:bottom w:w="0" w:type="dxa"/>
            <w:right w:w="108" w:type="dxa"/>
          </w:tblCellMar>
        </w:tblPrEx>
        <w:trPr>
          <w:trHeight w:val="398" w:hRule="atLeast"/>
          <w:jc w:val="center"/>
        </w:trPr>
        <w:tc>
          <w:tcPr>
            <w:tcW w:w="174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项目资金</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（万元）</w:t>
            </w:r>
          </w:p>
        </w:tc>
        <w:tc>
          <w:tcPr>
            <w:tcW w:w="7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9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年初预算数</w:t>
            </w:r>
          </w:p>
        </w:tc>
        <w:tc>
          <w:tcPr>
            <w:tcW w:w="81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全年预算数</w:t>
            </w:r>
          </w:p>
        </w:tc>
        <w:tc>
          <w:tcPr>
            <w:tcW w:w="86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全年执行数</w:t>
            </w:r>
          </w:p>
        </w:tc>
        <w:tc>
          <w:tcPr>
            <w:tcW w:w="74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分值</w:t>
            </w:r>
          </w:p>
        </w:tc>
        <w:tc>
          <w:tcPr>
            <w:tcW w:w="9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执行率</w:t>
            </w:r>
          </w:p>
        </w:tc>
        <w:tc>
          <w:tcPr>
            <w:tcW w:w="142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r>
      <w:tr>
        <w:tblPrEx>
          <w:tblCellMar>
            <w:top w:w="0" w:type="dxa"/>
            <w:left w:w="108" w:type="dxa"/>
            <w:bottom w:w="0" w:type="dxa"/>
            <w:right w:w="108" w:type="dxa"/>
          </w:tblCellMar>
        </w:tblPrEx>
        <w:trPr>
          <w:trHeight w:val="398" w:hRule="atLeast"/>
          <w:jc w:val="center"/>
        </w:trPr>
        <w:tc>
          <w:tcPr>
            <w:tcW w:w="174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7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年度资金总额</w:t>
            </w:r>
          </w:p>
        </w:tc>
        <w:tc>
          <w:tcPr>
            <w:tcW w:w="9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81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1.54</w:t>
            </w:r>
          </w:p>
        </w:tc>
        <w:tc>
          <w:tcPr>
            <w:tcW w:w="86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1.54</w:t>
            </w:r>
          </w:p>
        </w:tc>
        <w:tc>
          <w:tcPr>
            <w:tcW w:w="74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9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142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10.00分</w:t>
            </w:r>
          </w:p>
        </w:tc>
      </w:tr>
      <w:tr>
        <w:tblPrEx>
          <w:tblCellMar>
            <w:top w:w="0" w:type="dxa"/>
            <w:left w:w="108" w:type="dxa"/>
            <w:bottom w:w="0" w:type="dxa"/>
            <w:right w:w="108" w:type="dxa"/>
          </w:tblCellMar>
        </w:tblPrEx>
        <w:trPr>
          <w:trHeight w:val="398" w:hRule="atLeast"/>
          <w:jc w:val="center"/>
        </w:trPr>
        <w:tc>
          <w:tcPr>
            <w:tcW w:w="174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7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其中：当年财政拨款</w:t>
            </w:r>
          </w:p>
        </w:tc>
        <w:tc>
          <w:tcPr>
            <w:tcW w:w="9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.00</w:t>
            </w:r>
          </w:p>
        </w:tc>
        <w:tc>
          <w:tcPr>
            <w:tcW w:w="81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1.54</w:t>
            </w:r>
          </w:p>
        </w:tc>
        <w:tc>
          <w:tcPr>
            <w:tcW w:w="86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1.54</w:t>
            </w:r>
          </w:p>
        </w:tc>
        <w:tc>
          <w:tcPr>
            <w:tcW w:w="74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9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42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r>
      <w:tr>
        <w:tblPrEx>
          <w:tblCellMar>
            <w:top w:w="0" w:type="dxa"/>
            <w:left w:w="108" w:type="dxa"/>
            <w:bottom w:w="0" w:type="dxa"/>
            <w:right w:w="108" w:type="dxa"/>
          </w:tblCellMar>
        </w:tblPrEx>
        <w:trPr>
          <w:trHeight w:val="398" w:hRule="atLeast"/>
          <w:jc w:val="center"/>
        </w:trPr>
        <w:tc>
          <w:tcPr>
            <w:tcW w:w="174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7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上年结转资金</w:t>
            </w:r>
          </w:p>
        </w:tc>
        <w:tc>
          <w:tcPr>
            <w:tcW w:w="9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81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86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74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9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42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r>
      <w:tr>
        <w:tblPrEx>
          <w:tblCellMar>
            <w:top w:w="0" w:type="dxa"/>
            <w:left w:w="108" w:type="dxa"/>
            <w:bottom w:w="0" w:type="dxa"/>
            <w:right w:w="108" w:type="dxa"/>
          </w:tblCellMar>
        </w:tblPrEx>
        <w:trPr>
          <w:trHeight w:val="398" w:hRule="atLeast"/>
          <w:jc w:val="center"/>
        </w:trPr>
        <w:tc>
          <w:tcPr>
            <w:tcW w:w="174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7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其他资金</w:t>
            </w:r>
          </w:p>
        </w:tc>
        <w:tc>
          <w:tcPr>
            <w:tcW w:w="9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81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86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74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9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42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r>
      <w:tr>
        <w:tblPrEx>
          <w:tblCellMar>
            <w:top w:w="0" w:type="dxa"/>
            <w:left w:w="108" w:type="dxa"/>
            <w:bottom w:w="0" w:type="dxa"/>
            <w:right w:w="108" w:type="dxa"/>
          </w:tblCellMar>
        </w:tblPrEx>
        <w:trPr>
          <w:trHeight w:val="398" w:hRule="atLeast"/>
          <w:jc w:val="center"/>
        </w:trPr>
        <w:tc>
          <w:tcPr>
            <w:tcW w:w="9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年度总体目标</w:t>
            </w:r>
          </w:p>
        </w:tc>
        <w:tc>
          <w:tcPr>
            <w:tcW w:w="3306"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预期目标</w:t>
            </w:r>
          </w:p>
        </w:tc>
        <w:tc>
          <w:tcPr>
            <w:tcW w:w="40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实际完成情况</w:t>
            </w:r>
          </w:p>
        </w:tc>
      </w:tr>
      <w:tr>
        <w:tblPrEx>
          <w:tblCellMar>
            <w:top w:w="0" w:type="dxa"/>
            <w:left w:w="108" w:type="dxa"/>
            <w:bottom w:w="0" w:type="dxa"/>
            <w:right w:w="108" w:type="dxa"/>
          </w:tblCellMar>
        </w:tblPrEx>
        <w:trPr>
          <w:trHeight w:val="398" w:hRule="atLeast"/>
          <w:jc w:val="center"/>
        </w:trPr>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3306"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本项目资金主要用于为 22名受疫情影响人员发放补助，本项目的实施可有效解决受疫情影响人员的实际困难，推动疫情防控工作正常开展。</w:t>
            </w:r>
          </w:p>
        </w:tc>
        <w:tc>
          <w:tcPr>
            <w:tcW w:w="400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该项目绩效目标设置为当年项目，总体绩效目标是，为22名受疫情影响人员发放补助，本项目的实施可有效解决受疫情影响人员的实际困难，保障受疫情影响人员的基本生活，推动疫情防控工作正常开展，有效维持疫情期间当地社会稳定。</w:t>
            </w:r>
          </w:p>
        </w:tc>
      </w:tr>
      <w:tr>
        <w:tblPrEx>
          <w:tblCellMar>
            <w:top w:w="0" w:type="dxa"/>
            <w:left w:w="108" w:type="dxa"/>
            <w:bottom w:w="0" w:type="dxa"/>
            <w:right w:w="108" w:type="dxa"/>
          </w:tblCellMar>
        </w:tblPrEx>
        <w:trPr>
          <w:trHeight w:val="398" w:hRule="atLeast"/>
          <w:jc w:val="center"/>
        </w:trPr>
        <w:tc>
          <w:tcPr>
            <w:tcW w:w="9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77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一级指标</w:t>
            </w:r>
          </w:p>
        </w:tc>
        <w:tc>
          <w:tcPr>
            <w:tcW w:w="7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二级指标</w:t>
            </w:r>
          </w:p>
        </w:tc>
        <w:tc>
          <w:tcPr>
            <w:tcW w:w="9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三级指标</w:t>
            </w:r>
          </w:p>
        </w:tc>
        <w:tc>
          <w:tcPr>
            <w:tcW w:w="81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年度指标值</w:t>
            </w:r>
          </w:p>
        </w:tc>
        <w:tc>
          <w:tcPr>
            <w:tcW w:w="86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实际完成值</w:t>
            </w:r>
          </w:p>
        </w:tc>
        <w:tc>
          <w:tcPr>
            <w:tcW w:w="74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分值</w:t>
            </w:r>
          </w:p>
        </w:tc>
        <w:tc>
          <w:tcPr>
            <w:tcW w:w="9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142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偏差原因分析及改进措施</w:t>
            </w:r>
          </w:p>
        </w:tc>
      </w:tr>
      <w:tr>
        <w:tblPrEx>
          <w:tblCellMar>
            <w:top w:w="0" w:type="dxa"/>
            <w:left w:w="108" w:type="dxa"/>
            <w:bottom w:w="0" w:type="dxa"/>
            <w:right w:w="108" w:type="dxa"/>
          </w:tblCellMar>
        </w:tblPrEx>
        <w:trPr>
          <w:trHeight w:val="398" w:hRule="atLeast"/>
          <w:jc w:val="center"/>
        </w:trPr>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77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7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81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86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7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142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r>
      <w:tr>
        <w:tblPrEx>
          <w:tblCellMar>
            <w:top w:w="0" w:type="dxa"/>
            <w:left w:w="108" w:type="dxa"/>
            <w:bottom w:w="0" w:type="dxa"/>
            <w:right w:w="108" w:type="dxa"/>
          </w:tblCellMar>
        </w:tblPrEx>
        <w:trPr>
          <w:trHeight w:val="398" w:hRule="atLeast"/>
          <w:jc w:val="center"/>
        </w:trPr>
        <w:tc>
          <w:tcPr>
            <w:tcW w:w="9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年度绩效指标完成情况</w:t>
            </w:r>
          </w:p>
        </w:tc>
        <w:tc>
          <w:tcPr>
            <w:tcW w:w="77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产出指标</w:t>
            </w:r>
          </w:p>
        </w:tc>
        <w:tc>
          <w:tcPr>
            <w:tcW w:w="7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数量指标</w:t>
            </w:r>
          </w:p>
        </w:tc>
        <w:tc>
          <w:tcPr>
            <w:tcW w:w="9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发放补助人数</w:t>
            </w:r>
          </w:p>
        </w:tc>
        <w:tc>
          <w:tcPr>
            <w:tcW w:w="81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=22人</w:t>
            </w:r>
          </w:p>
        </w:tc>
        <w:tc>
          <w:tcPr>
            <w:tcW w:w="8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22人</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42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98" w:hRule="atLeast"/>
          <w:jc w:val="center"/>
        </w:trPr>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77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7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质量指标</w:t>
            </w:r>
          </w:p>
        </w:tc>
        <w:tc>
          <w:tcPr>
            <w:tcW w:w="9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资金发放准确率（%）</w:t>
            </w:r>
          </w:p>
        </w:tc>
        <w:tc>
          <w:tcPr>
            <w:tcW w:w="81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&gt;=100%</w:t>
            </w:r>
          </w:p>
        </w:tc>
        <w:tc>
          <w:tcPr>
            <w:tcW w:w="8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42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98" w:hRule="atLeast"/>
          <w:jc w:val="center"/>
        </w:trPr>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77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7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质量指标</w:t>
            </w:r>
          </w:p>
        </w:tc>
        <w:tc>
          <w:tcPr>
            <w:tcW w:w="9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补助覆盖率.</w:t>
            </w:r>
          </w:p>
        </w:tc>
        <w:tc>
          <w:tcPr>
            <w:tcW w:w="81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&gt;=90%</w:t>
            </w:r>
          </w:p>
        </w:tc>
        <w:tc>
          <w:tcPr>
            <w:tcW w:w="8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90%</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42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98" w:hRule="atLeast"/>
          <w:jc w:val="center"/>
        </w:trPr>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77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7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时效指标</w:t>
            </w:r>
          </w:p>
        </w:tc>
        <w:tc>
          <w:tcPr>
            <w:tcW w:w="9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资金发放及时率（%）</w:t>
            </w:r>
          </w:p>
        </w:tc>
        <w:tc>
          <w:tcPr>
            <w:tcW w:w="81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&gt;=100%</w:t>
            </w:r>
          </w:p>
        </w:tc>
        <w:tc>
          <w:tcPr>
            <w:tcW w:w="8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42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98" w:hRule="atLeast"/>
          <w:jc w:val="center"/>
        </w:trPr>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77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7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成本指标</w:t>
            </w:r>
          </w:p>
        </w:tc>
        <w:tc>
          <w:tcPr>
            <w:tcW w:w="9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补助资金标准</w:t>
            </w:r>
          </w:p>
        </w:tc>
        <w:tc>
          <w:tcPr>
            <w:tcW w:w="81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=700元/人</w:t>
            </w:r>
          </w:p>
        </w:tc>
        <w:tc>
          <w:tcPr>
            <w:tcW w:w="8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700元/人</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42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98" w:hRule="atLeast"/>
          <w:jc w:val="center"/>
        </w:trPr>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77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效益指标</w:t>
            </w:r>
          </w:p>
        </w:tc>
        <w:tc>
          <w:tcPr>
            <w:tcW w:w="7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经济效益指标</w:t>
            </w:r>
          </w:p>
        </w:tc>
        <w:tc>
          <w:tcPr>
            <w:tcW w:w="9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1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42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98" w:hRule="atLeast"/>
          <w:jc w:val="center"/>
        </w:trPr>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77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7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社会效益指标</w:t>
            </w:r>
          </w:p>
        </w:tc>
        <w:tc>
          <w:tcPr>
            <w:tcW w:w="9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提升困难群众生活水平情况</w:t>
            </w:r>
          </w:p>
        </w:tc>
        <w:tc>
          <w:tcPr>
            <w:tcW w:w="81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有所提升</w:t>
            </w:r>
          </w:p>
        </w:tc>
        <w:tc>
          <w:tcPr>
            <w:tcW w:w="8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完全达到预期效果</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142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98" w:hRule="atLeast"/>
          <w:jc w:val="center"/>
        </w:trPr>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77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7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生态效益指标</w:t>
            </w:r>
          </w:p>
        </w:tc>
        <w:tc>
          <w:tcPr>
            <w:tcW w:w="9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1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42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98" w:hRule="atLeast"/>
          <w:jc w:val="center"/>
        </w:trPr>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77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7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可持续影响指标</w:t>
            </w:r>
          </w:p>
        </w:tc>
        <w:tc>
          <w:tcPr>
            <w:tcW w:w="9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推动疫情防控工作正常开展</w:t>
            </w:r>
          </w:p>
        </w:tc>
        <w:tc>
          <w:tcPr>
            <w:tcW w:w="81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长期推动</w:t>
            </w:r>
          </w:p>
        </w:tc>
        <w:tc>
          <w:tcPr>
            <w:tcW w:w="8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完全达到预期效果</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42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98" w:hRule="atLeast"/>
          <w:jc w:val="center"/>
        </w:trPr>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7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满意度指标</w:t>
            </w:r>
          </w:p>
        </w:tc>
        <w:tc>
          <w:tcPr>
            <w:tcW w:w="7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满意度指标</w:t>
            </w:r>
          </w:p>
        </w:tc>
        <w:tc>
          <w:tcPr>
            <w:tcW w:w="9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受补助人员满意度</w:t>
            </w:r>
          </w:p>
        </w:tc>
        <w:tc>
          <w:tcPr>
            <w:tcW w:w="81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&gt;=95%</w:t>
            </w:r>
          </w:p>
        </w:tc>
        <w:tc>
          <w:tcPr>
            <w:tcW w:w="8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95%</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42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98" w:hRule="atLeast"/>
          <w:jc w:val="center"/>
        </w:trPr>
        <w:tc>
          <w:tcPr>
            <w:tcW w:w="5148"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74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9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100.00分</w:t>
            </w:r>
          </w:p>
        </w:tc>
        <w:tc>
          <w:tcPr>
            <w:tcW w:w="142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bl>
    <w:p>
      <w:pPr>
        <w:rPr>
          <w:sz w:val="18"/>
          <w:szCs w:val="18"/>
        </w:rPr>
      </w:pPr>
    </w:p>
    <w:p>
      <w:pPr>
        <w:shd w:val="clear" w:color="auto" w:fill="FFFFFF"/>
        <w:autoSpaceDE w:val="0"/>
        <w:autoSpaceDN w:val="0"/>
        <w:adjustRightInd w:val="0"/>
        <w:spacing w:before="100" w:after="240"/>
        <w:jc w:val="center"/>
        <w:rPr>
          <w:rFonts w:hint="default" w:ascii="Times New Roman" w:hAnsi="Times New Roman" w:eastAsia="黑体"/>
          <w:b/>
          <w:kern w:val="0"/>
          <w:sz w:val="28"/>
          <w:szCs w:val="28"/>
        </w:rPr>
      </w:pPr>
      <w:r>
        <w:rPr>
          <w:rFonts w:hint="eastAsia" w:ascii="黑体" w:hAnsi="Times New Roman" w:eastAsia="黑体" w:cs="黑体"/>
          <w:kern w:val="0"/>
          <w:sz w:val="32"/>
          <w:szCs w:val="32"/>
        </w:rPr>
        <w:t>第三部分 专业名词解释</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财政拨款收入：指同级财政当年拨付的资金。</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上级补助收入：指事业单位从主管部门和上级单位取得的非财政补助收入。</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事业收入：指事业单位开展专业业务活动及其辅助活动所取得的收入。</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经营收入：指事业单位在专业业务活动及其辅助活动之外开展非独立核算经营活动取得的收入。</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附属单位上缴收入：指事业单位附属的独立核算单位按有关规定上缴的收入。</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其他收入：指除上述</w:t>
      </w:r>
      <w:r>
        <w:rPr>
          <w:rFonts w:hint="default" w:ascii="Times New Roman" w:hAnsi="Times New Roman" w:eastAsia="仿宋_GB2312" w:cs="仿宋_GB2312"/>
          <w:kern w:val="0"/>
          <w:sz w:val="32"/>
          <w:szCs w:val="32"/>
        </w:rPr>
        <w:t>“</w:t>
      </w:r>
      <w:r>
        <w:rPr>
          <w:rFonts w:hint="eastAsia" w:ascii="仿宋_GB2312" w:hAnsi="Times New Roman" w:eastAsia="仿宋_GB2312" w:cs="仿宋_GB2312"/>
          <w:kern w:val="0"/>
          <w:sz w:val="32"/>
          <w:szCs w:val="32"/>
        </w:rPr>
        <w:t>财政拨款收入</w:t>
      </w:r>
      <w:r>
        <w:rPr>
          <w:rFonts w:hint="default" w:ascii="Times New Roman" w:hAnsi="Times New Roman" w:eastAsia="仿宋_GB2312" w:cs="仿宋_GB2312"/>
          <w:kern w:val="0"/>
          <w:sz w:val="32"/>
          <w:szCs w:val="32"/>
        </w:rPr>
        <w:t>”</w:t>
      </w:r>
      <w:r>
        <w:rPr>
          <w:rFonts w:hint="eastAsia" w:ascii="仿宋_GB2312" w:hAnsi="Times New Roman" w:eastAsia="仿宋_GB2312" w:cs="仿宋_GB2312"/>
          <w:kern w:val="0"/>
          <w:sz w:val="32"/>
          <w:szCs w:val="32"/>
        </w:rPr>
        <w:t>、</w:t>
      </w:r>
      <w:r>
        <w:rPr>
          <w:rFonts w:hint="default" w:ascii="Times New Roman" w:hAnsi="Times New Roman" w:eastAsia="仿宋_GB2312" w:cs="仿宋_GB2312"/>
          <w:kern w:val="0"/>
          <w:sz w:val="32"/>
          <w:szCs w:val="32"/>
        </w:rPr>
        <w:t>“</w:t>
      </w:r>
      <w:r>
        <w:rPr>
          <w:rFonts w:hint="eastAsia" w:ascii="仿宋_GB2312" w:hAnsi="Times New Roman" w:eastAsia="仿宋_GB2312" w:cs="仿宋_GB2312"/>
          <w:kern w:val="0"/>
          <w:sz w:val="32"/>
          <w:szCs w:val="32"/>
        </w:rPr>
        <w:t>事业收入</w:t>
      </w:r>
      <w:r>
        <w:rPr>
          <w:rFonts w:hint="default" w:ascii="Times New Roman" w:hAnsi="Times New Roman" w:eastAsia="仿宋_GB2312" w:cs="仿宋_GB2312"/>
          <w:kern w:val="0"/>
          <w:sz w:val="32"/>
          <w:szCs w:val="32"/>
        </w:rPr>
        <w:t>”</w:t>
      </w:r>
      <w:r>
        <w:rPr>
          <w:rFonts w:hint="eastAsia" w:ascii="仿宋_GB2312" w:hAnsi="Times New Roman" w:eastAsia="仿宋_GB2312" w:cs="仿宋_GB2312"/>
          <w:kern w:val="0"/>
          <w:sz w:val="32"/>
          <w:szCs w:val="32"/>
        </w:rPr>
        <w:t>、</w:t>
      </w:r>
      <w:r>
        <w:rPr>
          <w:rFonts w:hint="default" w:ascii="Times New Roman" w:hAnsi="Times New Roman" w:eastAsia="仿宋_GB2312" w:cs="仿宋_GB2312"/>
          <w:kern w:val="0"/>
          <w:sz w:val="32"/>
          <w:szCs w:val="32"/>
        </w:rPr>
        <w:t>“</w:t>
      </w:r>
      <w:r>
        <w:rPr>
          <w:rFonts w:hint="eastAsia" w:ascii="仿宋_GB2312" w:hAnsi="Times New Roman" w:eastAsia="仿宋_GB2312" w:cs="仿宋_GB2312"/>
          <w:kern w:val="0"/>
          <w:sz w:val="32"/>
          <w:szCs w:val="32"/>
        </w:rPr>
        <w:t>经营收入</w:t>
      </w:r>
      <w:r>
        <w:rPr>
          <w:rFonts w:hint="default" w:ascii="Times New Roman" w:hAnsi="Times New Roman" w:eastAsia="仿宋_GB2312" w:cs="仿宋_GB2312"/>
          <w:kern w:val="0"/>
          <w:sz w:val="32"/>
          <w:szCs w:val="32"/>
        </w:rPr>
        <w:t>”</w:t>
      </w:r>
      <w:r>
        <w:rPr>
          <w:rFonts w:hint="eastAsia" w:ascii="仿宋_GB2312" w:hAnsi="Times New Roman" w:eastAsia="仿宋_GB2312" w:cs="仿宋_GB2312"/>
          <w:kern w:val="0"/>
          <w:sz w:val="32"/>
          <w:szCs w:val="32"/>
        </w:rPr>
        <w:t>、</w:t>
      </w:r>
      <w:r>
        <w:rPr>
          <w:rFonts w:hint="default" w:ascii="Times New Roman" w:hAnsi="Times New Roman" w:eastAsia="仿宋_GB2312" w:cs="仿宋_GB2312"/>
          <w:kern w:val="0"/>
          <w:sz w:val="32"/>
          <w:szCs w:val="32"/>
        </w:rPr>
        <w:t>“</w:t>
      </w:r>
      <w:r>
        <w:rPr>
          <w:rFonts w:hint="eastAsia" w:ascii="仿宋_GB2312" w:hAnsi="Times New Roman" w:eastAsia="仿宋_GB2312" w:cs="仿宋_GB2312"/>
          <w:kern w:val="0"/>
          <w:sz w:val="32"/>
          <w:szCs w:val="32"/>
        </w:rPr>
        <w:t>附属单位上缴收入</w:t>
      </w:r>
      <w:r>
        <w:rPr>
          <w:rFonts w:hint="default" w:ascii="Times New Roman" w:hAnsi="Times New Roman" w:eastAsia="仿宋_GB2312" w:cs="仿宋_GB2312"/>
          <w:kern w:val="0"/>
          <w:sz w:val="32"/>
          <w:szCs w:val="32"/>
        </w:rPr>
        <w:t>”</w:t>
      </w:r>
      <w:r>
        <w:rPr>
          <w:rFonts w:hint="eastAsia" w:ascii="仿宋_GB2312" w:hAnsi="Times New Roman" w:eastAsia="仿宋_GB2312" w:cs="仿宋_GB2312"/>
          <w:kern w:val="0"/>
          <w:sz w:val="32"/>
          <w:szCs w:val="32"/>
        </w:rPr>
        <w:t>等之外取得的收入。</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基本支出：指为保障机构正常运转、完成日常工作任务而发生的人员支出和公用支出。</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项目支出：指在基本支出之外为完成特定行政任务和事业发展目标所发生的支出。</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经营支出：指事业单位在专业业务活动及其辅助活动之外开展非独立核算经营活动发生的支出。</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对附属单位补助支出：指事业单位发生的用非财政预算资金对附属单位的补助支出。</w:t>
      </w:r>
    </w:p>
    <w:p>
      <w:pPr>
        <w:autoSpaceDE w:val="0"/>
        <w:autoSpaceDN w:val="0"/>
        <w:adjustRightInd w:val="0"/>
        <w:spacing w:line="360" w:lineRule="auto"/>
        <w:ind w:firstLine="640"/>
        <w:rPr>
          <w:rFonts w:hint="default" w:ascii="Times New Roman" w:hAnsi="Times New Roman" w:eastAsia="仿宋_GB2312"/>
          <w:sz w:val="32"/>
          <w:szCs w:val="32"/>
        </w:rPr>
      </w:pPr>
      <w:r>
        <w:rPr>
          <w:rFonts w:hint="default" w:ascii="Times New Roman" w:hAnsi="Times New Roman" w:eastAsia="仿宋_GB2312" w:cs="仿宋_GB2312"/>
          <w:sz w:val="32"/>
          <w:szCs w:val="32"/>
        </w:rPr>
        <w:t>“</w:t>
      </w:r>
      <w:r>
        <w:rPr>
          <w:rFonts w:hint="eastAsia" w:ascii="仿宋_GB2312" w:hAnsi="Times New Roman" w:eastAsia="仿宋_GB2312" w:cs="仿宋_GB2312"/>
          <w:sz w:val="32"/>
          <w:szCs w:val="32"/>
        </w:rPr>
        <w:t>三公</w:t>
      </w:r>
      <w:r>
        <w:rPr>
          <w:rFonts w:hint="default" w:ascii="Times New Roman" w:hAnsi="Times New Roman" w:eastAsia="仿宋_GB2312" w:cs="仿宋_GB2312"/>
          <w:sz w:val="32"/>
          <w:szCs w:val="32"/>
        </w:rPr>
        <w:t>”</w:t>
      </w:r>
      <w:r>
        <w:rPr>
          <w:rFonts w:hint="eastAsia" w:ascii="仿宋_GB2312" w:hAnsi="Times New Roman" w:eastAsia="仿宋_GB2312" w:cs="仿宋_GB2312"/>
          <w:sz w:val="32"/>
          <w:szCs w:val="32"/>
        </w:rPr>
        <w:t>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autoSpaceDE w:val="0"/>
        <w:autoSpaceDN w:val="0"/>
        <w:adjustRightInd w:val="0"/>
        <w:spacing w:line="360" w:lineRule="auto"/>
        <w:ind w:firstLine="640"/>
        <w:rPr>
          <w:rFonts w:hint="default" w:ascii="Times New Roman" w:hAnsi="Times New Roman" w:eastAsia="仿宋_GB2312"/>
          <w:sz w:val="32"/>
          <w:szCs w:val="32"/>
        </w:rPr>
      </w:pPr>
      <w:r>
        <w:rPr>
          <w:rFonts w:hint="eastAsia" w:ascii="仿宋_GB2312" w:hAnsi="Times New Roman" w:eastAsia="仿宋_GB2312" w:cs="仿宋_GB2312"/>
          <w:sz w:val="32"/>
          <w:szCs w:val="32"/>
        </w:rPr>
        <w:t>机关运行经费：行政单位和参照公务员法管理的事业单位财政拨款基本支出中的公用经费支出。</w:t>
      </w:r>
    </w:p>
    <w:p>
      <w:pPr>
        <w:shd w:val="clear" w:color="auto" w:fill="FFFFFF"/>
        <w:autoSpaceDE w:val="0"/>
        <w:autoSpaceDN w:val="0"/>
        <w:adjustRightInd w:val="0"/>
        <w:spacing w:before="100" w:after="240"/>
        <w:jc w:val="center"/>
        <w:rPr>
          <w:rFonts w:hint="default" w:ascii="Times New Roman" w:hAnsi="Times New Roman" w:eastAsia="黑体"/>
          <w:kern w:val="0"/>
          <w:sz w:val="32"/>
          <w:szCs w:val="32"/>
        </w:rPr>
      </w:pPr>
      <w:r>
        <w:rPr>
          <w:rFonts w:hint="eastAsia" w:ascii="黑体" w:hAnsi="Times New Roman" w:eastAsia="黑体" w:cs="黑体"/>
          <w:kern w:val="0"/>
          <w:sz w:val="32"/>
          <w:szCs w:val="32"/>
        </w:rPr>
        <w:t>第四部分 部门决算报表（见附表）</w:t>
      </w:r>
    </w:p>
    <w:p>
      <w:pPr>
        <w:autoSpaceDE w:val="0"/>
        <w:autoSpaceDN w:val="0"/>
        <w:adjustRightInd w:val="0"/>
        <w:spacing w:line="540" w:lineRule="exact"/>
        <w:ind w:firstLine="640"/>
        <w:rPr>
          <w:rFonts w:hint="default" w:ascii="Times New Roman" w:hAnsi="Times New Roman" w:eastAsia="黑体"/>
          <w:sz w:val="32"/>
          <w:szCs w:val="32"/>
        </w:rPr>
      </w:pPr>
      <w:r>
        <w:rPr>
          <w:rFonts w:hint="eastAsia" w:ascii="黑体" w:hAnsi="Times New Roman" w:eastAsia="黑体" w:cs="黑体"/>
          <w:sz w:val="32"/>
          <w:szCs w:val="32"/>
        </w:rPr>
        <w:t>一、《收入支出决算总表》</w:t>
      </w:r>
    </w:p>
    <w:p>
      <w:pPr>
        <w:autoSpaceDE w:val="0"/>
        <w:autoSpaceDN w:val="0"/>
        <w:adjustRightInd w:val="0"/>
        <w:spacing w:line="540" w:lineRule="exact"/>
        <w:ind w:firstLine="640"/>
        <w:rPr>
          <w:rFonts w:hint="default" w:ascii="Times New Roman" w:hAnsi="Times New Roman" w:eastAsia="黑体"/>
          <w:sz w:val="32"/>
          <w:szCs w:val="32"/>
        </w:rPr>
      </w:pPr>
      <w:r>
        <w:rPr>
          <w:rFonts w:hint="eastAsia" w:ascii="黑体" w:hAnsi="Times New Roman" w:eastAsia="黑体" w:cs="黑体"/>
          <w:sz w:val="32"/>
          <w:szCs w:val="32"/>
        </w:rPr>
        <w:t>二、《收入决算表》</w:t>
      </w:r>
    </w:p>
    <w:p>
      <w:pPr>
        <w:autoSpaceDE w:val="0"/>
        <w:autoSpaceDN w:val="0"/>
        <w:adjustRightInd w:val="0"/>
        <w:spacing w:line="540" w:lineRule="exact"/>
        <w:ind w:firstLine="640"/>
        <w:rPr>
          <w:rFonts w:hint="default" w:ascii="Times New Roman" w:hAnsi="Times New Roman" w:eastAsia="黑体"/>
          <w:sz w:val="32"/>
          <w:szCs w:val="32"/>
        </w:rPr>
      </w:pPr>
      <w:r>
        <w:rPr>
          <w:rFonts w:hint="eastAsia" w:ascii="黑体" w:hAnsi="Times New Roman" w:eastAsia="黑体" w:cs="黑体"/>
          <w:sz w:val="32"/>
          <w:szCs w:val="32"/>
        </w:rPr>
        <w:t>三、《支出决算表》</w:t>
      </w:r>
    </w:p>
    <w:p>
      <w:pPr>
        <w:autoSpaceDE w:val="0"/>
        <w:autoSpaceDN w:val="0"/>
        <w:adjustRightInd w:val="0"/>
        <w:spacing w:line="540" w:lineRule="exact"/>
        <w:ind w:firstLine="640"/>
        <w:rPr>
          <w:rFonts w:hint="default" w:ascii="Times New Roman" w:hAnsi="Times New Roman" w:eastAsia="黑体"/>
          <w:sz w:val="32"/>
          <w:szCs w:val="32"/>
        </w:rPr>
      </w:pPr>
      <w:r>
        <w:rPr>
          <w:rFonts w:hint="eastAsia" w:ascii="黑体" w:hAnsi="Times New Roman" w:eastAsia="黑体" w:cs="黑体"/>
          <w:sz w:val="32"/>
          <w:szCs w:val="32"/>
        </w:rPr>
        <w:t>四、《财政拨款收入支出决算总表》</w:t>
      </w:r>
    </w:p>
    <w:p>
      <w:pPr>
        <w:autoSpaceDE w:val="0"/>
        <w:autoSpaceDN w:val="0"/>
        <w:adjustRightInd w:val="0"/>
        <w:spacing w:line="540" w:lineRule="exact"/>
        <w:ind w:firstLine="640"/>
        <w:rPr>
          <w:rFonts w:hint="default" w:ascii="Times New Roman" w:hAnsi="Times New Roman" w:eastAsia="黑体"/>
          <w:sz w:val="32"/>
          <w:szCs w:val="32"/>
        </w:rPr>
      </w:pPr>
      <w:r>
        <w:rPr>
          <w:rFonts w:hint="eastAsia" w:ascii="黑体" w:hAnsi="Times New Roman" w:eastAsia="黑体" w:cs="黑体"/>
          <w:sz w:val="32"/>
          <w:szCs w:val="32"/>
        </w:rPr>
        <w:t>五、《一般公共预算财政拨款支出决算表》</w:t>
      </w:r>
    </w:p>
    <w:p>
      <w:pPr>
        <w:autoSpaceDE w:val="0"/>
        <w:autoSpaceDN w:val="0"/>
        <w:adjustRightInd w:val="0"/>
        <w:spacing w:line="540" w:lineRule="exact"/>
        <w:ind w:firstLine="640"/>
        <w:rPr>
          <w:rFonts w:hint="default" w:ascii="Times New Roman" w:hAnsi="Times New Roman" w:eastAsia="黑体"/>
          <w:sz w:val="32"/>
          <w:szCs w:val="32"/>
        </w:rPr>
      </w:pPr>
      <w:r>
        <w:rPr>
          <w:rFonts w:hint="eastAsia" w:ascii="黑体" w:hAnsi="Times New Roman" w:eastAsia="黑体" w:cs="黑体"/>
          <w:sz w:val="32"/>
          <w:szCs w:val="32"/>
        </w:rPr>
        <w:t>六、《一般公共预算财政拨款基本支出决算表》</w:t>
      </w:r>
    </w:p>
    <w:p>
      <w:pPr>
        <w:autoSpaceDE w:val="0"/>
        <w:autoSpaceDN w:val="0"/>
        <w:adjustRightInd w:val="0"/>
        <w:spacing w:line="540" w:lineRule="exact"/>
        <w:ind w:firstLine="640"/>
        <w:rPr>
          <w:rFonts w:hint="default" w:ascii="Times New Roman" w:hAnsi="Times New Roman" w:eastAsia="黑体"/>
          <w:sz w:val="32"/>
          <w:szCs w:val="32"/>
        </w:rPr>
      </w:pPr>
      <w:r>
        <w:rPr>
          <w:rFonts w:hint="eastAsia" w:ascii="黑体" w:hAnsi="Times New Roman" w:eastAsia="黑体" w:cs="黑体"/>
          <w:sz w:val="32"/>
          <w:szCs w:val="32"/>
        </w:rPr>
        <w:t>七、《财政拨款</w:t>
      </w:r>
      <w:r>
        <w:rPr>
          <w:rFonts w:hint="default" w:ascii="Times New Roman" w:hAnsi="Times New Roman" w:eastAsia="黑体" w:cs="黑体"/>
          <w:sz w:val="32"/>
          <w:szCs w:val="32"/>
        </w:rPr>
        <w:t>“</w:t>
      </w:r>
      <w:r>
        <w:rPr>
          <w:rFonts w:hint="eastAsia" w:ascii="黑体" w:hAnsi="Times New Roman" w:eastAsia="黑体" w:cs="黑体"/>
          <w:sz w:val="32"/>
          <w:szCs w:val="32"/>
        </w:rPr>
        <w:t>三公</w:t>
      </w:r>
      <w:r>
        <w:rPr>
          <w:rFonts w:hint="default" w:ascii="Times New Roman" w:hAnsi="Times New Roman" w:eastAsia="黑体" w:cs="黑体"/>
          <w:sz w:val="32"/>
          <w:szCs w:val="32"/>
        </w:rPr>
        <w:t>”</w:t>
      </w:r>
      <w:r>
        <w:rPr>
          <w:rFonts w:hint="eastAsia" w:ascii="黑体" w:hAnsi="Times New Roman" w:eastAsia="黑体" w:cs="黑体"/>
          <w:sz w:val="32"/>
          <w:szCs w:val="32"/>
        </w:rPr>
        <w:t>经费支出决算表》</w:t>
      </w:r>
    </w:p>
    <w:p>
      <w:pPr>
        <w:autoSpaceDE w:val="0"/>
        <w:autoSpaceDN w:val="0"/>
        <w:adjustRightInd w:val="0"/>
        <w:spacing w:line="540" w:lineRule="exact"/>
        <w:ind w:firstLine="640"/>
        <w:rPr>
          <w:rFonts w:hint="default" w:ascii="Times New Roman" w:hAnsi="Times New Roman" w:eastAsia="黑体"/>
          <w:kern w:val="0"/>
          <w:sz w:val="32"/>
          <w:szCs w:val="32"/>
        </w:rPr>
      </w:pPr>
      <w:r>
        <w:rPr>
          <w:rFonts w:hint="eastAsia" w:ascii="黑体" w:hAnsi="Times New Roman" w:eastAsia="黑体" w:cs="黑体"/>
          <w:sz w:val="32"/>
          <w:szCs w:val="32"/>
        </w:rPr>
        <w:t>八、《政府性基金预算财政拨款收入支出决算表》</w:t>
      </w:r>
    </w:p>
    <w:p>
      <w:pPr>
        <w:autoSpaceDE w:val="0"/>
        <w:autoSpaceDN w:val="0"/>
        <w:adjustRightInd w:val="0"/>
        <w:spacing w:line="540" w:lineRule="exact"/>
        <w:ind w:firstLine="640"/>
        <w:rPr>
          <w:rFonts w:hint="default" w:ascii="Times New Roman" w:hAnsi="Times New Roman" w:eastAsia="黑体"/>
          <w:kern w:val="0"/>
          <w:sz w:val="32"/>
          <w:szCs w:val="32"/>
        </w:rPr>
      </w:pPr>
      <w:r>
        <w:rPr>
          <w:rFonts w:hint="eastAsia" w:ascii="黑体" w:hAnsi="Times New Roman" w:eastAsia="黑体" w:cs="黑体"/>
          <w:sz w:val="32"/>
          <w:szCs w:val="32"/>
          <w:lang w:val="zh-CN"/>
        </w:rPr>
        <w:t>九</w:t>
      </w:r>
      <w:r>
        <w:rPr>
          <w:rFonts w:hint="eastAsia" w:ascii="黑体" w:hAnsi="Times New Roman" w:eastAsia="黑体" w:cs="黑体"/>
          <w:sz w:val="32"/>
          <w:szCs w:val="32"/>
        </w:rPr>
        <w:t>、《国有资本经营预算财政拨款收入支出决算表》</w:t>
      </w:r>
    </w:p>
    <w:p>
      <w:pPr>
        <w:autoSpaceDE w:val="0"/>
        <w:autoSpaceDN w:val="0"/>
        <w:adjustRightInd w:val="0"/>
        <w:jc w:val="left"/>
        <w:rPr>
          <w:rFonts w:hint="default" w:ascii="Times New Roman" w:hAnsi="Times New Roman" w:eastAsia="黑体"/>
          <w:kern w:val="36"/>
          <w:sz w:val="40"/>
          <w:szCs w:val="40"/>
          <w:lang w:val="zh-CN"/>
        </w:rPr>
      </w:pPr>
    </w:p>
    <w:p>
      <w:pPr>
        <w:autoSpaceDE w:val="0"/>
        <w:autoSpaceDN w:val="0"/>
        <w:adjustRightInd w:val="0"/>
        <w:rPr>
          <w:rFonts w:hint="default" w:ascii="Times New Roman" w:hAnsi="Times New Roman" w:eastAsia="黑体"/>
          <w:sz w:val="21"/>
          <w:szCs w:val="21"/>
        </w:rPr>
      </w:pPr>
    </w:p>
    <w:p>
      <w:pPr>
        <w:autoSpaceDE w:val="0"/>
        <w:autoSpaceDN w:val="0"/>
        <w:adjustRightInd w:val="0"/>
        <w:jc w:val="left"/>
        <w:rPr>
          <w:rFonts w:hint="default" w:ascii="Times New Roman" w:hAnsi="Times New Roman" w:eastAsia="黑体"/>
          <w:kern w:val="36"/>
          <w:sz w:val="40"/>
          <w:szCs w:val="40"/>
          <w:lang w:val="zh-CN"/>
        </w:rPr>
      </w:pPr>
    </w:p>
    <w:p>
      <w:pPr>
        <w:autoSpaceDE w:val="0"/>
        <w:autoSpaceDN w:val="0"/>
        <w:adjustRightInd w:val="0"/>
        <w:rPr>
          <w:rFonts w:hint="default" w:ascii="Times New Roman" w:hAnsi="Times New Roman" w:eastAsia="黑体"/>
          <w:sz w:val="21"/>
          <w:szCs w:val="21"/>
        </w:rPr>
      </w:pPr>
    </w:p>
    <w:p>
      <w:pPr>
        <w:autoSpaceDE w:val="0"/>
        <w:autoSpaceDN w:val="0"/>
        <w:adjustRightInd w:val="0"/>
        <w:jc w:val="left"/>
        <w:rPr>
          <w:rFonts w:hint="default" w:ascii="Times New Roman" w:hAnsi="Times New Roman" w:eastAsia="黑体"/>
          <w:kern w:val="36"/>
          <w:sz w:val="40"/>
          <w:szCs w:val="40"/>
          <w:lang w:val="zh-CN"/>
        </w:rPr>
      </w:pPr>
    </w:p>
    <w:sectPr>
      <w:pgSz w:w="12240" w:h="15840"/>
      <w:pgMar w:top="1440" w:right="1800" w:bottom="1440" w:left="1800" w:header="720" w:footer="720" w:gutter="0"/>
      <w:lnNumType w:countBy="0" w:distance="36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0"/>
  <w:displayVerticalDrawingGridEvery w:val="3"/>
  <w:doNotUseMarginsForDrawingGridOrigin w:val="1"/>
  <w:drawingGridHorizontalOrigin w:val="1701"/>
  <w:drawingGridVerticalOrigin w:val="1984"/>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kZGMyOWI2OTRjOWQ4ZTEzMzkxOGQzMTU2NTIzNjEifQ=="/>
  </w:docVars>
  <w:rsids>
    <w:rsidRoot w:val="00172A27"/>
    <w:rsid w:val="0057660D"/>
    <w:rsid w:val="20DF79AD"/>
    <w:rsid w:val="57D64EB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35" w:semiHidden="0"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10" w:semiHidden="0" w:name="Title"/>
    <w:lsdException w:qFormat="1" w:unhideWhenUsed="0" w:uiPriority="99" w:semiHidden="0" w:name="Closing"/>
    <w:lsdException w:qFormat="1" w:unhideWhenUsed="0" w:uiPriority="99" w:semiHidden="0" w:name="Signature"/>
    <w:lsdException w:uiPriority="1" w:semiHidden="0" w:name="Default Paragraph Font"/>
    <w:lsdException w:qFormat="1" w:unhideWhenUsed="0" w:uiPriority="99" w:semiHidden="0" w:name="Body Text"/>
    <w:lsdException w:qFormat="1" w:uiPriority="0"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11"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iPriority="0"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qFormat="1" w:unhideWhenUsed="0" w:uiPriority="99" w:semiHidden="0" w:name="E-mail Signature"/>
    <w:lsdException w:qFormat="1" w:unhideWhenUsed="0"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iPriority="99" w:name="Normal Table"/>
    <w:lsdException w:qFormat="1" w:unhideWhenUsed="0" w:uiPriority="99" w:semiHidden="0" w:name="annotation subject"/>
    <w:lsdException w:qFormat="1" w:unhideWhenUsed="0" w:uiPriority="99" w:semiHidden="0" w:name="Table Simple 1"/>
    <w:lsdException w:qFormat="1" w:unhideWhenUsed="0" w:uiPriority="99" w:semiHidden="0" w:name="Table Simple 2"/>
    <w:lsdException w:qFormat="1" w:unhideWhenUsed="0" w:uiPriority="99" w:semiHidden="0" w:name="Table Simple 3"/>
    <w:lsdException w:qFormat="1" w:unhideWhenUsed="0" w:uiPriority="99" w:semiHidden="0" w:name="Table Classic 1"/>
    <w:lsdException w:qFormat="1" w:unhideWhenUsed="0" w:uiPriority="99" w:semiHidden="0" w:name="Table Classic 2"/>
    <w:lsdException w:qFormat="1" w:unhideWhenUsed="0" w:uiPriority="99" w:semiHidden="0" w:name="Table Classic 3"/>
    <w:lsdException w:qFormat="1" w:unhideWhenUsed="0" w:uiPriority="99" w:semiHidden="0" w:name="Table Classic 4"/>
    <w:lsdException w:qFormat="1" w:unhideWhenUsed="0" w:uiPriority="99" w:semiHidden="0" w:name="Table Colorful 1"/>
    <w:lsdException w:qFormat="1" w:unhideWhenUsed="0" w:uiPriority="99" w:semiHidden="0" w:name="Table Colorful 2"/>
    <w:lsdException w:qFormat="1" w:unhideWhenUsed="0" w:uiPriority="99" w:semiHidden="0" w:name="Table Colorful 3"/>
    <w:lsdException w:qFormat="1" w:unhideWhenUsed="0" w:uiPriority="99" w:semiHidden="0" w:name="Table Columns 1"/>
    <w:lsdException w:qFormat="1" w:unhideWhenUsed="0" w:uiPriority="99" w:semiHidden="0" w:name="Table Columns 2"/>
    <w:lsdException w:qFormat="1" w:unhideWhenUsed="0" w:uiPriority="99" w:semiHidden="0" w:name="Table Columns 3"/>
    <w:lsdException w:qFormat="1" w:unhideWhenUsed="0" w:uiPriority="99" w:semiHidden="0" w:name="Table Columns 4"/>
    <w:lsdException w:qFormat="1" w:unhideWhenUsed="0" w:uiPriority="99" w:semiHidden="0" w:name="Table Columns 5"/>
    <w:lsdException w:qFormat="1" w:unhideWhenUsed="0" w:uiPriority="99" w:semiHidden="0" w:name="Table Grid 1"/>
    <w:lsdException w:qFormat="1" w:unhideWhenUsed="0" w:uiPriority="99" w:semiHidden="0" w:name="Table Grid 2"/>
    <w:lsdException w:qFormat="1" w:unhideWhenUsed="0" w:uiPriority="99" w:semiHidden="0" w:name="Table Grid 3"/>
    <w:lsdException w:qFormat="1" w:unhideWhenUsed="0" w:uiPriority="99" w:semiHidden="0" w:name="Table Grid 4"/>
    <w:lsdException w:qFormat="1" w:unhideWhenUsed="0" w:uiPriority="99" w:semiHidden="0" w:name="Table Grid 5"/>
    <w:lsdException w:qFormat="1" w:unhideWhenUsed="0" w:uiPriority="99" w:semiHidden="0" w:name="Table Grid 6"/>
    <w:lsdException w:qFormat="1" w:unhideWhenUsed="0" w:uiPriority="99" w:semiHidden="0" w:name="Table Grid 7"/>
    <w:lsdException w:qFormat="1" w:unhideWhenUsed="0" w:uiPriority="99" w:semiHidden="0" w:name="Table Grid 8"/>
    <w:lsdException w:qFormat="1" w:unhideWhenUsed="0" w:uiPriority="99" w:semiHidden="0" w:name="Table List 1"/>
    <w:lsdException w:qFormat="1" w:unhideWhenUsed="0" w:uiPriority="99" w:semiHidden="0" w:name="Table List 2"/>
    <w:lsdException w:qFormat="1" w:unhideWhenUsed="0" w:uiPriority="99" w:semiHidden="0" w:name="Table List 3"/>
    <w:lsdException w:qFormat="1" w:unhideWhenUsed="0" w:uiPriority="99" w:semiHidden="0" w:name="Table List 4"/>
    <w:lsdException w:qFormat="1" w:unhideWhenUsed="0" w:uiPriority="99" w:semiHidden="0" w:name="Table List 5"/>
    <w:lsdException w:qFormat="1" w:unhideWhenUsed="0" w:uiPriority="99" w:semiHidden="0" w:name="Table List 6"/>
    <w:lsdException w:qFormat="1" w:unhideWhenUsed="0" w:uiPriority="99" w:semiHidden="0" w:name="Table List 7"/>
    <w:lsdException w:qFormat="1" w:unhideWhenUsed="0" w:uiPriority="99" w:semiHidden="0" w:name="Table List 8"/>
    <w:lsdException w:qFormat="1" w:unhideWhenUsed="0" w:uiPriority="99" w:semiHidden="0" w:name="Table 3D effects 1"/>
    <w:lsdException w:qFormat="1" w:unhideWhenUsed="0" w:uiPriority="99" w:semiHidden="0" w:name="Table 3D effects 2"/>
    <w:lsdException w:qFormat="1" w:unhideWhenUsed="0" w:uiPriority="99" w:semiHidden="0" w:name="Table 3D effects 3"/>
    <w:lsdException w:qFormat="1" w:unhideWhenUsed="0" w:uiPriority="99" w:semiHidden="0" w:name="Table Contemporary"/>
    <w:lsdException w:qFormat="1" w:unhideWhenUsed="0" w:uiPriority="99" w:semiHidden="0" w:name="Table Elegant"/>
    <w:lsdException w:qFormat="1" w:unhideWhenUsed="0" w:uiPriority="99" w:semiHidden="0" w:name="Table Professional"/>
    <w:lsdException w:qFormat="1" w:unhideWhenUsed="0" w:uiPriority="99" w:semiHidden="0" w:name="Table Subtle 1"/>
    <w:lsdException w:qFormat="1" w:unhideWhenUsed="0" w:uiPriority="99" w:semiHidden="0" w:name="Table Subtle 2"/>
    <w:lsdException w:qFormat="1" w:unhideWhenUsed="0" w:uiPriority="99" w:semiHidden="0" w:name="Table Web 1"/>
    <w:lsdException w:qFormat="1" w:unhideWhenUsed="0" w:uiPriority="99" w:semiHidden="0" w:name="Table Web 2"/>
    <w:lsdException w:qFormat="1" w:unhideWhenUsed="0" w:uiPriority="99" w:semiHidden="0" w:name="Table Web 3"/>
    <w:lsdException w:qFormat="1" w:unhideWhenUsed="0" w:uiPriority="99" w:semiHidden="0" w:name="Balloon Text"/>
    <w:lsdException w:qFormat="1" w:unhideWhenUsed="0" w:uiPriority="39" w:semiHidden="0" w:name="Table Grid"/>
    <w:lsdException w:qFormat="1"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hint="eastAsia" w:ascii="等线" w:hAnsi="等线" w:eastAsia="等线" w:cs="Times New Roman"/>
      <w:kern w:val="2"/>
      <w:sz w:val="21"/>
      <w:szCs w:val="22"/>
      <w:lang w:val="en-US" w:eastAsia="zh-CN" w:bidi="ar-SA"/>
    </w:rPr>
  </w:style>
  <w:style w:type="character" w:default="1" w:styleId="3">
    <w:name w:val="Default Paragraph Font"/>
    <w:unhideWhenUsed/>
    <w:uiPriority w:val="1"/>
    <w:rPr>
      <w:rFonts w:hint="default"/>
      <w:sz w:val="24"/>
      <w:szCs w:val="24"/>
    </w:rPr>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20</Pages>
  <Words>8437</Words>
  <Characters>9555</Characters>
  <TotalTime>6</TotalTime>
  <ScaleCrop>false</ScaleCrop>
  <LinksUpToDate>false</LinksUpToDate>
  <CharactersWithSpaces>9614</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2023-08-22T09:22:00Z</dcterms:created>
  <dc:creator>asus</dc:creator>
  <cp:lastModifiedBy>逐梦令</cp:lastModifiedBy>
  <dcterms:modified xsi:type="dcterms:W3CDTF">2023-08-30T13:11:53Z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155BD4F424F044D69DD3CB1F4B50BF7C_13</vt:lpwstr>
  </property>
</Properties>
</file>