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1DF56C">
      <w:pPr>
        <w:spacing w:after="0" w:line="240" w:lineRule="auto"/>
        <w:rPr>
          <w:rFonts w:hint="eastAsia" w:ascii="宋体" w:eastAsia="宋体"/>
          <w:sz w:val="32"/>
          <w:szCs w:val="32"/>
        </w:rPr>
      </w:pPr>
    </w:p>
    <w:p w14:paraId="305D19E2">
      <w:pPr>
        <w:spacing w:after="0" w:line="240" w:lineRule="auto"/>
        <w:rPr>
          <w:rFonts w:hint="eastAsia" w:ascii="宋体" w:eastAsia="宋体"/>
          <w:sz w:val="44"/>
          <w:szCs w:val="44"/>
        </w:rPr>
      </w:pPr>
    </w:p>
    <w:p w14:paraId="7EB6D16F">
      <w:pPr>
        <w:spacing w:after="0" w:line="240" w:lineRule="auto"/>
        <w:rPr>
          <w:rFonts w:hint="eastAsia" w:ascii="宋体" w:eastAsia="宋体"/>
          <w:sz w:val="44"/>
          <w:szCs w:val="44"/>
        </w:rPr>
      </w:pPr>
    </w:p>
    <w:p w14:paraId="468D8377">
      <w:pPr>
        <w:spacing w:after="0" w:line="240" w:lineRule="auto"/>
        <w:rPr>
          <w:rFonts w:hint="eastAsia" w:ascii="宋体" w:eastAsia="宋体"/>
          <w:sz w:val="44"/>
          <w:szCs w:val="44"/>
        </w:rPr>
      </w:pPr>
    </w:p>
    <w:p w14:paraId="34E2C287">
      <w:pPr>
        <w:spacing w:after="0" w:line="240" w:lineRule="auto"/>
        <w:jc w:val="center"/>
        <w:outlineLvl w:val="0"/>
        <w:rPr>
          <w:rFonts w:hint="eastAsia" w:ascii="宋体" w:eastAsia="黑体"/>
          <w:sz w:val="44"/>
          <w:szCs w:val="44"/>
          <w:lang w:eastAsia="zh-CN"/>
        </w:rPr>
      </w:pPr>
      <w:r>
        <w:rPr>
          <w:rFonts w:ascii="宋体" w:eastAsia="黑体"/>
          <w:sz w:val="44"/>
          <w:szCs w:val="44"/>
          <w:lang w:eastAsia="zh-CN"/>
        </w:rPr>
        <w:t>中共乌鲁木齐市米东区委员会</w:t>
      </w:r>
    </w:p>
    <w:p w14:paraId="3DF934B0">
      <w:pPr>
        <w:spacing w:after="0" w:line="240" w:lineRule="auto"/>
        <w:jc w:val="center"/>
        <w:outlineLvl w:val="0"/>
        <w:rPr>
          <w:rFonts w:hint="eastAsia" w:ascii="宋体" w:eastAsia="黑体"/>
          <w:sz w:val="44"/>
          <w:szCs w:val="44"/>
          <w:lang w:eastAsia="zh-CN"/>
        </w:rPr>
      </w:pPr>
      <w:r>
        <w:rPr>
          <w:rFonts w:ascii="宋体" w:eastAsia="黑体"/>
          <w:sz w:val="44"/>
          <w:szCs w:val="44"/>
          <w:lang w:eastAsia="zh-CN"/>
        </w:rPr>
        <w:t>直属机关工作委员会</w:t>
      </w:r>
    </w:p>
    <w:p w14:paraId="1C671038">
      <w:pPr>
        <w:spacing w:after="0" w:line="240" w:lineRule="auto"/>
        <w:jc w:val="center"/>
        <w:outlineLvl w:val="0"/>
        <w:rPr>
          <w:rFonts w:hint="eastAsia" w:ascii="黑体" w:eastAsia="黑体"/>
          <w:sz w:val="44"/>
          <w:szCs w:val="44"/>
          <w:lang w:eastAsia="zh-CN"/>
        </w:rPr>
      </w:pPr>
      <w:r>
        <w:rPr>
          <w:rFonts w:ascii="黑体" w:eastAsia="黑体"/>
          <w:sz w:val="44"/>
          <w:szCs w:val="44"/>
          <w:lang w:eastAsia="zh-CN"/>
        </w:rPr>
        <w:t>2024年度部门决算公开说明</w:t>
      </w:r>
    </w:p>
    <w:p w14:paraId="38E5E460">
      <w:pPr>
        <w:rPr>
          <w:rFonts w:hint="eastAsia"/>
          <w:lang w:eastAsia="zh-CN"/>
        </w:rPr>
      </w:pPr>
      <w:r>
        <w:rPr>
          <w:sz w:val="0"/>
          <w:szCs w:val="0"/>
          <w:lang w:eastAsia="zh-CN"/>
        </w:rPr>
        <w:br w:type="page"/>
      </w:r>
    </w:p>
    <w:p w14:paraId="6676FAE8">
      <w:pPr>
        <w:spacing w:after="0" w:line="240" w:lineRule="auto"/>
        <w:jc w:val="center"/>
        <w:rPr>
          <w:rFonts w:hint="eastAsia" w:ascii="黑体" w:eastAsia="黑体"/>
          <w:sz w:val="32"/>
          <w:szCs w:val="32"/>
          <w:lang w:eastAsia="zh-CN"/>
        </w:rPr>
      </w:pPr>
      <w:r>
        <w:rPr>
          <w:rFonts w:ascii="黑体" w:eastAsia="黑体"/>
          <w:b/>
          <w:sz w:val="32"/>
          <w:szCs w:val="32"/>
          <w:lang w:eastAsia="zh-CN"/>
        </w:rPr>
        <w:t>目  录</w:t>
      </w:r>
    </w:p>
    <w:p w14:paraId="7D8493C8">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第一部分单位概况</w:t>
      </w:r>
    </w:p>
    <w:p w14:paraId="6226695F">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一、主要职能</w:t>
      </w:r>
    </w:p>
    <w:p w14:paraId="76A55C5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二、机构设置及人员情况</w:t>
      </w:r>
    </w:p>
    <w:p w14:paraId="40D38477">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第二部分 部门决算情况说明</w:t>
      </w:r>
    </w:p>
    <w:p w14:paraId="0D8D989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一、收入支出决算总体情况说明</w:t>
      </w:r>
    </w:p>
    <w:p w14:paraId="0C234D5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二、收入决算情况说明</w:t>
      </w:r>
    </w:p>
    <w:p w14:paraId="4159F750">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三、支出决算情况说明</w:t>
      </w:r>
    </w:p>
    <w:p w14:paraId="33719E9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28DCE6BC">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3D8C8DC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54277F6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0A4E8AA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0229D70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1A2BD1E9">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1E20965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63353989">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0BED2F1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​十、其他重要事项的情况说明</w:t>
      </w:r>
    </w:p>
    <w:p w14:paraId="2535260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（一）机关运行经费及公用经费支出情况</w:t>
      </w:r>
    </w:p>
    <w:p w14:paraId="0301BB9C">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（二）政府采购情况</w:t>
      </w:r>
    </w:p>
    <w:p w14:paraId="7486FEF3">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（三）国有资产占用情况说明</w:t>
      </w:r>
    </w:p>
    <w:p w14:paraId="79EFA1B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十一、预算绩效的情况说明</w:t>
      </w:r>
    </w:p>
    <w:p w14:paraId="791C00E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十二、其他需说明的事项</w:t>
      </w:r>
    </w:p>
    <w:p w14:paraId="425BC83B">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第三部分 专业名词解释</w:t>
      </w:r>
    </w:p>
    <w:p w14:paraId="561D5454">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第四部分 部门决算报表（见附表）</w:t>
      </w:r>
    </w:p>
    <w:p w14:paraId="3E38ECA3">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28DB060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二、《收入决算表》</w:t>
      </w:r>
    </w:p>
    <w:p w14:paraId="7583FC9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三、《支出决算表》</w:t>
      </w:r>
    </w:p>
    <w:p w14:paraId="637DD47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6D4DC30F">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5B40F5C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6620EF1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18820AFF">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4FEC9BD9">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p w14:paraId="4323AB0C">
      <w:pPr>
        <w:rPr>
          <w:rFonts w:hint="eastAsia"/>
          <w:lang w:eastAsia="zh-CN"/>
        </w:rPr>
      </w:pPr>
      <w:r>
        <w:rPr>
          <w:sz w:val="0"/>
          <w:szCs w:val="0"/>
          <w:lang w:eastAsia="zh-CN"/>
        </w:rPr>
        <w:br w:type="page"/>
      </w:r>
    </w:p>
    <w:p w14:paraId="4A65D5AF">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第一部分 单位概况</w:t>
      </w:r>
    </w:p>
    <w:p w14:paraId="3FC36ABF">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 一、主要职能</w:t>
      </w:r>
    </w:p>
    <w:p w14:paraId="43B247D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（一）统一组织、规划、部署区直机关党的工作，提出加强和改进机关党的建设的意见和建议，研究制定工作规划，并抓好组织实施</w:t>
      </w:r>
      <w:r>
        <w:rPr>
          <w:rFonts w:hint="eastAsia" w:ascii="仿宋_GB2312" w:eastAsia="仿宋_GB2312"/>
          <w:sz w:val="32"/>
          <w:szCs w:val="32"/>
          <w:lang w:eastAsia="zh-CN"/>
        </w:rPr>
        <w:t>。</w:t>
      </w:r>
    </w:p>
    <w:p w14:paraId="2CB79552">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（二）指导督促区直机关党组织认真履行机关党建主体责任，指导区直机关党的政治建设、思想建设、组织建设、作风建设、纪律建设，把制度建设贯穿其中，深入推进反腐败斗争</w:t>
      </w:r>
      <w:r>
        <w:rPr>
          <w:rFonts w:hint="eastAsia" w:ascii="仿宋_GB2312" w:eastAsia="仿宋_GB2312"/>
          <w:sz w:val="32"/>
          <w:szCs w:val="32"/>
          <w:lang w:eastAsia="zh-CN"/>
        </w:rPr>
        <w:t>。</w:t>
      </w:r>
    </w:p>
    <w:p w14:paraId="70CB33E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（三）指导区直机关各级党组织和广大党员学习马克思列宁主义、毛泽东思想、邓小平理论、“三个代表”重要思想、科学发展观、习近平新时代中国特色社会主义思想</w:t>
      </w:r>
      <w:r>
        <w:rPr>
          <w:rFonts w:hint="eastAsia" w:ascii="仿宋_GB2312" w:eastAsia="仿宋_GB2312"/>
          <w:sz w:val="32"/>
          <w:szCs w:val="32"/>
          <w:lang w:eastAsia="zh-CN"/>
        </w:rPr>
        <w:t>。</w:t>
      </w:r>
    </w:p>
    <w:p w14:paraId="7B8AA3B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（四）对区直机关各级党组织、党员领导干部落实党建责任制、遵守政治纪律和政治规矩情况进行监督检查，并向区委报告</w:t>
      </w:r>
      <w:r>
        <w:rPr>
          <w:rFonts w:hint="eastAsia" w:ascii="仿宋_GB2312" w:eastAsia="仿宋_GB2312"/>
          <w:sz w:val="32"/>
          <w:szCs w:val="32"/>
          <w:lang w:eastAsia="zh-CN"/>
        </w:rPr>
        <w:t>。</w:t>
      </w:r>
    </w:p>
    <w:p w14:paraId="46FC8A8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（五）指导区直机关各级党组织实施对党员特别是党员领导干部的监督和管理，及时向区委反映各部门领导班子、领导干部的情况</w:t>
      </w:r>
      <w:r>
        <w:rPr>
          <w:rFonts w:hint="eastAsia" w:ascii="仿宋_GB2312" w:eastAsia="仿宋_GB2312"/>
          <w:sz w:val="32"/>
          <w:szCs w:val="32"/>
          <w:lang w:eastAsia="zh-CN"/>
        </w:rPr>
        <w:t>。</w:t>
      </w:r>
    </w:p>
    <w:p w14:paraId="1E7B07C5">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六）配合有关部门抓好区直机关各部门领导班子思想政治建设，参与对党员领导干部民主生活会和党组织理论学习中心组学习的督促检查和指导，了解掌握情况，按规定报送报告，指导各基层党组织正常开展组织生活</w:t>
      </w:r>
      <w:r>
        <w:rPr>
          <w:rFonts w:hint="eastAsia" w:ascii="仿宋_GB2312" w:eastAsia="仿宋_GB2312"/>
          <w:sz w:val="32"/>
          <w:szCs w:val="32"/>
          <w:lang w:eastAsia="zh-CN"/>
        </w:rPr>
        <w:t>。</w:t>
      </w:r>
    </w:p>
    <w:p w14:paraId="47C2517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（七）督促指导区直机关各部门机关党组织按期换届，审批关于召开党员大会或党员代表大会的请示，审批区直机关各部门机关党组织和机关纪委领导班子的组成及书记、副书记的任免</w:t>
      </w:r>
      <w:r>
        <w:rPr>
          <w:rFonts w:hint="eastAsia" w:ascii="仿宋_GB2312" w:eastAsia="仿宋_GB2312"/>
          <w:sz w:val="32"/>
          <w:szCs w:val="32"/>
          <w:lang w:eastAsia="zh-CN"/>
        </w:rPr>
        <w:t>。</w:t>
      </w:r>
    </w:p>
    <w:p w14:paraId="51F5B37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（八）指导各级党组织加强基层组织建设，做好党员发展、教育和管理等工作</w:t>
      </w:r>
      <w:r>
        <w:rPr>
          <w:rFonts w:hint="eastAsia" w:ascii="仿宋_GB2312" w:eastAsia="仿宋_GB2312"/>
          <w:sz w:val="32"/>
          <w:szCs w:val="32"/>
          <w:lang w:eastAsia="zh-CN"/>
        </w:rPr>
        <w:t>。</w:t>
      </w:r>
    </w:p>
    <w:p w14:paraId="69692DB5">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（九）领导区直机关各部门机关党的纪律检查工作</w:t>
      </w:r>
      <w:r>
        <w:rPr>
          <w:rFonts w:hint="eastAsia" w:ascii="仿宋_GB2312" w:eastAsia="仿宋_GB2312"/>
          <w:sz w:val="32"/>
          <w:szCs w:val="32"/>
          <w:lang w:eastAsia="zh-CN"/>
        </w:rPr>
        <w:t>。</w:t>
      </w:r>
    </w:p>
    <w:p w14:paraId="4AB6244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（十）了解掌握区直机关工作人员的思想状况，指导区直机关各级党组织加强思想政治工作和精神文明建设，指导、协调、督促、检查各部门、单位开展机关文化建设工作</w:t>
      </w:r>
      <w:r>
        <w:rPr>
          <w:rFonts w:hint="eastAsia" w:ascii="仿宋_GB2312" w:eastAsia="仿宋_GB2312"/>
          <w:sz w:val="32"/>
          <w:szCs w:val="32"/>
          <w:lang w:eastAsia="zh-CN"/>
        </w:rPr>
        <w:t>。</w:t>
      </w:r>
    </w:p>
    <w:p w14:paraId="6B28C22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（十一）领导区直机关工会、共青团、妇工委等群团组织的工作，指导区直机关各级党组织做好党的群众工作</w:t>
      </w:r>
      <w:r>
        <w:rPr>
          <w:rFonts w:hint="eastAsia" w:ascii="仿宋_GB2312" w:eastAsia="仿宋_GB2312"/>
          <w:sz w:val="32"/>
          <w:szCs w:val="32"/>
          <w:lang w:eastAsia="zh-CN"/>
        </w:rPr>
        <w:t>。</w:t>
      </w:r>
    </w:p>
    <w:p w14:paraId="099A01D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（十二）协同有关部门指导、规划、监督、检查区直机关干部教育培训工作，培训轮训区直机关、各党组织班子成员、党员、党务干部及党员发展对象</w:t>
      </w:r>
      <w:r>
        <w:rPr>
          <w:rFonts w:hint="eastAsia" w:ascii="仿宋_GB2312" w:eastAsia="仿宋_GB2312"/>
          <w:sz w:val="32"/>
          <w:szCs w:val="32"/>
          <w:lang w:eastAsia="zh-CN"/>
        </w:rPr>
        <w:t>。</w:t>
      </w:r>
    </w:p>
    <w:p w14:paraId="46E308DD">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（十三）承办区委交办的其他事项。</w:t>
      </w:r>
    </w:p>
    <w:p w14:paraId="0ED7DA35">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二、机构设置及人员情况</w:t>
      </w:r>
    </w:p>
    <w:p w14:paraId="09DAE784">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中共乌鲁木齐市米东区委员会直属机关工作委员会2024年度，实有人数7人，其中：在职人员4人，增加1人；离休人员0人，较上年无变化；退休人员3人，较上年无变化</w:t>
      </w:r>
      <w:r>
        <w:rPr>
          <w:rFonts w:hint="eastAsia" w:ascii="仿宋_GB2312" w:eastAsia="仿宋_GB2312"/>
          <w:sz w:val="32"/>
          <w:szCs w:val="32"/>
          <w:lang w:eastAsia="zh-CN"/>
        </w:rPr>
        <w:t>。</w:t>
      </w:r>
    </w:p>
    <w:p w14:paraId="2DF078A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中共乌鲁木齐市米东区委员会直属机关工作委员会无下属预算单位，下设1个</w:t>
      </w:r>
      <w:r>
        <w:rPr>
          <w:rFonts w:hint="eastAsia" w:ascii="仿宋_GB2312" w:eastAsia="仿宋_GB2312"/>
          <w:sz w:val="32"/>
          <w:szCs w:val="32"/>
          <w:lang w:eastAsia="zh-CN"/>
        </w:rPr>
        <w:t>科</w:t>
      </w:r>
      <w:r>
        <w:rPr>
          <w:rFonts w:ascii="仿宋_GB2312" w:eastAsia="仿宋_GB2312"/>
          <w:sz w:val="32"/>
          <w:szCs w:val="32"/>
          <w:lang w:eastAsia="zh-CN"/>
        </w:rPr>
        <w:t>室，分别是：机关工委办公室。</w:t>
      </w:r>
    </w:p>
    <w:p w14:paraId="7D50DC34">
      <w:pPr>
        <w:rPr>
          <w:rFonts w:hint="eastAsia"/>
          <w:lang w:eastAsia="zh-CN"/>
        </w:rPr>
      </w:pPr>
      <w:r>
        <w:rPr>
          <w:sz w:val="0"/>
          <w:szCs w:val="0"/>
          <w:lang w:eastAsia="zh-CN"/>
        </w:rPr>
        <w:br w:type="page"/>
      </w:r>
    </w:p>
    <w:p w14:paraId="221CB2AD">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第二部分 部门决算情况说明</w:t>
      </w:r>
    </w:p>
    <w:p w14:paraId="41FF4D05">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一、收入支出决算总体情况说明</w:t>
      </w:r>
    </w:p>
    <w:p w14:paraId="7A3A9F2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2024年度收入总计62.30万元，其中：本年收入合计62.27万元，使用非财政拨款结余（含专用结余）0.00万元，年初结转和结余0.04万元。</w:t>
      </w:r>
    </w:p>
    <w:p w14:paraId="35F9131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2024年度支出总计62.30万元，其中：本年支出合计62.01万元，结余分配0.00万元，年末结转和结余0.30万元。</w:t>
      </w:r>
    </w:p>
    <w:p w14:paraId="2F5ECE9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收入支出总体与上年相比，减少33.61万元，下降35.04%，主要原因是：</w:t>
      </w:r>
      <w:r>
        <w:rPr>
          <w:rFonts w:hint="eastAsia" w:ascii="仿宋_GB2312" w:eastAsia="仿宋_GB2312"/>
          <w:sz w:val="32"/>
          <w:szCs w:val="32"/>
          <w:lang w:eastAsia="zh-CN"/>
        </w:rPr>
        <w:t>单位</w:t>
      </w:r>
      <w:r>
        <w:rPr>
          <w:rFonts w:ascii="仿宋_GB2312" w:eastAsia="仿宋_GB2312"/>
          <w:sz w:val="32"/>
          <w:szCs w:val="32"/>
          <w:lang w:eastAsia="zh-CN"/>
        </w:rPr>
        <w:t>本年老干部活动经费及代理记账服务费</w:t>
      </w:r>
      <w:r>
        <w:rPr>
          <w:rFonts w:hint="eastAsia" w:ascii="仿宋_GB2312" w:eastAsia="仿宋_GB2312"/>
          <w:sz w:val="32"/>
          <w:szCs w:val="32"/>
          <w:lang w:eastAsia="zh-CN"/>
        </w:rPr>
        <w:t>减少</w:t>
      </w:r>
      <w:r>
        <w:rPr>
          <w:rFonts w:ascii="仿宋_GB2312" w:eastAsia="仿宋_GB2312"/>
          <w:sz w:val="32"/>
          <w:szCs w:val="32"/>
          <w:lang w:eastAsia="zh-CN"/>
        </w:rPr>
        <w:t>。</w:t>
      </w:r>
    </w:p>
    <w:p w14:paraId="63288A9D">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二、收入决算情况说明</w:t>
      </w:r>
    </w:p>
    <w:p w14:paraId="255A8A5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本年收入62.27万元，其中：财政拨款收入62.27万元,占100.00%；上级补助收入0.00万元,占0.00%；事业收入0.00万元，占0.00%；经营收入0.00万元,占0.00%；附属单位上缴收入0.00万元，占0.00%；其他收入0.00万元，占0.00%。</w:t>
      </w:r>
    </w:p>
    <w:p w14:paraId="1D7B101E">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三、支出决算情况说明</w:t>
      </w:r>
    </w:p>
    <w:p w14:paraId="15260BD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本年支出62.01万元，其中：基本支出62.01万元，占100.00%；项目支出0.00万元，占0.00%；上缴上级支出0.00万元，占0.00%；经营支出0.00万元，占0.00%；对附属单位补助支出0.00万元，占0.00%。</w:t>
      </w:r>
    </w:p>
    <w:p w14:paraId="6FA01E40">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四、财政拨款收入支出决算总体情况说明</w:t>
      </w:r>
    </w:p>
    <w:p w14:paraId="6CB56878">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2024年度财政拨款收入总计62.30万元，其中：年初财政拨款结转和结余0.04万元，本年财政拨款收入62.27万元。财政拨款支出总计62.30万元，其中：年末财政拨款结转和结余0.30万元，本年财政拨款支出62.01万元。</w:t>
      </w:r>
    </w:p>
    <w:p w14:paraId="0675C11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财政拨款收入支出总体与上年相比，减少33.61万元，下降35.04%，主要原因是：</w:t>
      </w:r>
      <w:r>
        <w:rPr>
          <w:rFonts w:hint="eastAsia" w:ascii="仿宋_GB2312" w:eastAsia="仿宋_GB2312"/>
          <w:sz w:val="32"/>
          <w:szCs w:val="32"/>
          <w:lang w:eastAsia="zh-CN"/>
        </w:rPr>
        <w:t>单位</w:t>
      </w:r>
      <w:r>
        <w:rPr>
          <w:rFonts w:ascii="仿宋_GB2312" w:eastAsia="仿宋_GB2312"/>
          <w:sz w:val="32"/>
          <w:szCs w:val="32"/>
          <w:lang w:eastAsia="zh-CN"/>
        </w:rPr>
        <w:t>本年老干部活动经费及代理记账服务费</w:t>
      </w:r>
      <w:r>
        <w:rPr>
          <w:rFonts w:hint="eastAsia" w:ascii="仿宋_GB2312" w:eastAsia="仿宋_GB2312"/>
          <w:sz w:val="32"/>
          <w:szCs w:val="32"/>
          <w:lang w:eastAsia="zh-CN"/>
        </w:rPr>
        <w:t>减少</w:t>
      </w:r>
      <w:r>
        <w:rPr>
          <w:rFonts w:ascii="仿宋_GB2312" w:eastAsia="仿宋_GB2312"/>
          <w:sz w:val="32"/>
          <w:szCs w:val="32"/>
          <w:lang w:eastAsia="zh-CN"/>
        </w:rPr>
        <w:t>。与年初预算相比，年初预算数59.42万元，决算数62.30万元，预决算差异率4.85%，主要原因是：</w:t>
      </w:r>
      <w:r>
        <w:rPr>
          <w:rFonts w:hint="eastAsia" w:ascii="仿宋_GB2312" w:eastAsia="仿宋_GB2312"/>
          <w:sz w:val="32"/>
          <w:szCs w:val="32"/>
          <w:lang w:eastAsia="zh-CN"/>
        </w:rPr>
        <w:t>单位本年人员增加，年中追加人员工资、津贴补贴、奖金等经费；</w:t>
      </w:r>
      <w:r>
        <w:rPr>
          <w:rFonts w:ascii="仿宋_GB2312" w:eastAsia="仿宋_GB2312"/>
          <w:sz w:val="32"/>
          <w:szCs w:val="32"/>
          <w:lang w:eastAsia="zh-CN"/>
        </w:rPr>
        <w:t>年中追加代理记账服务费。</w:t>
      </w:r>
    </w:p>
    <w:p w14:paraId="6E7DBF82">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五、一般公共预算财政拨款支出决算情况说明</w:t>
      </w:r>
    </w:p>
    <w:p w14:paraId="6928DFDA">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（一）一般公共预算财政拨款支出决算总体情况</w:t>
      </w:r>
    </w:p>
    <w:p w14:paraId="6020915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2024年度一般公共预算财政拨款支出62.01万元，占本年支出合计的100.00%。与上年相比，减少31.40万元，下降33.62%，主要原因是：</w:t>
      </w:r>
      <w:r>
        <w:rPr>
          <w:rFonts w:hint="eastAsia" w:ascii="仿宋_GB2312" w:eastAsia="仿宋_GB2312"/>
          <w:sz w:val="32"/>
          <w:szCs w:val="32"/>
          <w:lang w:eastAsia="zh-CN"/>
        </w:rPr>
        <w:t>单位</w:t>
      </w:r>
      <w:r>
        <w:rPr>
          <w:rFonts w:ascii="仿宋_GB2312" w:eastAsia="仿宋_GB2312"/>
          <w:sz w:val="32"/>
          <w:szCs w:val="32"/>
          <w:lang w:eastAsia="zh-CN"/>
        </w:rPr>
        <w:t>本年老干部活动经费及代理记账服务费</w:t>
      </w:r>
      <w:r>
        <w:rPr>
          <w:rFonts w:hint="eastAsia" w:ascii="仿宋_GB2312" w:eastAsia="仿宋_GB2312"/>
          <w:sz w:val="32"/>
          <w:szCs w:val="32"/>
          <w:lang w:eastAsia="zh-CN"/>
        </w:rPr>
        <w:t>减少</w:t>
      </w:r>
      <w:r>
        <w:rPr>
          <w:rFonts w:ascii="仿宋_GB2312" w:eastAsia="仿宋_GB2312"/>
          <w:sz w:val="32"/>
          <w:szCs w:val="32"/>
          <w:lang w:eastAsia="zh-CN"/>
        </w:rPr>
        <w:t>。与年初预算相比，年初预算数59.42万元，决算数62.01万元，预决算差异率4.36%，主要原因是：</w:t>
      </w:r>
      <w:r>
        <w:rPr>
          <w:rFonts w:hint="eastAsia" w:ascii="仿宋_GB2312" w:eastAsia="仿宋_GB2312"/>
          <w:sz w:val="32"/>
          <w:szCs w:val="32"/>
          <w:lang w:eastAsia="zh-CN"/>
        </w:rPr>
        <w:t>单位本年人员增加，年中追加人员工资、津贴补贴、奖金等经费；</w:t>
      </w:r>
      <w:r>
        <w:rPr>
          <w:rFonts w:ascii="仿宋_GB2312" w:eastAsia="仿宋_GB2312"/>
          <w:sz w:val="32"/>
          <w:szCs w:val="32"/>
          <w:lang w:eastAsia="zh-CN"/>
        </w:rPr>
        <w:t>年中追加代理记账服务费。</w:t>
      </w:r>
    </w:p>
    <w:p w14:paraId="5C7402E7">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（二）一般公共预算财政拨款支出决算结构情况</w:t>
      </w:r>
    </w:p>
    <w:p w14:paraId="69A04B61">
      <w:pPr>
        <w:pStyle w:val="25"/>
        <w:numPr>
          <w:ilvl w:val="0"/>
          <w:numId w:val="1"/>
        </w:numPr>
        <w:spacing w:after="0" w:line="240" w:lineRule="auto"/>
        <w:ind w:firstLineChars="0"/>
        <w:jc w:val="both"/>
        <w:rPr>
          <w:rFonts w:hint="eastAsia" w:ascii="仿宋_GB2312" w:eastAsia="仿宋_GB2312"/>
          <w:sz w:val="32"/>
          <w:szCs w:val="32"/>
          <w:lang w:eastAsia="zh-CN"/>
        </w:rPr>
      </w:pPr>
      <w:r>
        <w:rPr>
          <w:rFonts w:ascii="仿宋_GB2312" w:eastAsia="仿宋_GB2312"/>
          <w:sz w:val="32"/>
          <w:szCs w:val="32"/>
          <w:lang w:eastAsia="zh-CN"/>
        </w:rPr>
        <w:t>一般公共服务支出（类）47.56万元，占76.70%。</w:t>
      </w:r>
    </w:p>
    <w:p w14:paraId="4578C4EB">
      <w:pPr>
        <w:pStyle w:val="25"/>
        <w:numPr>
          <w:ilvl w:val="0"/>
          <w:numId w:val="1"/>
        </w:numPr>
        <w:spacing w:after="0" w:line="240" w:lineRule="auto"/>
        <w:ind w:firstLineChars="0"/>
        <w:jc w:val="both"/>
        <w:rPr>
          <w:rFonts w:hint="eastAsia" w:ascii="仿宋_GB2312" w:eastAsia="仿宋_GB2312"/>
          <w:sz w:val="32"/>
          <w:szCs w:val="32"/>
          <w:lang w:eastAsia="zh-CN"/>
        </w:rPr>
      </w:pPr>
      <w:r>
        <w:rPr>
          <w:rFonts w:ascii="仿宋_GB2312" w:eastAsia="仿宋_GB2312"/>
          <w:sz w:val="32"/>
          <w:szCs w:val="32"/>
          <w:lang w:eastAsia="zh-CN"/>
        </w:rPr>
        <w:t>社会保障和就业支出（类）6.29万元，占10.14%。</w:t>
      </w:r>
    </w:p>
    <w:p w14:paraId="45274ECD">
      <w:pPr>
        <w:pStyle w:val="25"/>
        <w:numPr>
          <w:ilvl w:val="0"/>
          <w:numId w:val="1"/>
        </w:numPr>
        <w:spacing w:after="0" w:line="240" w:lineRule="auto"/>
        <w:ind w:firstLineChars="0"/>
        <w:jc w:val="both"/>
        <w:rPr>
          <w:rFonts w:hint="eastAsia" w:ascii="仿宋_GB2312" w:eastAsia="仿宋_GB2312"/>
          <w:sz w:val="32"/>
          <w:szCs w:val="32"/>
          <w:lang w:eastAsia="zh-CN"/>
        </w:rPr>
      </w:pPr>
      <w:r>
        <w:rPr>
          <w:rFonts w:ascii="仿宋_GB2312" w:eastAsia="仿宋_GB2312"/>
          <w:sz w:val="32"/>
          <w:szCs w:val="32"/>
          <w:lang w:eastAsia="zh-CN"/>
        </w:rPr>
        <w:t>卫生健康支出（类）3.50万元，占5.64%。</w:t>
      </w:r>
    </w:p>
    <w:p w14:paraId="1006E9BD">
      <w:pPr>
        <w:pStyle w:val="25"/>
        <w:numPr>
          <w:ilvl w:val="0"/>
          <w:numId w:val="1"/>
        </w:numPr>
        <w:spacing w:after="0" w:line="240" w:lineRule="auto"/>
        <w:ind w:firstLineChars="0"/>
        <w:jc w:val="both"/>
        <w:rPr>
          <w:rFonts w:hint="eastAsia" w:ascii="仿宋_GB2312" w:eastAsia="仿宋_GB2312"/>
          <w:sz w:val="32"/>
          <w:szCs w:val="32"/>
          <w:lang w:eastAsia="zh-CN"/>
        </w:rPr>
      </w:pPr>
      <w:r>
        <w:rPr>
          <w:rFonts w:ascii="仿宋_GB2312" w:eastAsia="仿宋_GB2312"/>
          <w:sz w:val="32"/>
          <w:szCs w:val="32"/>
          <w:lang w:eastAsia="zh-CN"/>
        </w:rPr>
        <w:t>住房保障支出（类）4.65万元，占7.50%。</w:t>
      </w:r>
    </w:p>
    <w:p w14:paraId="7441B446">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（三）一般公共预算财政拨款支出决算具体情况</w:t>
      </w:r>
    </w:p>
    <w:p w14:paraId="17ADDF9D">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1、一般公共服务支出（类）其他共产党事务支出（款）行政运行（项）：支出决算数为47.56万元，比上年决算减少40.61万元，下降46.06%，主要原因是：</w:t>
      </w:r>
      <w:r>
        <w:rPr>
          <w:rFonts w:hint="eastAsia" w:ascii="仿宋_GB2312" w:eastAsia="仿宋_GB2312"/>
          <w:sz w:val="32"/>
          <w:szCs w:val="32"/>
          <w:lang w:eastAsia="zh-CN"/>
        </w:rPr>
        <w:t>单位</w:t>
      </w:r>
      <w:r>
        <w:rPr>
          <w:rFonts w:ascii="仿宋_GB2312" w:eastAsia="仿宋_GB2312"/>
          <w:sz w:val="32"/>
          <w:szCs w:val="32"/>
          <w:lang w:eastAsia="zh-CN"/>
        </w:rPr>
        <w:t>本年老干部活动经费及代理记账服务费</w:t>
      </w:r>
      <w:r>
        <w:rPr>
          <w:rFonts w:hint="eastAsia" w:ascii="仿宋_GB2312" w:eastAsia="仿宋_GB2312"/>
          <w:sz w:val="32"/>
          <w:szCs w:val="32"/>
          <w:lang w:eastAsia="zh-CN"/>
        </w:rPr>
        <w:t>减少；</w:t>
      </w:r>
      <w:r>
        <w:rPr>
          <w:rFonts w:hint="eastAsia" w:ascii="仿宋_GB2312" w:eastAsia="仿宋_GB2312"/>
          <w:sz w:val="32"/>
          <w:szCs w:val="32"/>
          <w:lang w:val="en-US" w:eastAsia="zh-CN"/>
        </w:rPr>
        <w:t>本年科目调整，</w:t>
      </w:r>
      <w:r>
        <w:rPr>
          <w:rFonts w:hint="eastAsia" w:ascii="仿宋_GB2312" w:eastAsia="仿宋_GB2312"/>
          <w:sz w:val="32"/>
          <w:szCs w:val="32"/>
          <w:lang w:eastAsia="zh-CN"/>
        </w:rPr>
        <w:t>人员医疗保险缴费、人员公积金缴费</w:t>
      </w:r>
      <w:r>
        <w:rPr>
          <w:rFonts w:hint="eastAsia" w:ascii="仿宋_GB2312" w:eastAsia="仿宋_GB2312"/>
          <w:sz w:val="32"/>
          <w:szCs w:val="32"/>
          <w:lang w:val="en-US" w:eastAsia="zh-CN"/>
        </w:rPr>
        <w:t>独立核算</w:t>
      </w:r>
      <w:r>
        <w:rPr>
          <w:rFonts w:ascii="仿宋_GB2312" w:eastAsia="仿宋_GB2312"/>
          <w:sz w:val="32"/>
          <w:szCs w:val="32"/>
          <w:lang w:eastAsia="zh-CN"/>
        </w:rPr>
        <w:t>。</w:t>
      </w:r>
    </w:p>
    <w:p w14:paraId="04683905">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2、社会保障和就业支出（类）行政事业单位养老支出（款）机关事业单位基本养老保险缴费支出（项）：支出决算数为6.29万元，比上年决算增加1.05万元，增长20.04%，主要原因是：</w:t>
      </w:r>
      <w:bookmarkStart w:id="0" w:name="_Hlk209267990"/>
      <w:r>
        <w:rPr>
          <w:rFonts w:hint="eastAsia" w:ascii="仿宋_GB2312" w:eastAsia="仿宋_GB2312"/>
          <w:sz w:val="32"/>
          <w:szCs w:val="32"/>
          <w:lang w:eastAsia="zh-CN"/>
        </w:rPr>
        <w:t>单位本年社保缴费基数调增，人员养老保险缴费增加</w:t>
      </w:r>
      <w:bookmarkEnd w:id="0"/>
      <w:r>
        <w:rPr>
          <w:rFonts w:ascii="仿宋_GB2312" w:eastAsia="仿宋_GB2312"/>
          <w:sz w:val="32"/>
          <w:szCs w:val="32"/>
          <w:lang w:eastAsia="zh-CN"/>
        </w:rPr>
        <w:t>。</w:t>
      </w:r>
    </w:p>
    <w:p w14:paraId="2D602406">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3、卫生健康支出（类）行政事业单位医疗（款）行政单位医疗（项）：支出决算数为2.91万元，比上年决算增加2.91万元，增长100.00%，主要原因是：</w:t>
      </w:r>
      <w:bookmarkStart w:id="1" w:name="_Hlk209521344"/>
      <w:r>
        <w:rPr>
          <w:rFonts w:hint="eastAsia" w:ascii="仿宋_GB2312" w:eastAsia="仿宋_GB2312"/>
          <w:sz w:val="32"/>
          <w:szCs w:val="32"/>
          <w:lang w:eastAsia="zh-CN"/>
        </w:rPr>
        <w:t>单位</w:t>
      </w:r>
      <w:r>
        <w:rPr>
          <w:rFonts w:hint="eastAsia" w:ascii="仿宋_GB2312" w:eastAsia="仿宋_GB2312"/>
          <w:sz w:val="32"/>
          <w:szCs w:val="32"/>
          <w:lang w:val="en-US" w:eastAsia="zh-CN"/>
        </w:rPr>
        <w:t>科目调整</w:t>
      </w:r>
      <w:r>
        <w:rPr>
          <w:rFonts w:hint="eastAsia" w:ascii="仿宋_GB2312" w:eastAsia="仿宋_GB2312"/>
          <w:sz w:val="32"/>
          <w:szCs w:val="32"/>
          <w:lang w:eastAsia="zh-CN"/>
        </w:rPr>
        <w:t>，人员医疗保险缴费</w:t>
      </w:r>
      <w:r>
        <w:rPr>
          <w:rFonts w:hint="eastAsia" w:ascii="仿宋_GB2312" w:eastAsia="仿宋_GB2312"/>
          <w:sz w:val="32"/>
          <w:szCs w:val="32"/>
          <w:lang w:val="en-US" w:eastAsia="zh-CN"/>
        </w:rPr>
        <w:t>独立核算，导致较上年</w:t>
      </w:r>
      <w:r>
        <w:rPr>
          <w:rFonts w:hint="eastAsia" w:ascii="仿宋_GB2312" w:eastAsia="仿宋_GB2312"/>
          <w:sz w:val="32"/>
          <w:szCs w:val="32"/>
          <w:lang w:eastAsia="zh-CN"/>
        </w:rPr>
        <w:t>增加</w:t>
      </w:r>
      <w:bookmarkEnd w:id="1"/>
      <w:r>
        <w:rPr>
          <w:rFonts w:ascii="仿宋_GB2312" w:eastAsia="仿宋_GB2312"/>
          <w:sz w:val="32"/>
          <w:szCs w:val="32"/>
          <w:lang w:eastAsia="zh-CN"/>
        </w:rPr>
        <w:t>。</w:t>
      </w:r>
    </w:p>
    <w:p w14:paraId="5C52BE4A">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4、卫生健康支出（类）行政事业单位医疗（款）公务员医疗补助（项）：支出决算数为0.59万元，比上年决算增加0.59万元，增长100.00%，主要原因是：</w:t>
      </w:r>
      <w:r>
        <w:rPr>
          <w:rFonts w:hint="eastAsia" w:ascii="仿宋_GB2312" w:eastAsia="仿宋_GB2312"/>
          <w:sz w:val="32"/>
          <w:szCs w:val="32"/>
          <w:lang w:eastAsia="zh-CN"/>
        </w:rPr>
        <w:t>单位本年单位</w:t>
      </w:r>
      <w:r>
        <w:rPr>
          <w:rFonts w:hint="eastAsia" w:ascii="仿宋_GB2312" w:eastAsia="仿宋_GB2312"/>
          <w:sz w:val="32"/>
          <w:szCs w:val="32"/>
          <w:lang w:val="en-US" w:eastAsia="zh-CN"/>
        </w:rPr>
        <w:t>科目调整</w:t>
      </w:r>
      <w:r>
        <w:rPr>
          <w:rFonts w:hint="eastAsia" w:ascii="仿宋_GB2312" w:eastAsia="仿宋_GB2312"/>
          <w:sz w:val="32"/>
          <w:szCs w:val="32"/>
          <w:lang w:eastAsia="zh-CN"/>
        </w:rPr>
        <w:t>，人员医疗保险缴费</w:t>
      </w:r>
      <w:r>
        <w:rPr>
          <w:rFonts w:hint="eastAsia" w:ascii="仿宋_GB2312" w:eastAsia="仿宋_GB2312"/>
          <w:sz w:val="32"/>
          <w:szCs w:val="32"/>
          <w:lang w:val="en-US" w:eastAsia="zh-CN"/>
        </w:rPr>
        <w:t>独立核算，导致较上年</w:t>
      </w:r>
      <w:r>
        <w:rPr>
          <w:rFonts w:hint="eastAsia" w:ascii="仿宋_GB2312" w:eastAsia="仿宋_GB2312"/>
          <w:sz w:val="32"/>
          <w:szCs w:val="32"/>
          <w:lang w:eastAsia="zh-CN"/>
        </w:rPr>
        <w:t>增加</w:t>
      </w:r>
      <w:r>
        <w:rPr>
          <w:rFonts w:ascii="仿宋_GB2312" w:eastAsia="仿宋_GB2312"/>
          <w:sz w:val="32"/>
          <w:szCs w:val="32"/>
          <w:lang w:eastAsia="zh-CN"/>
        </w:rPr>
        <w:t>。</w:t>
      </w:r>
    </w:p>
    <w:p w14:paraId="6D5AFAFE">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5、住房保障支出（类）住房改革支出（款）住房公积金（项）：支出决算数为4.65万元，比上年决算增加4.65万元，增长100.00%，主要原因是：</w:t>
      </w:r>
      <w:bookmarkStart w:id="2" w:name="_Hlk209268111"/>
      <w:r>
        <w:rPr>
          <w:rFonts w:hint="eastAsia" w:ascii="仿宋_GB2312" w:eastAsia="仿宋_GB2312"/>
          <w:sz w:val="32"/>
          <w:szCs w:val="32"/>
          <w:lang w:eastAsia="zh-CN"/>
        </w:rPr>
        <w:t>单位本年</w:t>
      </w:r>
      <w:r>
        <w:rPr>
          <w:rFonts w:hint="eastAsia" w:ascii="仿宋_GB2312" w:eastAsia="仿宋_GB2312"/>
          <w:sz w:val="32"/>
          <w:szCs w:val="32"/>
          <w:lang w:val="en-US" w:eastAsia="zh-CN"/>
        </w:rPr>
        <w:t>科目调整，</w:t>
      </w:r>
      <w:r>
        <w:rPr>
          <w:rFonts w:hint="eastAsia" w:ascii="仿宋_GB2312" w:eastAsia="仿宋_GB2312"/>
          <w:sz w:val="32"/>
          <w:szCs w:val="32"/>
          <w:lang w:eastAsia="zh-CN"/>
        </w:rPr>
        <w:t>公积金缴费基数</w:t>
      </w:r>
      <w:r>
        <w:rPr>
          <w:rFonts w:hint="eastAsia" w:ascii="仿宋_GB2312" w:eastAsia="仿宋_GB2312"/>
          <w:sz w:val="32"/>
          <w:szCs w:val="32"/>
          <w:lang w:val="en-US" w:eastAsia="zh-CN"/>
        </w:rPr>
        <w:t>独立核算</w:t>
      </w:r>
      <w:r>
        <w:rPr>
          <w:rFonts w:hint="eastAsia" w:ascii="仿宋_GB2312" w:eastAsia="仿宋_GB2312"/>
          <w:sz w:val="32"/>
          <w:szCs w:val="32"/>
          <w:lang w:eastAsia="zh-CN"/>
        </w:rPr>
        <w:t>，人员公积金缴费</w:t>
      </w:r>
      <w:r>
        <w:rPr>
          <w:rFonts w:hint="eastAsia" w:ascii="仿宋_GB2312" w:eastAsia="仿宋_GB2312"/>
          <w:sz w:val="32"/>
          <w:szCs w:val="32"/>
          <w:lang w:val="en-US" w:eastAsia="zh-CN"/>
        </w:rPr>
        <w:t>较上年</w:t>
      </w:r>
      <w:r>
        <w:rPr>
          <w:rFonts w:hint="eastAsia" w:ascii="仿宋_GB2312" w:eastAsia="仿宋_GB2312"/>
          <w:sz w:val="32"/>
          <w:szCs w:val="32"/>
          <w:lang w:eastAsia="zh-CN"/>
        </w:rPr>
        <w:t>增加</w:t>
      </w:r>
      <w:bookmarkEnd w:id="2"/>
      <w:r>
        <w:rPr>
          <w:rFonts w:ascii="仿宋_GB2312" w:eastAsia="仿宋_GB2312"/>
          <w:sz w:val="32"/>
          <w:szCs w:val="32"/>
          <w:lang w:eastAsia="zh-CN"/>
        </w:rPr>
        <w:t>。</w:t>
      </w:r>
    </w:p>
    <w:p w14:paraId="565BC182">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六、一般公共预算财政拨款基本支出决算情况说明</w:t>
      </w:r>
    </w:p>
    <w:p w14:paraId="191B6CF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基本支出62.01万元，其中：人员经费57.24万元，包括：基本工资、津贴补贴、奖金、机关事业单位基本养老保险缴费、职工基本医疗保险缴费、公务员医疗补助缴费、其他社会保障缴费和住房公积金。</w:t>
      </w:r>
    </w:p>
    <w:p w14:paraId="4C3050A4">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公用经费4.77万元，包括：办公费、手续费、邮电费、维修（护）费、工会经费、福利费和公务用车运行维护费。</w:t>
      </w:r>
    </w:p>
    <w:p w14:paraId="749288A7">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七、政府性基金预算财政拨款收入支出决算情况说明</w:t>
      </w:r>
    </w:p>
    <w:p w14:paraId="34917025">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4A88107C">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八、国有资本经营预算财政拨款收入支出决算情况说明</w:t>
      </w:r>
    </w:p>
    <w:p w14:paraId="60ED451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0980F168">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九、财政拨款“三公”经费支出决算情况说明</w:t>
      </w:r>
    </w:p>
    <w:p w14:paraId="32B9D908">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2024年度财政拨款“三公”经费支出2.46万元，比上年减少0.04万元，下降1.60%，主要原因是：</w:t>
      </w:r>
      <w:bookmarkStart w:id="3" w:name="_Hlk207110071"/>
      <w:r>
        <w:rPr>
          <w:rFonts w:hint="eastAsia" w:ascii="仿宋_GB2312" w:eastAsia="仿宋_GB2312"/>
          <w:sz w:val="32"/>
          <w:szCs w:val="32"/>
          <w:lang w:eastAsia="zh-CN"/>
        </w:rPr>
        <w:t>车辆出行次数减少，车辆保险费、燃油费、过路费减少</w:t>
      </w:r>
      <w:bookmarkEnd w:id="3"/>
      <w:r>
        <w:rPr>
          <w:rFonts w:ascii="仿宋_GB2312" w:eastAsia="仿宋_GB2312"/>
          <w:sz w:val="32"/>
          <w:szCs w:val="32"/>
          <w:lang w:eastAsia="zh-CN"/>
        </w:rPr>
        <w:t>。其中：因公出国（境）费支出0.00万元,占0.00%，与上年相比无变化，主要原因是：</w:t>
      </w:r>
      <w:bookmarkStart w:id="4" w:name="_Hlk207114081"/>
      <w:bookmarkStart w:id="5" w:name="_Hlk207720892"/>
      <w:r>
        <w:rPr>
          <w:rFonts w:hint="eastAsia" w:ascii="仿宋_GB2312" w:eastAsia="仿宋_GB2312"/>
          <w:sz w:val="32"/>
          <w:szCs w:val="32"/>
          <w:lang w:eastAsia="zh-CN"/>
        </w:rPr>
        <w:t>我单位上年度与本年度均无</w:t>
      </w:r>
      <w:bookmarkEnd w:id="4"/>
      <w:r>
        <w:rPr>
          <w:rFonts w:hint="eastAsia" w:ascii="仿宋_GB2312" w:eastAsia="仿宋_GB2312"/>
          <w:sz w:val="32"/>
          <w:szCs w:val="32"/>
          <w:lang w:eastAsia="zh-CN"/>
        </w:rPr>
        <w:t>此项经费</w:t>
      </w:r>
      <w:bookmarkEnd w:id="5"/>
      <w:r>
        <w:rPr>
          <w:rFonts w:ascii="仿宋_GB2312" w:eastAsia="仿宋_GB2312"/>
          <w:sz w:val="32"/>
          <w:szCs w:val="32"/>
          <w:lang w:eastAsia="zh-CN"/>
        </w:rPr>
        <w:t>；公务用车购置及运行维护费支出2.46万元，占100.00%，比上年减少0.04万元，下降1.60%，主要原因是：</w:t>
      </w:r>
      <w:r>
        <w:rPr>
          <w:rFonts w:hint="eastAsia" w:ascii="仿宋_GB2312" w:eastAsia="仿宋_GB2312"/>
          <w:sz w:val="32"/>
          <w:szCs w:val="32"/>
          <w:lang w:eastAsia="zh-CN"/>
        </w:rPr>
        <w:t>车辆出行次数减少，车辆保险费、燃油费、过路费减少</w:t>
      </w:r>
      <w:r>
        <w:rPr>
          <w:rFonts w:ascii="仿宋_GB2312" w:eastAsia="仿宋_GB2312"/>
          <w:sz w:val="32"/>
          <w:szCs w:val="32"/>
          <w:lang w:eastAsia="zh-CN"/>
        </w:rPr>
        <w:t>；公务接待费支出0.00万元，占0.00%，与上年相比无变化，主要原因是：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w:t>
      </w:r>
    </w:p>
    <w:p w14:paraId="1EC7CEDE">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具体情况如下：</w:t>
      </w:r>
    </w:p>
    <w:p w14:paraId="7257CEA5">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因公出国（境）费支出0.00万元，开支内容包括</w:t>
      </w:r>
      <w:bookmarkStart w:id="6" w:name="_Hlk207127465"/>
      <w:r>
        <w:rPr>
          <w:rFonts w:ascii="仿宋_GB2312" w:eastAsia="仿宋_GB2312"/>
          <w:sz w:val="32"/>
          <w:szCs w:val="32"/>
          <w:lang w:eastAsia="zh-CN"/>
        </w:rPr>
        <w:t>本单位本年无因公出国（境）费</w:t>
      </w:r>
      <w:bookmarkEnd w:id="6"/>
      <w:r>
        <w:rPr>
          <w:rFonts w:ascii="仿宋_GB2312" w:eastAsia="仿宋_GB2312"/>
          <w:sz w:val="32"/>
          <w:szCs w:val="32"/>
          <w:lang w:eastAsia="zh-CN"/>
        </w:rPr>
        <w:t>。单位全年安排的因公出国（境）团组0个，因公出国（境）0人次。</w:t>
      </w:r>
    </w:p>
    <w:p w14:paraId="2D9F9265">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公务用车购置及运行维护费2.46万元，其中：公务用车购置费0.00万元，公务用车运行维护费2.46万元。公务用车运行维护费开支内容包</w:t>
      </w:r>
      <w:bookmarkStart w:id="12" w:name="_GoBack"/>
      <w:bookmarkEnd w:id="12"/>
      <w:r>
        <w:rPr>
          <w:rFonts w:ascii="仿宋_GB2312" w:eastAsia="仿宋_GB2312"/>
          <w:sz w:val="32"/>
          <w:szCs w:val="32"/>
          <w:lang w:eastAsia="zh-CN"/>
        </w:rPr>
        <w:t>括</w:t>
      </w:r>
      <w:r>
        <w:rPr>
          <w:rFonts w:hint="eastAsia" w:ascii="仿宋_GB2312" w:eastAsia="仿宋_GB2312"/>
          <w:sz w:val="32"/>
          <w:szCs w:val="32"/>
          <w:lang w:eastAsia="zh-CN"/>
        </w:rPr>
        <w:t>公务用车维修维护费、燃油费、保险费、过路费等</w:t>
      </w:r>
      <w:r>
        <w:rPr>
          <w:rFonts w:ascii="仿宋_GB2312" w:eastAsia="仿宋_GB2312"/>
          <w:sz w:val="32"/>
          <w:szCs w:val="32"/>
          <w:lang w:eastAsia="zh-CN"/>
        </w:rPr>
        <w:t>。公务用车购置数0辆，公务用车保有量1辆。国有资产占用情况中固定资产车辆1辆，与公务用车保有量差异原因是：</w:t>
      </w:r>
      <w:bookmarkStart w:id="7" w:name="_Hlk208326029"/>
      <w:r>
        <w:rPr>
          <w:rFonts w:hint="eastAsia" w:ascii="仿宋_GB2312" w:eastAsia="仿宋_GB2312"/>
          <w:sz w:val="32"/>
          <w:szCs w:val="32"/>
          <w:lang w:eastAsia="zh-CN"/>
        </w:rPr>
        <w:t>本单位固定资产车辆与公务用车保有量一致无差异</w:t>
      </w:r>
      <w:bookmarkEnd w:id="7"/>
      <w:r>
        <w:rPr>
          <w:rFonts w:ascii="仿宋_GB2312" w:eastAsia="仿宋_GB2312"/>
          <w:sz w:val="32"/>
          <w:szCs w:val="32"/>
          <w:lang w:eastAsia="zh-CN"/>
        </w:rPr>
        <w:t>。</w:t>
      </w:r>
    </w:p>
    <w:p w14:paraId="5DBFE94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公务接待费0.00万元，开支内容包括</w:t>
      </w:r>
      <w:bookmarkStart w:id="8" w:name="_Hlk207128367"/>
      <w:r>
        <w:rPr>
          <w:rFonts w:ascii="仿宋_GB2312" w:eastAsia="仿宋_GB2312"/>
          <w:sz w:val="32"/>
          <w:szCs w:val="32"/>
          <w:lang w:eastAsia="zh-CN"/>
        </w:rPr>
        <w:t>本单位本年无公务接待费</w:t>
      </w:r>
      <w:bookmarkEnd w:id="8"/>
      <w:r>
        <w:rPr>
          <w:rFonts w:ascii="仿宋_GB2312" w:eastAsia="仿宋_GB2312"/>
          <w:sz w:val="32"/>
          <w:szCs w:val="32"/>
          <w:lang w:eastAsia="zh-CN"/>
        </w:rPr>
        <w:t>。单位全年安排的国内公务接待0批次，0人次。</w:t>
      </w:r>
    </w:p>
    <w:p w14:paraId="26665384">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与全年预算相比，财政拨款“三公”经费支出全年预算数2.46万元，决算数2.46万元，预决算差异率0.00%，主要原因是：</w:t>
      </w:r>
      <w:bookmarkStart w:id="9" w:name="_Hlk207110149"/>
      <w:r>
        <w:rPr>
          <w:rFonts w:hint="eastAsia" w:ascii="仿宋_GB2312" w:eastAsia="仿宋_GB2312"/>
          <w:sz w:val="32"/>
          <w:szCs w:val="32"/>
          <w:lang w:eastAsia="zh-CN"/>
        </w:rPr>
        <w:t>严格按照预算执行，预决算对比无差异</w:t>
      </w:r>
      <w:bookmarkEnd w:id="9"/>
      <w:r>
        <w:rPr>
          <w:rFonts w:ascii="仿宋_GB2312" w:eastAsia="仿宋_GB2312"/>
          <w:sz w:val="32"/>
          <w:szCs w:val="32"/>
          <w:lang w:eastAsia="zh-CN"/>
        </w:rPr>
        <w:t>。其中：因公出国（境）费全年预算数0.00万元，决算数0.00万元，预决算差异率0.00%，主要原因是：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；公务用车运行维护费全年预算数2.46万元，决算数2.46万元，预决算差异率0.00%，主要原因是：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w:t>
      </w:r>
    </w:p>
    <w:p w14:paraId="3E9EC44C">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十、其他重要事项的情况说明</w:t>
      </w:r>
    </w:p>
    <w:p w14:paraId="6BDD6D2D">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（一）机关运行经费及公用经费支出情况</w:t>
      </w:r>
    </w:p>
    <w:p w14:paraId="28B241D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2024年度中共乌鲁木齐市米东区委员会直属机关工作委员会单位（行政单位和参照公务员法管理事业单位）机关运行经费支出4.77万元，比上年减少7.72万元，下降61.81%，主要原因是：</w:t>
      </w:r>
      <w:r>
        <w:rPr>
          <w:rFonts w:hint="eastAsia" w:ascii="仿宋_GB2312" w:eastAsia="仿宋_GB2312"/>
          <w:sz w:val="32"/>
          <w:szCs w:val="32"/>
          <w:lang w:eastAsia="zh-CN"/>
        </w:rPr>
        <w:t>单位本年</w:t>
      </w:r>
      <w:r>
        <w:rPr>
          <w:rFonts w:ascii="仿宋_GB2312" w:eastAsia="仿宋_GB2312"/>
          <w:sz w:val="32"/>
          <w:szCs w:val="32"/>
          <w:lang w:eastAsia="zh-CN"/>
        </w:rPr>
        <w:t>办公费、手续费、邮电费、公务用车运行维护费</w:t>
      </w:r>
      <w:r>
        <w:rPr>
          <w:rFonts w:hint="eastAsia" w:ascii="仿宋_GB2312" w:eastAsia="仿宋_GB2312"/>
          <w:sz w:val="32"/>
          <w:szCs w:val="32"/>
          <w:lang w:eastAsia="zh-CN"/>
        </w:rPr>
        <w:t>减少</w:t>
      </w:r>
      <w:r>
        <w:rPr>
          <w:rFonts w:ascii="仿宋_GB2312" w:eastAsia="仿宋_GB2312"/>
          <w:sz w:val="32"/>
          <w:szCs w:val="32"/>
          <w:lang w:eastAsia="zh-CN"/>
        </w:rPr>
        <w:t>。</w:t>
      </w:r>
    </w:p>
    <w:p w14:paraId="5993F379">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（二）政府采购情况</w:t>
      </w:r>
    </w:p>
    <w:p w14:paraId="1BF04F2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2024年度政府采购支出总额0.00万元，其中：政府采购货物支出0.00万元、政府采购工程支出0.00万元、政府采购服务支出0.00万元。</w:t>
      </w:r>
    </w:p>
    <w:p w14:paraId="6D19A87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授予中小企业合同金额0.00万元，占政府采购支出总额的0.00%，其中：授予小微企业合同金额0.00万元，占政府采购支出总额的0.00%。</w:t>
      </w:r>
    </w:p>
    <w:p w14:paraId="0C5FDB02">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（三）国有资产占用情况说明</w:t>
      </w:r>
    </w:p>
    <w:p w14:paraId="54619B3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rPr>
        <w:t>截至2024年12月31日，房屋0.00平方米，价值0.00万元。</w:t>
      </w:r>
      <w:r>
        <w:rPr>
          <w:rFonts w:ascii="仿宋_GB2312" w:eastAsia="仿宋_GB2312"/>
          <w:sz w:val="32"/>
          <w:szCs w:val="32"/>
          <w:lang w:eastAsia="zh-CN"/>
        </w:rPr>
        <w:t>车辆1辆，价值6.15万元，其中：副部（省）级及以上领导用车0辆、主要负责人用车0辆、机要通信用车0辆、应急保障用车0辆、执法执勤用车0辆、特种专业技术用车0辆、离退休干部服务用车0辆、其他用车1辆，其他用车主要是：</w:t>
      </w:r>
      <w:r>
        <w:rPr>
          <w:rFonts w:hint="eastAsia" w:ascii="仿宋_GB2312" w:eastAsia="仿宋_GB2312"/>
          <w:sz w:val="32"/>
          <w:szCs w:val="32"/>
          <w:lang w:eastAsia="zh-CN"/>
        </w:rPr>
        <w:t>业务</w:t>
      </w:r>
      <w:r>
        <w:rPr>
          <w:rFonts w:ascii="仿宋_GB2312" w:eastAsia="仿宋_GB2312"/>
          <w:sz w:val="32"/>
          <w:szCs w:val="32"/>
          <w:lang w:eastAsia="zh-CN"/>
        </w:rPr>
        <w:t>用车;单价100万元（含）以上设备（不含车辆）0台（套）。</w:t>
      </w:r>
    </w:p>
    <w:p w14:paraId="3F8B7ADF">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十一、预算绩效的情况说明</w:t>
      </w:r>
    </w:p>
    <w:p w14:paraId="4BFAC737">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hint="eastAsia" w:ascii="仿宋_GB2312" w:eastAsia="仿宋_GB2312"/>
          <w:sz w:val="32"/>
          <w:szCs w:val="32"/>
          <w:lang w:eastAsia="zh-CN"/>
        </w:rPr>
        <w:t>62</w:t>
      </w:r>
      <w:r>
        <w:rPr>
          <w:rFonts w:ascii="仿宋_GB2312" w:eastAsia="仿宋_GB2312"/>
          <w:sz w:val="32"/>
          <w:szCs w:val="32"/>
          <w:lang w:eastAsia="zh-CN"/>
        </w:rPr>
        <w:t>.</w:t>
      </w:r>
      <w:r>
        <w:rPr>
          <w:rFonts w:hint="eastAsia" w:ascii="仿宋_GB2312" w:eastAsia="仿宋_GB2312"/>
          <w:sz w:val="32"/>
          <w:szCs w:val="32"/>
          <w:lang w:eastAsia="zh-CN"/>
        </w:rPr>
        <w:t>30</w:t>
      </w:r>
      <w:r>
        <w:rPr>
          <w:rFonts w:ascii="仿宋_GB2312" w:eastAsia="仿宋_GB2312"/>
          <w:sz w:val="32"/>
          <w:szCs w:val="32"/>
          <w:lang w:eastAsia="zh-CN"/>
        </w:rPr>
        <w:t>万元，实际执行总额62.00万元；预算绩效评价项目0个，全年预算数0.00万元，全年执行数0.00万元。预算绩效管理取得的成效：一是在日常办公支出方面,我们严格控制各项费用,合理安排办公用品的使用及严格的管理。其次,我们加强了对各项支出的监督和管理。建立多级审核流程，确保数据合理性和合规性。通过建立健全的支出管理制度,明确了各项支出的审批流程和责任人,有效地防止了资金的挪用和浪费，严格控制非必要开支。通过对各项支出的审核,我们对发现的问题进行及时整改和调整,确保了支出的合理性和效益性；二是我单位持续完善内控体系建设，重点推进管理制度化、监督常态化机制。通过全面强化财务监管、切实增强法治意识、严格规范制度执行等举措，着力构建规范高效的运行体系。发现的问题及原因：一是部门整体绩效指标应从单位全局高度出发，围绕部门单位履职的核心任务，分析提炼部门单位年度目标，再细化为具体的三级指标，以结果性、效益性指标为主。同时，参考资料也是首先以中央、自治区、乌鲁木齐市的文件、批准的规划为主，不是仅依赖于部门单位的工作计划，多设置过程性、产出性的指标，而非部门碎片工作的简单整合；二是个别基层党组织书记、党务干部基础党务知识培训还有待加强，工作能力和水平还有待提升。填写党支部手册不规范，对于发展党员程序、支部换届、发展党员关键环节上下衔接不足等情况。下一步改进措施：一是提高部门整体支出绩效目标设定的合理性。增强部门整体支出绩效目标设置的科学性。在推进部门整体绩效管理过程中，应当立足部门法定职责，强化全局意识，紧密对接政府重大战略和事业发展规划。以预算资金管理为核心，系统整合年度重点任务和重大事项，科学设置能够全面体现部门履职成效、社会影响力等关键维度的特色化、效益型绩效指标</w:t>
      </w:r>
      <w:r>
        <w:rPr>
          <w:rFonts w:hint="eastAsia" w:ascii="仿宋_GB2312" w:eastAsia="仿宋_GB2312"/>
          <w:sz w:val="32"/>
          <w:szCs w:val="32"/>
          <w:lang w:eastAsia="zh-CN"/>
        </w:rPr>
        <w:t>；</w:t>
      </w:r>
      <w:r>
        <w:rPr>
          <w:rFonts w:ascii="仿宋_GB2312" w:eastAsia="仿宋_GB2312"/>
          <w:sz w:val="32"/>
          <w:szCs w:val="32"/>
          <w:lang w:eastAsia="zh-CN"/>
        </w:rPr>
        <w:t>二是持续加强政治建设，着力强化理论武装。加强政治机关建设，深化模范机关建设，围绕学习党的二十届三中全会精神，抓实理论学习、宣传、贯彻和落实，用党的创新理论武装头脑。具体附部门整体支出绩效自评表。</w:t>
      </w:r>
      <w:bookmarkStart w:id="10" w:name="_Hlk174962300"/>
    </w:p>
    <w:p w14:paraId="6EB96FB4">
      <w:pPr>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部门（单位）整体支出绩效目标自评表</w:t>
      </w:r>
    </w:p>
    <w:p w14:paraId="5AFF4DB7">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9651" w:type="dxa"/>
        <w:tblInd w:w="-601" w:type="dxa"/>
        <w:tblLayout w:type="fixed"/>
        <w:tblCellMar>
          <w:top w:w="0" w:type="dxa"/>
          <w:left w:w="108" w:type="dxa"/>
          <w:bottom w:w="0" w:type="dxa"/>
          <w:right w:w="108" w:type="dxa"/>
        </w:tblCellMar>
      </w:tblPr>
      <w:tblGrid>
        <w:gridCol w:w="993"/>
        <w:gridCol w:w="1417"/>
        <w:gridCol w:w="1418"/>
        <w:gridCol w:w="1276"/>
        <w:gridCol w:w="1701"/>
        <w:gridCol w:w="1134"/>
        <w:gridCol w:w="992"/>
        <w:gridCol w:w="720"/>
      </w:tblGrid>
      <w:tr w14:paraId="2B983DBC">
        <w:tblPrEx>
          <w:tblCellMar>
            <w:top w:w="0" w:type="dxa"/>
            <w:left w:w="108" w:type="dxa"/>
            <w:bottom w:w="0" w:type="dxa"/>
            <w:right w:w="108" w:type="dxa"/>
          </w:tblCellMar>
        </w:tblPrEx>
        <w:trPr>
          <w:trHeight w:val="660" w:hRule="atLeast"/>
        </w:trPr>
        <w:tc>
          <w:tcPr>
            <w:tcW w:w="993" w:type="dxa"/>
            <w:tcBorders>
              <w:top w:val="single" w:color="auto" w:sz="4" w:space="0"/>
              <w:left w:val="single" w:color="auto" w:sz="4" w:space="0"/>
              <w:bottom w:val="single" w:color="auto" w:sz="4" w:space="0"/>
              <w:right w:val="single" w:color="auto" w:sz="4" w:space="0"/>
            </w:tcBorders>
            <w:noWrap/>
            <w:vAlign w:val="center"/>
          </w:tcPr>
          <w:p w14:paraId="0F55531B">
            <w:pPr>
              <w:jc w:val="center"/>
              <w:rPr>
                <w:rFonts w:hint="eastAsia" w:ascii="宋体" w:hAnsi="宋体" w:eastAsia="宋体" w:cs="宋体"/>
                <w:b/>
                <w:bCs/>
                <w:sz w:val="18"/>
                <w:szCs w:val="18"/>
              </w:rPr>
            </w:pPr>
            <w:r>
              <w:rPr>
                <w:rFonts w:hint="eastAsia" w:ascii="宋体" w:hAnsi="宋体" w:eastAsia="宋体" w:cs="宋体"/>
                <w:b/>
                <w:bCs/>
                <w:sz w:val="18"/>
                <w:szCs w:val="18"/>
              </w:rPr>
              <w:t>部门（单位）名称</w:t>
            </w:r>
          </w:p>
        </w:tc>
        <w:tc>
          <w:tcPr>
            <w:tcW w:w="8658" w:type="dxa"/>
            <w:gridSpan w:val="7"/>
            <w:tcBorders>
              <w:top w:val="single" w:color="auto" w:sz="4" w:space="0"/>
              <w:left w:val="nil"/>
              <w:bottom w:val="single" w:color="auto" w:sz="4" w:space="0"/>
              <w:right w:val="single" w:color="auto" w:sz="4" w:space="0"/>
            </w:tcBorders>
            <w:noWrap/>
            <w:vAlign w:val="center"/>
          </w:tcPr>
          <w:p w14:paraId="5761DC51">
            <w:pPr>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中共乌鲁木齐市米东区委员会直属机关工作委员会</w:t>
            </w:r>
          </w:p>
        </w:tc>
      </w:tr>
      <w:tr w14:paraId="6C721E56">
        <w:tblPrEx>
          <w:tblCellMar>
            <w:top w:w="0" w:type="dxa"/>
            <w:left w:w="108" w:type="dxa"/>
            <w:bottom w:w="0" w:type="dxa"/>
            <w:right w:w="108" w:type="dxa"/>
          </w:tblCellMar>
        </w:tblPrEx>
        <w:trPr>
          <w:trHeight w:val="570"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0A851810">
            <w:pPr>
              <w:jc w:val="center"/>
              <w:rPr>
                <w:rFonts w:hint="eastAsia" w:ascii="宋体" w:hAnsi="宋体" w:eastAsia="宋体" w:cs="宋体"/>
                <w:b/>
                <w:bCs/>
                <w:sz w:val="18"/>
                <w:szCs w:val="18"/>
              </w:rPr>
            </w:pPr>
            <w:r>
              <w:rPr>
                <w:rFonts w:hint="eastAsia" w:ascii="宋体" w:hAnsi="宋体" w:eastAsia="宋体" w:cs="宋体"/>
                <w:b/>
                <w:bCs/>
                <w:sz w:val="18"/>
                <w:szCs w:val="18"/>
              </w:rPr>
              <w:t>部门资金（万元）</w:t>
            </w:r>
          </w:p>
        </w:tc>
        <w:tc>
          <w:tcPr>
            <w:tcW w:w="1417" w:type="dxa"/>
            <w:tcBorders>
              <w:top w:val="nil"/>
              <w:left w:val="nil"/>
              <w:bottom w:val="single" w:color="auto" w:sz="4" w:space="0"/>
              <w:right w:val="single" w:color="auto" w:sz="4" w:space="0"/>
            </w:tcBorders>
            <w:vAlign w:val="center"/>
          </w:tcPr>
          <w:p w14:paraId="2EF8CB38">
            <w:pPr>
              <w:jc w:val="center"/>
              <w:rPr>
                <w:rFonts w:hint="eastAsia" w:ascii="宋体" w:hAnsi="宋体" w:eastAsia="宋体" w:cs="宋体"/>
                <w:b/>
                <w:bCs/>
                <w:sz w:val="18"/>
                <w:szCs w:val="18"/>
              </w:rPr>
            </w:pPr>
            <w:r>
              <w:rPr>
                <w:rFonts w:hint="eastAsia" w:ascii="宋体" w:hAnsi="宋体" w:eastAsia="宋体" w:cs="宋体"/>
                <w:b/>
                <w:bCs/>
                <w:sz w:val="18"/>
                <w:szCs w:val="18"/>
              </w:rPr>
              <w:t>资金来源</w:t>
            </w:r>
          </w:p>
        </w:tc>
        <w:tc>
          <w:tcPr>
            <w:tcW w:w="1418" w:type="dxa"/>
            <w:tcBorders>
              <w:top w:val="nil"/>
              <w:left w:val="nil"/>
              <w:bottom w:val="single" w:color="auto" w:sz="4" w:space="0"/>
              <w:right w:val="single" w:color="auto" w:sz="4" w:space="0"/>
            </w:tcBorders>
            <w:vAlign w:val="center"/>
          </w:tcPr>
          <w:p w14:paraId="19990008">
            <w:pPr>
              <w:jc w:val="center"/>
              <w:rPr>
                <w:rFonts w:hint="eastAsia" w:ascii="宋体" w:hAnsi="宋体" w:eastAsia="宋体" w:cs="宋体"/>
                <w:b/>
                <w:bCs/>
                <w:sz w:val="18"/>
                <w:szCs w:val="18"/>
              </w:rPr>
            </w:pPr>
            <w:r>
              <w:rPr>
                <w:rFonts w:hint="eastAsia" w:ascii="宋体" w:hAnsi="宋体" w:eastAsia="宋体" w:cs="宋体"/>
                <w:b/>
                <w:bCs/>
                <w:sz w:val="18"/>
                <w:szCs w:val="18"/>
              </w:rPr>
              <w:t>年初预算数</w:t>
            </w:r>
          </w:p>
        </w:tc>
        <w:tc>
          <w:tcPr>
            <w:tcW w:w="1276" w:type="dxa"/>
            <w:tcBorders>
              <w:top w:val="nil"/>
              <w:left w:val="nil"/>
              <w:bottom w:val="single" w:color="auto" w:sz="4" w:space="0"/>
              <w:right w:val="single" w:color="auto" w:sz="4" w:space="0"/>
            </w:tcBorders>
            <w:vAlign w:val="center"/>
          </w:tcPr>
          <w:p w14:paraId="1DA300D6">
            <w:pPr>
              <w:jc w:val="center"/>
              <w:rPr>
                <w:rFonts w:hint="eastAsia" w:ascii="宋体" w:hAnsi="宋体" w:eastAsia="宋体" w:cs="宋体"/>
                <w:b/>
                <w:bCs/>
                <w:sz w:val="18"/>
                <w:szCs w:val="18"/>
              </w:rPr>
            </w:pPr>
            <w:r>
              <w:rPr>
                <w:rFonts w:hint="eastAsia" w:ascii="宋体" w:hAnsi="宋体" w:eastAsia="宋体" w:cs="宋体"/>
                <w:b/>
                <w:bCs/>
                <w:sz w:val="18"/>
                <w:szCs w:val="18"/>
              </w:rPr>
              <w:t>全年预算数</w:t>
            </w:r>
          </w:p>
        </w:tc>
        <w:tc>
          <w:tcPr>
            <w:tcW w:w="1701" w:type="dxa"/>
            <w:tcBorders>
              <w:top w:val="nil"/>
              <w:left w:val="nil"/>
              <w:bottom w:val="single" w:color="auto" w:sz="4" w:space="0"/>
              <w:right w:val="single" w:color="auto" w:sz="4" w:space="0"/>
            </w:tcBorders>
            <w:vAlign w:val="center"/>
          </w:tcPr>
          <w:p w14:paraId="1163C1A0">
            <w:pPr>
              <w:jc w:val="center"/>
              <w:rPr>
                <w:rFonts w:hint="eastAsia" w:ascii="宋体" w:hAnsi="宋体" w:eastAsia="宋体" w:cs="宋体"/>
                <w:b/>
                <w:bCs/>
                <w:sz w:val="18"/>
                <w:szCs w:val="18"/>
              </w:rPr>
            </w:pPr>
            <w:r>
              <w:rPr>
                <w:rFonts w:hint="eastAsia" w:ascii="宋体" w:hAnsi="宋体" w:eastAsia="宋体" w:cs="宋体"/>
                <w:b/>
                <w:bCs/>
                <w:sz w:val="18"/>
                <w:szCs w:val="18"/>
              </w:rPr>
              <w:t>全年执行数</w:t>
            </w:r>
          </w:p>
        </w:tc>
        <w:tc>
          <w:tcPr>
            <w:tcW w:w="1134" w:type="dxa"/>
            <w:tcBorders>
              <w:top w:val="nil"/>
              <w:left w:val="nil"/>
              <w:bottom w:val="single" w:color="auto" w:sz="4" w:space="0"/>
              <w:right w:val="single" w:color="auto" w:sz="4" w:space="0"/>
            </w:tcBorders>
            <w:vAlign w:val="center"/>
          </w:tcPr>
          <w:p w14:paraId="3B07CD39">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992" w:type="dxa"/>
            <w:tcBorders>
              <w:top w:val="nil"/>
              <w:left w:val="nil"/>
              <w:bottom w:val="single" w:color="auto" w:sz="4" w:space="0"/>
              <w:right w:val="single" w:color="auto" w:sz="4" w:space="0"/>
            </w:tcBorders>
            <w:vAlign w:val="center"/>
          </w:tcPr>
          <w:p w14:paraId="3558E317">
            <w:pPr>
              <w:jc w:val="center"/>
              <w:rPr>
                <w:rFonts w:hint="eastAsia" w:ascii="宋体" w:hAnsi="宋体" w:eastAsia="宋体" w:cs="宋体"/>
                <w:b/>
                <w:bCs/>
                <w:sz w:val="18"/>
                <w:szCs w:val="18"/>
              </w:rPr>
            </w:pPr>
            <w:r>
              <w:rPr>
                <w:rFonts w:hint="eastAsia" w:ascii="宋体" w:hAnsi="宋体" w:eastAsia="宋体" w:cs="宋体"/>
                <w:b/>
                <w:bCs/>
                <w:sz w:val="18"/>
                <w:szCs w:val="18"/>
              </w:rPr>
              <w:t>执行率</w:t>
            </w:r>
          </w:p>
        </w:tc>
        <w:tc>
          <w:tcPr>
            <w:tcW w:w="720" w:type="dxa"/>
            <w:tcBorders>
              <w:top w:val="nil"/>
              <w:left w:val="nil"/>
              <w:bottom w:val="single" w:color="auto" w:sz="4" w:space="0"/>
              <w:right w:val="single" w:color="auto" w:sz="4" w:space="0"/>
            </w:tcBorders>
            <w:vAlign w:val="center"/>
          </w:tcPr>
          <w:p w14:paraId="2E0CCBF6">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r>
      <w:tr w14:paraId="146E9CA7">
        <w:tblPrEx>
          <w:tblCellMar>
            <w:top w:w="0" w:type="dxa"/>
            <w:left w:w="108" w:type="dxa"/>
            <w:bottom w:w="0" w:type="dxa"/>
            <w:right w:w="108" w:type="dxa"/>
          </w:tblCellMar>
        </w:tblPrEx>
        <w:trPr>
          <w:trHeight w:val="48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7102C34C">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noWrap/>
            <w:vAlign w:val="center"/>
          </w:tcPr>
          <w:p w14:paraId="120B36C5">
            <w:pPr>
              <w:jc w:val="center"/>
              <w:rPr>
                <w:rFonts w:hint="eastAsia" w:ascii="宋体" w:hAnsi="宋体" w:eastAsia="宋体" w:cs="宋体"/>
                <w:b/>
                <w:bCs/>
                <w:sz w:val="18"/>
                <w:szCs w:val="18"/>
              </w:rPr>
            </w:pPr>
            <w:r>
              <w:rPr>
                <w:rFonts w:hint="eastAsia" w:ascii="宋体" w:hAnsi="宋体" w:eastAsia="宋体" w:cs="宋体"/>
                <w:b/>
                <w:bCs/>
                <w:sz w:val="18"/>
                <w:szCs w:val="18"/>
              </w:rPr>
              <w:t>年度总资金</w:t>
            </w:r>
          </w:p>
        </w:tc>
        <w:tc>
          <w:tcPr>
            <w:tcW w:w="1418" w:type="dxa"/>
            <w:tcBorders>
              <w:top w:val="nil"/>
              <w:left w:val="nil"/>
              <w:bottom w:val="single" w:color="auto" w:sz="4" w:space="0"/>
              <w:right w:val="single" w:color="auto" w:sz="4" w:space="0"/>
            </w:tcBorders>
            <w:vAlign w:val="center"/>
          </w:tcPr>
          <w:p w14:paraId="5340D64B">
            <w:pPr>
              <w:jc w:val="center"/>
              <w:rPr>
                <w:rFonts w:hint="eastAsia" w:ascii="宋体" w:hAnsi="宋体" w:eastAsia="宋体" w:cs="宋体"/>
                <w:sz w:val="18"/>
                <w:szCs w:val="18"/>
              </w:rPr>
            </w:pPr>
            <w:r>
              <w:rPr>
                <w:rFonts w:hint="eastAsia" w:ascii="宋体" w:hAnsi="宋体" w:eastAsia="宋体" w:cs="宋体"/>
                <w:sz w:val="18"/>
                <w:szCs w:val="18"/>
              </w:rPr>
              <w:t>59.40</w:t>
            </w:r>
          </w:p>
        </w:tc>
        <w:tc>
          <w:tcPr>
            <w:tcW w:w="1276" w:type="dxa"/>
            <w:tcBorders>
              <w:top w:val="nil"/>
              <w:left w:val="nil"/>
              <w:bottom w:val="single" w:color="auto" w:sz="4" w:space="0"/>
              <w:right w:val="single" w:color="auto" w:sz="4" w:space="0"/>
            </w:tcBorders>
            <w:vAlign w:val="center"/>
          </w:tcPr>
          <w:p w14:paraId="7969D3F5">
            <w:pPr>
              <w:jc w:val="center"/>
              <w:rPr>
                <w:rFonts w:hint="eastAsia" w:ascii="宋体" w:hAnsi="宋体" w:eastAsia="宋体" w:cs="宋体"/>
                <w:sz w:val="18"/>
                <w:szCs w:val="18"/>
              </w:rPr>
            </w:pPr>
            <w:r>
              <w:rPr>
                <w:rFonts w:hint="eastAsia" w:ascii="宋体" w:hAnsi="宋体" w:eastAsia="宋体" w:cs="宋体"/>
                <w:sz w:val="18"/>
                <w:szCs w:val="18"/>
              </w:rPr>
              <w:t>62.30</w:t>
            </w:r>
          </w:p>
        </w:tc>
        <w:tc>
          <w:tcPr>
            <w:tcW w:w="1701" w:type="dxa"/>
            <w:tcBorders>
              <w:top w:val="nil"/>
              <w:left w:val="nil"/>
              <w:bottom w:val="single" w:color="auto" w:sz="4" w:space="0"/>
              <w:right w:val="single" w:color="auto" w:sz="4" w:space="0"/>
            </w:tcBorders>
            <w:vAlign w:val="center"/>
          </w:tcPr>
          <w:p w14:paraId="6BF5609A">
            <w:pPr>
              <w:jc w:val="center"/>
              <w:rPr>
                <w:rFonts w:hint="eastAsia" w:ascii="宋体" w:hAnsi="宋体" w:eastAsia="宋体" w:cs="宋体"/>
                <w:sz w:val="18"/>
                <w:szCs w:val="18"/>
              </w:rPr>
            </w:pPr>
            <w:r>
              <w:rPr>
                <w:rFonts w:hint="eastAsia" w:ascii="宋体" w:hAnsi="宋体" w:eastAsia="宋体" w:cs="宋体"/>
                <w:sz w:val="18"/>
                <w:szCs w:val="18"/>
              </w:rPr>
              <w:t>62.00</w:t>
            </w:r>
          </w:p>
        </w:tc>
        <w:tc>
          <w:tcPr>
            <w:tcW w:w="1134" w:type="dxa"/>
            <w:tcBorders>
              <w:top w:val="nil"/>
              <w:left w:val="nil"/>
              <w:bottom w:val="single" w:color="auto" w:sz="4" w:space="0"/>
              <w:right w:val="single" w:color="auto" w:sz="4" w:space="0"/>
            </w:tcBorders>
            <w:vAlign w:val="center"/>
          </w:tcPr>
          <w:p w14:paraId="3F87E4DD">
            <w:pPr>
              <w:jc w:val="center"/>
              <w:rPr>
                <w:rFonts w:hint="eastAsia" w:ascii="宋体" w:hAnsi="宋体" w:eastAsia="宋体" w:cs="宋体"/>
                <w:sz w:val="18"/>
                <w:szCs w:val="18"/>
              </w:rPr>
            </w:pPr>
            <w:r>
              <w:rPr>
                <w:rFonts w:hint="eastAsia" w:ascii="宋体" w:hAnsi="宋体" w:eastAsia="宋体" w:cs="宋体"/>
                <w:sz w:val="18"/>
                <w:szCs w:val="18"/>
              </w:rPr>
              <w:t>10</w:t>
            </w:r>
          </w:p>
        </w:tc>
        <w:tc>
          <w:tcPr>
            <w:tcW w:w="992" w:type="dxa"/>
            <w:tcBorders>
              <w:top w:val="nil"/>
              <w:left w:val="nil"/>
              <w:bottom w:val="single" w:color="auto" w:sz="4" w:space="0"/>
              <w:right w:val="single" w:color="auto" w:sz="4" w:space="0"/>
            </w:tcBorders>
            <w:vAlign w:val="center"/>
          </w:tcPr>
          <w:p w14:paraId="5B63C1EF">
            <w:pPr>
              <w:jc w:val="center"/>
              <w:rPr>
                <w:rFonts w:hint="eastAsia" w:ascii="宋体" w:hAnsi="宋体" w:eastAsia="宋体" w:cs="宋体"/>
                <w:sz w:val="18"/>
                <w:szCs w:val="18"/>
              </w:rPr>
            </w:pPr>
            <w:r>
              <w:rPr>
                <w:rFonts w:hint="eastAsia" w:ascii="宋体" w:hAnsi="宋体" w:eastAsia="宋体" w:cs="宋体"/>
                <w:sz w:val="18"/>
                <w:szCs w:val="18"/>
              </w:rPr>
              <w:t>99.52%</w:t>
            </w:r>
          </w:p>
        </w:tc>
        <w:tc>
          <w:tcPr>
            <w:tcW w:w="720" w:type="dxa"/>
            <w:tcBorders>
              <w:top w:val="nil"/>
              <w:left w:val="nil"/>
              <w:bottom w:val="single" w:color="auto" w:sz="4" w:space="0"/>
              <w:right w:val="single" w:color="auto" w:sz="4" w:space="0"/>
            </w:tcBorders>
            <w:vAlign w:val="center"/>
          </w:tcPr>
          <w:p w14:paraId="1D13CAE3">
            <w:pPr>
              <w:jc w:val="center"/>
              <w:rPr>
                <w:rFonts w:hint="eastAsia" w:ascii="宋体" w:hAnsi="宋体" w:eastAsia="宋体" w:cs="宋体"/>
                <w:sz w:val="18"/>
                <w:szCs w:val="18"/>
              </w:rPr>
            </w:pPr>
            <w:r>
              <w:rPr>
                <w:rFonts w:hint="eastAsia" w:ascii="宋体" w:hAnsi="宋体" w:eastAsia="宋体" w:cs="宋体"/>
                <w:sz w:val="18"/>
                <w:szCs w:val="18"/>
              </w:rPr>
              <w:t>9.95</w:t>
            </w:r>
          </w:p>
        </w:tc>
      </w:tr>
      <w:tr w14:paraId="321D4A7C">
        <w:tblPrEx>
          <w:tblCellMar>
            <w:top w:w="0" w:type="dxa"/>
            <w:left w:w="108" w:type="dxa"/>
            <w:bottom w:w="0" w:type="dxa"/>
            <w:right w:w="108" w:type="dxa"/>
          </w:tblCellMar>
        </w:tblPrEx>
        <w:trPr>
          <w:trHeight w:val="42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727C6AA3">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2A13E35B">
            <w:pPr>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其中:上级资金（万元）</w:t>
            </w:r>
          </w:p>
        </w:tc>
        <w:tc>
          <w:tcPr>
            <w:tcW w:w="1418" w:type="dxa"/>
            <w:tcBorders>
              <w:top w:val="nil"/>
              <w:left w:val="nil"/>
              <w:bottom w:val="single" w:color="auto" w:sz="4" w:space="0"/>
              <w:right w:val="single" w:color="auto" w:sz="4" w:space="0"/>
            </w:tcBorders>
            <w:vAlign w:val="center"/>
          </w:tcPr>
          <w:p w14:paraId="5805E283">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276" w:type="dxa"/>
            <w:tcBorders>
              <w:top w:val="nil"/>
              <w:left w:val="nil"/>
              <w:bottom w:val="single" w:color="auto" w:sz="4" w:space="0"/>
              <w:right w:val="single" w:color="auto" w:sz="4" w:space="0"/>
            </w:tcBorders>
            <w:vAlign w:val="center"/>
          </w:tcPr>
          <w:p w14:paraId="74CFAE3A">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701" w:type="dxa"/>
            <w:tcBorders>
              <w:top w:val="nil"/>
              <w:left w:val="nil"/>
              <w:bottom w:val="single" w:color="auto" w:sz="4" w:space="0"/>
              <w:right w:val="single" w:color="auto" w:sz="4" w:space="0"/>
            </w:tcBorders>
            <w:vAlign w:val="center"/>
          </w:tcPr>
          <w:p w14:paraId="5E5BE3D3">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134" w:type="dxa"/>
            <w:tcBorders>
              <w:top w:val="nil"/>
              <w:left w:val="nil"/>
              <w:bottom w:val="single" w:color="auto" w:sz="4" w:space="0"/>
              <w:right w:val="single" w:color="auto" w:sz="4" w:space="0"/>
            </w:tcBorders>
            <w:vAlign w:val="center"/>
          </w:tcPr>
          <w:p w14:paraId="06400021">
            <w:pPr>
              <w:jc w:val="center"/>
              <w:rPr>
                <w:rFonts w:hint="eastAsia" w:ascii="宋体" w:hAnsi="宋体" w:eastAsia="宋体" w:cs="宋体"/>
                <w:sz w:val="18"/>
                <w:szCs w:val="18"/>
              </w:rPr>
            </w:pPr>
            <w:r>
              <w:rPr>
                <w:rFonts w:hint="eastAsia" w:ascii="宋体" w:hAnsi="宋体" w:eastAsia="宋体"/>
                <w:sz w:val="18"/>
                <w:szCs w:val="18"/>
              </w:rPr>
              <w:t>-</w:t>
            </w:r>
          </w:p>
        </w:tc>
        <w:tc>
          <w:tcPr>
            <w:tcW w:w="992" w:type="dxa"/>
            <w:tcBorders>
              <w:top w:val="nil"/>
              <w:left w:val="nil"/>
              <w:bottom w:val="single" w:color="auto" w:sz="4" w:space="0"/>
              <w:right w:val="single" w:color="auto" w:sz="4" w:space="0"/>
            </w:tcBorders>
            <w:vAlign w:val="center"/>
          </w:tcPr>
          <w:p w14:paraId="6051A9BC">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37E97088">
            <w:pPr>
              <w:jc w:val="center"/>
              <w:rPr>
                <w:rFonts w:hint="eastAsia" w:ascii="宋体" w:hAnsi="宋体" w:eastAsia="宋体" w:cs="宋体"/>
                <w:sz w:val="18"/>
                <w:szCs w:val="18"/>
              </w:rPr>
            </w:pPr>
            <w:r>
              <w:rPr>
                <w:rFonts w:hint="eastAsia" w:ascii="宋体" w:hAnsi="宋体" w:eastAsia="宋体"/>
                <w:sz w:val="18"/>
                <w:szCs w:val="18"/>
              </w:rPr>
              <w:t>-</w:t>
            </w:r>
          </w:p>
        </w:tc>
      </w:tr>
      <w:tr w14:paraId="59FA6590">
        <w:tblPrEx>
          <w:tblCellMar>
            <w:top w:w="0" w:type="dxa"/>
            <w:left w:w="108" w:type="dxa"/>
            <w:bottom w:w="0" w:type="dxa"/>
            <w:right w:w="108" w:type="dxa"/>
          </w:tblCellMar>
        </w:tblPrEx>
        <w:trPr>
          <w:trHeight w:val="281"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28BF39E2">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4B1C6DD7">
            <w:pPr>
              <w:jc w:val="center"/>
              <w:rPr>
                <w:rFonts w:hint="eastAsia" w:ascii="宋体" w:hAnsi="宋体" w:eastAsia="宋体" w:cs="宋体"/>
                <w:b/>
                <w:bCs/>
                <w:sz w:val="18"/>
                <w:szCs w:val="18"/>
              </w:rPr>
            </w:pPr>
            <w:r>
              <w:rPr>
                <w:rFonts w:hint="eastAsia" w:ascii="宋体" w:hAnsi="宋体" w:eastAsia="宋体" w:cs="宋体"/>
                <w:b/>
                <w:bCs/>
                <w:sz w:val="18"/>
                <w:szCs w:val="18"/>
              </w:rPr>
              <w:t>本级资金（万元）</w:t>
            </w:r>
          </w:p>
        </w:tc>
        <w:tc>
          <w:tcPr>
            <w:tcW w:w="1418" w:type="dxa"/>
            <w:tcBorders>
              <w:top w:val="nil"/>
              <w:left w:val="nil"/>
              <w:bottom w:val="single" w:color="auto" w:sz="4" w:space="0"/>
              <w:right w:val="single" w:color="auto" w:sz="4" w:space="0"/>
            </w:tcBorders>
            <w:vAlign w:val="center"/>
          </w:tcPr>
          <w:p w14:paraId="1CAEA9AC">
            <w:pPr>
              <w:jc w:val="center"/>
              <w:rPr>
                <w:rFonts w:hint="eastAsia" w:ascii="宋体" w:hAnsi="宋体" w:eastAsia="宋体" w:cs="宋体"/>
                <w:sz w:val="18"/>
                <w:szCs w:val="18"/>
              </w:rPr>
            </w:pPr>
            <w:r>
              <w:rPr>
                <w:rFonts w:hint="eastAsia" w:ascii="宋体" w:hAnsi="宋体" w:eastAsia="宋体" w:cs="宋体"/>
                <w:sz w:val="18"/>
                <w:szCs w:val="18"/>
              </w:rPr>
              <w:t>59.40</w:t>
            </w:r>
          </w:p>
        </w:tc>
        <w:tc>
          <w:tcPr>
            <w:tcW w:w="1276" w:type="dxa"/>
            <w:tcBorders>
              <w:top w:val="nil"/>
              <w:left w:val="nil"/>
              <w:bottom w:val="single" w:color="auto" w:sz="4" w:space="0"/>
              <w:right w:val="single" w:color="auto" w:sz="4" w:space="0"/>
            </w:tcBorders>
            <w:vAlign w:val="center"/>
          </w:tcPr>
          <w:p w14:paraId="73AFF9C8">
            <w:pPr>
              <w:jc w:val="center"/>
              <w:rPr>
                <w:rFonts w:hint="eastAsia" w:ascii="宋体" w:hAnsi="宋体" w:eastAsia="宋体" w:cs="宋体"/>
                <w:sz w:val="18"/>
                <w:szCs w:val="18"/>
              </w:rPr>
            </w:pPr>
            <w:r>
              <w:rPr>
                <w:rFonts w:hint="eastAsia" w:ascii="宋体" w:hAnsi="宋体" w:eastAsia="宋体" w:cs="宋体"/>
                <w:sz w:val="18"/>
                <w:szCs w:val="18"/>
              </w:rPr>
              <w:t>62.30</w:t>
            </w:r>
          </w:p>
        </w:tc>
        <w:tc>
          <w:tcPr>
            <w:tcW w:w="1701" w:type="dxa"/>
            <w:tcBorders>
              <w:top w:val="nil"/>
              <w:left w:val="nil"/>
              <w:bottom w:val="single" w:color="auto" w:sz="4" w:space="0"/>
              <w:right w:val="single" w:color="auto" w:sz="4" w:space="0"/>
            </w:tcBorders>
            <w:vAlign w:val="center"/>
          </w:tcPr>
          <w:p w14:paraId="410E66BE">
            <w:pPr>
              <w:jc w:val="center"/>
              <w:rPr>
                <w:rFonts w:hint="eastAsia" w:ascii="宋体" w:hAnsi="宋体" w:eastAsia="宋体" w:cs="宋体"/>
                <w:sz w:val="18"/>
                <w:szCs w:val="18"/>
              </w:rPr>
            </w:pPr>
            <w:r>
              <w:rPr>
                <w:rFonts w:hint="eastAsia" w:ascii="宋体" w:hAnsi="宋体" w:eastAsia="宋体" w:cs="宋体"/>
                <w:sz w:val="18"/>
                <w:szCs w:val="18"/>
              </w:rPr>
              <w:t>62.00</w:t>
            </w:r>
          </w:p>
        </w:tc>
        <w:tc>
          <w:tcPr>
            <w:tcW w:w="1134" w:type="dxa"/>
            <w:tcBorders>
              <w:top w:val="nil"/>
              <w:left w:val="nil"/>
              <w:bottom w:val="single" w:color="auto" w:sz="4" w:space="0"/>
              <w:right w:val="single" w:color="auto" w:sz="4" w:space="0"/>
            </w:tcBorders>
            <w:vAlign w:val="center"/>
          </w:tcPr>
          <w:p w14:paraId="60884EE1">
            <w:pPr>
              <w:jc w:val="center"/>
              <w:rPr>
                <w:rFonts w:hint="eastAsia" w:ascii="宋体" w:hAnsi="宋体" w:eastAsia="宋体" w:cs="宋体"/>
                <w:sz w:val="18"/>
                <w:szCs w:val="18"/>
              </w:rPr>
            </w:pPr>
            <w:r>
              <w:rPr>
                <w:rFonts w:hint="eastAsia" w:ascii="宋体" w:hAnsi="宋体" w:eastAsia="宋体"/>
                <w:sz w:val="18"/>
                <w:szCs w:val="18"/>
              </w:rPr>
              <w:t>-</w:t>
            </w:r>
          </w:p>
        </w:tc>
        <w:tc>
          <w:tcPr>
            <w:tcW w:w="992" w:type="dxa"/>
            <w:tcBorders>
              <w:top w:val="nil"/>
              <w:left w:val="nil"/>
              <w:bottom w:val="single" w:color="auto" w:sz="4" w:space="0"/>
              <w:right w:val="single" w:color="auto" w:sz="4" w:space="0"/>
            </w:tcBorders>
            <w:vAlign w:val="center"/>
          </w:tcPr>
          <w:p w14:paraId="6846EEFE">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044B7DA3">
            <w:pPr>
              <w:jc w:val="center"/>
              <w:rPr>
                <w:rFonts w:hint="eastAsia" w:ascii="宋体" w:hAnsi="宋体" w:eastAsia="宋体" w:cs="宋体"/>
                <w:sz w:val="18"/>
                <w:szCs w:val="18"/>
              </w:rPr>
            </w:pPr>
            <w:r>
              <w:rPr>
                <w:rFonts w:hint="eastAsia" w:ascii="宋体" w:hAnsi="宋体" w:eastAsia="宋体"/>
                <w:sz w:val="18"/>
                <w:szCs w:val="18"/>
              </w:rPr>
              <w:t>-</w:t>
            </w:r>
          </w:p>
        </w:tc>
      </w:tr>
      <w:tr w14:paraId="4F87D84E">
        <w:tblPrEx>
          <w:tblCellMar>
            <w:top w:w="0" w:type="dxa"/>
            <w:left w:w="108" w:type="dxa"/>
            <w:bottom w:w="0" w:type="dxa"/>
            <w:right w:w="108" w:type="dxa"/>
          </w:tblCellMar>
        </w:tblPrEx>
        <w:trPr>
          <w:trHeight w:val="373"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7617340E">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7334E8C1">
            <w:pPr>
              <w:jc w:val="center"/>
              <w:rPr>
                <w:rFonts w:hint="eastAsia" w:ascii="宋体" w:hAnsi="宋体" w:eastAsia="宋体" w:cs="宋体"/>
                <w:b/>
                <w:bCs/>
                <w:sz w:val="18"/>
                <w:szCs w:val="18"/>
              </w:rPr>
            </w:pPr>
            <w:r>
              <w:rPr>
                <w:rFonts w:hint="eastAsia" w:ascii="宋体" w:hAnsi="宋体" w:eastAsia="宋体" w:cs="宋体"/>
                <w:b/>
                <w:bCs/>
                <w:sz w:val="18"/>
                <w:szCs w:val="18"/>
              </w:rPr>
              <w:t>其他资金（万元）</w:t>
            </w:r>
          </w:p>
        </w:tc>
        <w:tc>
          <w:tcPr>
            <w:tcW w:w="1418" w:type="dxa"/>
            <w:tcBorders>
              <w:top w:val="nil"/>
              <w:left w:val="nil"/>
              <w:bottom w:val="single" w:color="auto" w:sz="4" w:space="0"/>
              <w:right w:val="single" w:color="auto" w:sz="4" w:space="0"/>
            </w:tcBorders>
            <w:vAlign w:val="center"/>
          </w:tcPr>
          <w:p w14:paraId="4FD23510">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276" w:type="dxa"/>
            <w:tcBorders>
              <w:top w:val="nil"/>
              <w:left w:val="nil"/>
              <w:bottom w:val="single" w:color="auto" w:sz="4" w:space="0"/>
              <w:right w:val="single" w:color="auto" w:sz="4" w:space="0"/>
            </w:tcBorders>
            <w:vAlign w:val="center"/>
          </w:tcPr>
          <w:p w14:paraId="4E4A97E1">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701" w:type="dxa"/>
            <w:tcBorders>
              <w:top w:val="nil"/>
              <w:left w:val="nil"/>
              <w:bottom w:val="single" w:color="auto" w:sz="4" w:space="0"/>
              <w:right w:val="single" w:color="auto" w:sz="4" w:space="0"/>
            </w:tcBorders>
            <w:vAlign w:val="center"/>
          </w:tcPr>
          <w:p w14:paraId="1EB17040">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134" w:type="dxa"/>
            <w:tcBorders>
              <w:top w:val="nil"/>
              <w:left w:val="nil"/>
              <w:bottom w:val="single" w:color="auto" w:sz="4" w:space="0"/>
              <w:right w:val="single" w:color="auto" w:sz="4" w:space="0"/>
            </w:tcBorders>
            <w:vAlign w:val="center"/>
          </w:tcPr>
          <w:p w14:paraId="182C151A">
            <w:pPr>
              <w:jc w:val="center"/>
              <w:rPr>
                <w:rFonts w:hint="eastAsia" w:ascii="宋体" w:hAnsi="宋体" w:eastAsia="宋体" w:cs="宋体"/>
                <w:sz w:val="18"/>
                <w:szCs w:val="18"/>
              </w:rPr>
            </w:pPr>
            <w:r>
              <w:rPr>
                <w:rFonts w:hint="eastAsia" w:ascii="宋体" w:hAnsi="宋体" w:eastAsia="宋体" w:cs="宋体"/>
                <w:sz w:val="18"/>
                <w:szCs w:val="18"/>
              </w:rPr>
              <w:t>-</w:t>
            </w:r>
          </w:p>
        </w:tc>
        <w:tc>
          <w:tcPr>
            <w:tcW w:w="992" w:type="dxa"/>
            <w:tcBorders>
              <w:top w:val="nil"/>
              <w:left w:val="nil"/>
              <w:bottom w:val="single" w:color="auto" w:sz="4" w:space="0"/>
              <w:right w:val="single" w:color="auto" w:sz="4" w:space="0"/>
            </w:tcBorders>
            <w:vAlign w:val="center"/>
          </w:tcPr>
          <w:p w14:paraId="6E3255B8">
            <w:pPr>
              <w:jc w:val="center"/>
              <w:rPr>
                <w:rFonts w:hint="eastAsia" w:ascii="宋体" w:hAnsi="宋体" w:eastAsia="宋体" w:cs="宋体"/>
                <w:sz w:val="18"/>
                <w:szCs w:val="18"/>
              </w:rPr>
            </w:pPr>
            <w:r>
              <w:rPr>
                <w:rFonts w:hint="eastAsia" w:ascii="宋体" w:hAnsi="宋体" w:eastAsia="宋体" w:cs="宋体"/>
                <w:sz w:val="18"/>
                <w:szCs w:val="18"/>
              </w:rPr>
              <w:t>-</w:t>
            </w:r>
          </w:p>
        </w:tc>
        <w:tc>
          <w:tcPr>
            <w:tcW w:w="720" w:type="dxa"/>
            <w:tcBorders>
              <w:top w:val="nil"/>
              <w:left w:val="nil"/>
              <w:bottom w:val="single" w:color="auto" w:sz="4" w:space="0"/>
              <w:right w:val="single" w:color="auto" w:sz="4" w:space="0"/>
            </w:tcBorders>
            <w:vAlign w:val="center"/>
          </w:tcPr>
          <w:p w14:paraId="1C0F546E">
            <w:pPr>
              <w:jc w:val="center"/>
              <w:rPr>
                <w:rFonts w:hint="eastAsia" w:ascii="宋体" w:hAnsi="宋体" w:eastAsia="宋体" w:cs="宋体"/>
                <w:sz w:val="18"/>
                <w:szCs w:val="18"/>
              </w:rPr>
            </w:pPr>
            <w:r>
              <w:rPr>
                <w:rFonts w:hint="eastAsia" w:ascii="宋体" w:hAnsi="宋体" w:eastAsia="宋体" w:cs="宋体"/>
                <w:sz w:val="18"/>
                <w:szCs w:val="18"/>
              </w:rPr>
              <w:t>-</w:t>
            </w:r>
          </w:p>
        </w:tc>
      </w:tr>
      <w:tr w14:paraId="1D44F8DE">
        <w:tblPrEx>
          <w:tblCellMar>
            <w:top w:w="0" w:type="dxa"/>
            <w:left w:w="108" w:type="dxa"/>
            <w:bottom w:w="0" w:type="dxa"/>
            <w:right w:w="108" w:type="dxa"/>
          </w:tblCellMar>
        </w:tblPrEx>
        <w:trPr>
          <w:trHeight w:val="341"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29821429">
            <w:pPr>
              <w:jc w:val="center"/>
              <w:rPr>
                <w:rFonts w:hint="eastAsia" w:ascii="宋体" w:hAnsi="宋体" w:eastAsia="宋体" w:cs="宋体"/>
                <w:b/>
                <w:bCs/>
                <w:sz w:val="18"/>
                <w:szCs w:val="18"/>
              </w:rPr>
            </w:pPr>
            <w:r>
              <w:rPr>
                <w:rFonts w:hint="eastAsia" w:ascii="宋体" w:hAnsi="宋体" w:eastAsia="宋体" w:cs="宋体"/>
                <w:b/>
                <w:bCs/>
                <w:sz w:val="18"/>
                <w:szCs w:val="18"/>
              </w:rPr>
              <w:t>年度总体目标</w:t>
            </w:r>
          </w:p>
        </w:tc>
        <w:tc>
          <w:tcPr>
            <w:tcW w:w="4111" w:type="dxa"/>
            <w:gridSpan w:val="3"/>
            <w:tcBorders>
              <w:top w:val="single" w:color="auto" w:sz="4" w:space="0"/>
              <w:left w:val="nil"/>
              <w:bottom w:val="single" w:color="auto" w:sz="4" w:space="0"/>
              <w:right w:val="single" w:color="auto" w:sz="4" w:space="0"/>
            </w:tcBorders>
            <w:noWrap/>
            <w:vAlign w:val="center"/>
          </w:tcPr>
          <w:p w14:paraId="7E4C2AFA">
            <w:pPr>
              <w:jc w:val="center"/>
              <w:rPr>
                <w:rFonts w:hint="eastAsia" w:ascii="宋体" w:hAnsi="宋体" w:eastAsia="宋体" w:cs="宋体"/>
                <w:b/>
                <w:bCs/>
                <w:sz w:val="18"/>
                <w:szCs w:val="18"/>
              </w:rPr>
            </w:pPr>
            <w:r>
              <w:rPr>
                <w:rFonts w:hint="eastAsia" w:ascii="宋体" w:hAnsi="宋体" w:eastAsia="宋体" w:cs="宋体"/>
                <w:b/>
                <w:bCs/>
                <w:sz w:val="18"/>
                <w:szCs w:val="18"/>
              </w:rPr>
              <w:t>预期目标</w:t>
            </w:r>
          </w:p>
        </w:tc>
        <w:tc>
          <w:tcPr>
            <w:tcW w:w="4547" w:type="dxa"/>
            <w:gridSpan w:val="4"/>
            <w:tcBorders>
              <w:top w:val="single" w:color="auto" w:sz="4" w:space="0"/>
              <w:left w:val="nil"/>
              <w:bottom w:val="single" w:color="auto" w:sz="4" w:space="0"/>
              <w:right w:val="single" w:color="auto" w:sz="4" w:space="0"/>
            </w:tcBorders>
            <w:noWrap/>
            <w:vAlign w:val="center"/>
          </w:tcPr>
          <w:p w14:paraId="4B19C0F7">
            <w:pPr>
              <w:jc w:val="center"/>
              <w:rPr>
                <w:rFonts w:hint="eastAsia" w:ascii="宋体" w:hAnsi="宋体" w:eastAsia="宋体" w:cs="宋体"/>
                <w:b/>
                <w:bCs/>
                <w:sz w:val="18"/>
                <w:szCs w:val="18"/>
              </w:rPr>
            </w:pPr>
            <w:r>
              <w:rPr>
                <w:rFonts w:hint="eastAsia" w:ascii="宋体" w:hAnsi="宋体" w:eastAsia="宋体" w:cs="宋体"/>
                <w:b/>
                <w:bCs/>
                <w:sz w:val="18"/>
                <w:szCs w:val="18"/>
              </w:rPr>
              <w:t>实际完成情况</w:t>
            </w:r>
          </w:p>
        </w:tc>
      </w:tr>
      <w:tr w14:paraId="584462AE">
        <w:tblPrEx>
          <w:tblCellMar>
            <w:top w:w="0" w:type="dxa"/>
            <w:left w:w="108" w:type="dxa"/>
            <w:bottom w:w="0" w:type="dxa"/>
            <w:right w:w="108" w:type="dxa"/>
          </w:tblCellMar>
        </w:tblPrEx>
        <w:trPr>
          <w:trHeight w:val="70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7A0C2819">
            <w:pPr>
              <w:rPr>
                <w:rFonts w:hint="eastAsia" w:ascii="宋体" w:hAnsi="宋体" w:eastAsia="宋体" w:cs="宋体"/>
                <w:b/>
                <w:bCs/>
                <w:sz w:val="18"/>
                <w:szCs w:val="18"/>
              </w:rPr>
            </w:pPr>
          </w:p>
        </w:tc>
        <w:tc>
          <w:tcPr>
            <w:tcW w:w="4111" w:type="dxa"/>
            <w:gridSpan w:val="3"/>
            <w:tcBorders>
              <w:top w:val="single" w:color="auto" w:sz="4" w:space="0"/>
              <w:left w:val="nil"/>
              <w:bottom w:val="single" w:color="auto" w:sz="4" w:space="0"/>
              <w:right w:val="single" w:color="auto" w:sz="4" w:space="0"/>
            </w:tcBorders>
          </w:tcPr>
          <w:p w14:paraId="3F6B43EA">
            <w:pPr>
              <w:rPr>
                <w:rFonts w:hint="eastAsia" w:ascii="宋体" w:hAnsi="宋体" w:eastAsia="宋体" w:cs="宋体"/>
                <w:sz w:val="18"/>
                <w:szCs w:val="18"/>
              </w:rPr>
            </w:pPr>
            <w:r>
              <w:rPr>
                <w:rFonts w:hint="eastAsia" w:ascii="宋体" w:hAnsi="宋体" w:eastAsia="宋体" w:cs="宋体"/>
                <w:sz w:val="18"/>
                <w:szCs w:val="18"/>
                <w:lang w:eastAsia="zh-CN"/>
              </w:rPr>
              <w:t>区委直属机关工委主要职能：（一）统一组织、规划、部署区直机关党的工作，提出加强和改进机关党的建设的意见和建议，研究制定工作规划，并抓好组织实施；（二）指导督促区直机关党组织认真履行机关党建主体责任，指导区直机关党的政治建设、思想建设、组织建设、作风建设、纪律建设，把制度建设贯穿其中，深入推进反腐败斗争；（三）指导区直机关各级党组织和广大党员学习马克思列宁主义、毛泽东思想、邓小平理论、“三个代表”重要思想、科学发展观、习近平新时代中国特色社会主义思想；（四）对区直机关各级党组织、党员领导干部落实党建责任制、遵守政治纪律和政治规矩情况进行监督检查，并向区委报告；（五）指导区直机关各级党组织实施对党员特别是党员领导干部的监督和管理，及时向区委反映各部门领导班子、领导干部的情况；（六）配合有关部门抓好区直机关各部门领导班子思想政治建设，参与对党员领导干部民主生活会和党组织理论学习中心组学习的督促检查和指导，了解掌握情况，按规定报送报告，指导各基层党组织正常开展组织生活；（七）督促指导区直机关各部门机关党组织按期换届，审批关于召开党员大会或党员代表大会的请示，审批区直机关各部门机关党组织和机关纪委领导班子的组成及书记、副书记的任免；（八）指导各级党组织加强基层组织建设，做好党员发展、教育和管理等工作；（九）领导区直机关各部门机关党的纪律检查工作；（十）了解掌握区直机关工作人员的思想状况，指导区直机关各级党组织加强思想政治工作和精神文明建设，指导、协调、督促、检查各部门、单位开展机关文化建设工作；（十一）领导区直机关工会、共青团、妇工委等群团组织的工作，指导区直机关各级党组织做好党的群众工作；（十二）协同有关部门指导、规划、监督、检查区直机关干部教育培训工作，培训轮训区直机关、各党组织班子成员、党员、党务干部及党员发展对象；（十三）承办区委交办的其他事项。2024年米东区委直属机关党的建设工作的总体要求是：坚持以习近平新时代中国特色社会主义思想为指导，全面贯彻落实党的二十大精神，深入贯彻习近平总书记在中央和国家机关党的建设工作会议上的重要讲话精神，全面提高机关党的建设质量，深化“五个好”标准化规范化党支部建设，建设让党中央放心、让人民群众满意的模范机关，认真开展各项工作。1、坚持把学习宣传贯彻习近平新时代中国特色社会主义思想作为首要政治任务。严格落实“三会一课”、“党旗映天山”主题党日、组织生活会、民主评议党员等组织生活制度。督促党支部研究制定年度“党旗映天山”主题党日活动总体安排，确定每月主题，明确各级基层组织职责，每月开展1次主题党日活动，每年召开1次组织生活会，对党员进行1次民主评议，发挥理论学习中心组作用，结合“三会一课”、主题党日活动，开展“四微”活动，坚持把学习贯彻党的二十大精神，与贯彻落实习近平总书记视察新疆重要讲话重要指示精神结合起来。2、严格落实管党治党政治责任。认真执行《党委（党组）落实全面从严治党主体责任规定》，认真开展2024年度党组织书记抓基层党建述职评议工作，指导做好基层党组织书记述职评议工作。党员领导干部带头参加双重组织生活，带动党内政治生活严起来、实起来。督促党组（党委）结合单位实际制定议事规则议事清单，加大对议事规则的指导力度。3、加强培训力度，每年开展至少4次党支部书记、党务干部培训班。党务干部大比武活动，采取现场观摩、党务培训、干部交流分享经验、知识测试等多种形式，对党建基础知识、发展党员、“五个好”标准化规范化党支部创建工作、模范机关创建工作再次巩固，锻造党务干部“主力军”，练好真本领。</w:t>
            </w:r>
            <w:r>
              <w:rPr>
                <w:rFonts w:hint="eastAsia" w:ascii="宋体" w:hAnsi="宋体" w:eastAsia="宋体" w:cs="宋体"/>
                <w:sz w:val="18"/>
                <w:szCs w:val="18"/>
              </w:rPr>
              <w:t>实现“党员骨干化、骨干党员化”。</w:t>
            </w:r>
          </w:p>
        </w:tc>
        <w:tc>
          <w:tcPr>
            <w:tcW w:w="4547" w:type="dxa"/>
            <w:gridSpan w:val="4"/>
            <w:tcBorders>
              <w:top w:val="single" w:color="auto" w:sz="4" w:space="0"/>
              <w:left w:val="nil"/>
              <w:bottom w:val="single" w:color="auto" w:sz="4" w:space="0"/>
              <w:right w:val="single" w:color="auto" w:sz="4" w:space="0"/>
            </w:tcBorders>
          </w:tcPr>
          <w:p w14:paraId="1119332A">
            <w:pPr>
              <w:rPr>
                <w:rFonts w:hint="eastAsia" w:ascii="宋体" w:hAnsi="宋体" w:eastAsia="宋体" w:cs="宋体"/>
                <w:sz w:val="18"/>
                <w:szCs w:val="18"/>
                <w:lang w:eastAsia="zh-CN"/>
              </w:rPr>
            </w:pPr>
            <w:r>
              <w:rPr>
                <w:rFonts w:hint="eastAsia" w:ascii="宋体" w:hAnsi="宋体" w:eastAsia="宋体" w:cs="宋体"/>
                <w:sz w:val="18"/>
                <w:szCs w:val="18"/>
                <w:lang w:eastAsia="zh-CN"/>
              </w:rPr>
              <w:t>全年开展“党旗映天山”主题党日及各类活动6次；开展党组织书记和党务干部培训4次；开展党组织书记抓基层党建述职评议会1次，各项绩效目标完成率100%。</w:t>
            </w:r>
          </w:p>
        </w:tc>
      </w:tr>
      <w:tr w14:paraId="66FEC0F5">
        <w:tblPrEx>
          <w:tblCellMar>
            <w:top w:w="0" w:type="dxa"/>
            <w:left w:w="108" w:type="dxa"/>
            <w:bottom w:w="0" w:type="dxa"/>
            <w:right w:w="108" w:type="dxa"/>
          </w:tblCellMar>
        </w:tblPrEx>
        <w:trPr>
          <w:trHeight w:val="716" w:hRule="atLeast"/>
        </w:trPr>
        <w:tc>
          <w:tcPr>
            <w:tcW w:w="993" w:type="dxa"/>
            <w:tcBorders>
              <w:top w:val="single" w:color="auto" w:sz="4" w:space="0"/>
              <w:left w:val="single" w:color="auto" w:sz="4" w:space="0"/>
              <w:bottom w:val="single" w:color="auto" w:sz="4" w:space="0"/>
              <w:right w:val="single" w:color="auto" w:sz="4" w:space="0"/>
            </w:tcBorders>
            <w:vAlign w:val="center"/>
          </w:tcPr>
          <w:p w14:paraId="528AA518">
            <w:pPr>
              <w:jc w:val="center"/>
              <w:rPr>
                <w:rFonts w:hint="eastAsia" w:ascii="宋体" w:hAnsi="宋体" w:eastAsia="宋体" w:cs="宋体"/>
                <w:b/>
                <w:bCs/>
                <w:sz w:val="18"/>
                <w:szCs w:val="18"/>
              </w:rPr>
            </w:pPr>
            <w:r>
              <w:rPr>
                <w:rFonts w:hint="eastAsia" w:ascii="宋体" w:hAnsi="宋体" w:eastAsia="宋体" w:cs="宋体"/>
                <w:b/>
                <w:bCs/>
                <w:sz w:val="18"/>
                <w:szCs w:val="18"/>
              </w:rPr>
              <w:t>一级指标</w:t>
            </w:r>
          </w:p>
        </w:tc>
        <w:tc>
          <w:tcPr>
            <w:tcW w:w="1417" w:type="dxa"/>
            <w:tcBorders>
              <w:top w:val="nil"/>
              <w:left w:val="nil"/>
              <w:bottom w:val="single" w:color="auto" w:sz="4" w:space="0"/>
              <w:right w:val="single" w:color="auto" w:sz="4" w:space="0"/>
            </w:tcBorders>
            <w:vAlign w:val="center"/>
          </w:tcPr>
          <w:p w14:paraId="2BEC7B89">
            <w:pPr>
              <w:jc w:val="center"/>
              <w:rPr>
                <w:rFonts w:hint="eastAsia" w:ascii="宋体" w:hAnsi="宋体" w:eastAsia="宋体" w:cs="宋体"/>
                <w:b/>
                <w:bCs/>
                <w:sz w:val="18"/>
                <w:szCs w:val="18"/>
              </w:rPr>
            </w:pPr>
            <w:r>
              <w:rPr>
                <w:rFonts w:hint="eastAsia" w:ascii="宋体" w:hAnsi="宋体" w:eastAsia="宋体" w:cs="宋体"/>
                <w:b/>
                <w:bCs/>
                <w:sz w:val="18"/>
                <w:szCs w:val="18"/>
              </w:rPr>
              <w:t>二级指标</w:t>
            </w:r>
          </w:p>
        </w:tc>
        <w:tc>
          <w:tcPr>
            <w:tcW w:w="1418" w:type="dxa"/>
            <w:tcBorders>
              <w:top w:val="nil"/>
              <w:left w:val="nil"/>
              <w:bottom w:val="single" w:color="auto" w:sz="4" w:space="0"/>
              <w:right w:val="single" w:color="auto" w:sz="4" w:space="0"/>
            </w:tcBorders>
            <w:vAlign w:val="center"/>
          </w:tcPr>
          <w:p w14:paraId="2A4C0D3D">
            <w:pPr>
              <w:jc w:val="center"/>
              <w:rPr>
                <w:rFonts w:hint="eastAsia" w:ascii="宋体" w:hAnsi="宋体" w:eastAsia="宋体" w:cs="宋体"/>
                <w:b/>
                <w:bCs/>
                <w:sz w:val="18"/>
                <w:szCs w:val="18"/>
              </w:rPr>
            </w:pPr>
            <w:r>
              <w:rPr>
                <w:rFonts w:hint="eastAsia" w:ascii="宋体" w:hAnsi="宋体" w:eastAsia="宋体" w:cs="宋体"/>
                <w:b/>
                <w:bCs/>
                <w:sz w:val="18"/>
                <w:szCs w:val="18"/>
              </w:rPr>
              <w:t>三级指标</w:t>
            </w:r>
          </w:p>
        </w:tc>
        <w:tc>
          <w:tcPr>
            <w:tcW w:w="1276" w:type="dxa"/>
            <w:tcBorders>
              <w:top w:val="nil"/>
              <w:left w:val="nil"/>
              <w:bottom w:val="single" w:color="auto" w:sz="4" w:space="0"/>
              <w:right w:val="single" w:color="auto" w:sz="4" w:space="0"/>
            </w:tcBorders>
            <w:vAlign w:val="center"/>
          </w:tcPr>
          <w:p w14:paraId="42A4A82A">
            <w:pPr>
              <w:jc w:val="center"/>
              <w:rPr>
                <w:rFonts w:hint="eastAsia" w:ascii="宋体" w:hAnsi="宋体" w:eastAsia="宋体" w:cs="宋体"/>
                <w:b/>
                <w:bCs/>
                <w:sz w:val="18"/>
                <w:szCs w:val="18"/>
              </w:rPr>
            </w:pPr>
            <w:r>
              <w:rPr>
                <w:rFonts w:hint="eastAsia" w:ascii="宋体" w:hAnsi="宋体" w:eastAsia="宋体" w:cs="宋体"/>
                <w:b/>
                <w:bCs/>
                <w:sz w:val="18"/>
                <w:szCs w:val="18"/>
              </w:rPr>
              <w:t>预期指标值</w:t>
            </w:r>
          </w:p>
        </w:tc>
        <w:tc>
          <w:tcPr>
            <w:tcW w:w="1701" w:type="dxa"/>
            <w:tcBorders>
              <w:top w:val="nil"/>
              <w:left w:val="nil"/>
              <w:bottom w:val="single" w:color="auto" w:sz="4" w:space="0"/>
              <w:right w:val="single" w:color="auto" w:sz="4" w:space="0"/>
            </w:tcBorders>
            <w:vAlign w:val="center"/>
          </w:tcPr>
          <w:p w14:paraId="41D42647">
            <w:pPr>
              <w:jc w:val="center"/>
              <w:rPr>
                <w:rFonts w:hint="eastAsia" w:ascii="宋体" w:hAnsi="宋体" w:eastAsia="宋体" w:cs="宋体"/>
                <w:b/>
                <w:bCs/>
                <w:sz w:val="18"/>
                <w:szCs w:val="18"/>
              </w:rPr>
            </w:pPr>
            <w:r>
              <w:rPr>
                <w:rFonts w:hint="eastAsia" w:ascii="宋体" w:hAnsi="宋体" w:eastAsia="宋体" w:cs="宋体"/>
                <w:b/>
                <w:bCs/>
                <w:sz w:val="18"/>
                <w:szCs w:val="18"/>
              </w:rPr>
              <w:t>指标值设定依据</w:t>
            </w:r>
          </w:p>
        </w:tc>
        <w:tc>
          <w:tcPr>
            <w:tcW w:w="1134" w:type="dxa"/>
            <w:tcBorders>
              <w:top w:val="nil"/>
              <w:left w:val="nil"/>
              <w:bottom w:val="single" w:color="auto" w:sz="4" w:space="0"/>
              <w:right w:val="single" w:color="auto" w:sz="4" w:space="0"/>
            </w:tcBorders>
            <w:vAlign w:val="center"/>
          </w:tcPr>
          <w:p w14:paraId="02CD5587">
            <w:pPr>
              <w:jc w:val="center"/>
              <w:rPr>
                <w:rFonts w:hint="eastAsia" w:ascii="宋体" w:hAnsi="宋体" w:eastAsia="宋体" w:cs="宋体"/>
                <w:b/>
                <w:bCs/>
                <w:sz w:val="18"/>
                <w:szCs w:val="18"/>
              </w:rPr>
            </w:pPr>
            <w:r>
              <w:rPr>
                <w:rFonts w:hint="eastAsia" w:ascii="宋体" w:hAnsi="宋体" w:eastAsia="宋体" w:cs="宋体"/>
                <w:b/>
                <w:bCs/>
                <w:sz w:val="18"/>
                <w:szCs w:val="18"/>
              </w:rPr>
              <w:t>实际完成指标值</w:t>
            </w:r>
          </w:p>
        </w:tc>
        <w:tc>
          <w:tcPr>
            <w:tcW w:w="992" w:type="dxa"/>
            <w:tcBorders>
              <w:top w:val="nil"/>
              <w:left w:val="nil"/>
              <w:bottom w:val="single" w:color="auto" w:sz="4" w:space="0"/>
              <w:right w:val="single" w:color="auto" w:sz="4" w:space="0"/>
            </w:tcBorders>
            <w:vAlign w:val="center"/>
          </w:tcPr>
          <w:p w14:paraId="1A56C674">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720" w:type="dxa"/>
            <w:tcBorders>
              <w:top w:val="nil"/>
              <w:left w:val="nil"/>
              <w:bottom w:val="single" w:color="auto" w:sz="4" w:space="0"/>
              <w:right w:val="single" w:color="auto" w:sz="4" w:space="0"/>
            </w:tcBorders>
            <w:vAlign w:val="center"/>
          </w:tcPr>
          <w:p w14:paraId="0E0822A4">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r>
      <w:tr w14:paraId="06308F8F">
        <w:tblPrEx>
          <w:tblCellMar>
            <w:top w:w="0" w:type="dxa"/>
            <w:left w:w="108" w:type="dxa"/>
            <w:bottom w:w="0" w:type="dxa"/>
            <w:right w:w="108" w:type="dxa"/>
          </w:tblCellMar>
        </w:tblPrEx>
        <w:trPr>
          <w:trHeight w:val="740" w:hRule="atLeast"/>
        </w:trPr>
        <w:tc>
          <w:tcPr>
            <w:tcW w:w="993" w:type="dxa"/>
            <w:vMerge w:val="restart"/>
            <w:tcBorders>
              <w:top w:val="single" w:color="auto" w:sz="4" w:space="0"/>
              <w:left w:val="single" w:color="auto" w:sz="4" w:space="0"/>
              <w:right w:val="single" w:color="auto" w:sz="4" w:space="0"/>
            </w:tcBorders>
            <w:noWrap/>
            <w:vAlign w:val="center"/>
          </w:tcPr>
          <w:p w14:paraId="563D6E10">
            <w:pPr>
              <w:jc w:val="center"/>
              <w:rPr>
                <w:rFonts w:hint="eastAsia" w:ascii="宋体" w:hAnsi="宋体" w:eastAsia="宋体" w:cs="宋体"/>
                <w:sz w:val="18"/>
                <w:szCs w:val="18"/>
              </w:rPr>
            </w:pPr>
            <w:r>
              <w:rPr>
                <w:rFonts w:hint="eastAsia" w:ascii="宋体" w:hAnsi="宋体" w:eastAsia="宋体" w:cs="宋体"/>
                <w:sz w:val="18"/>
                <w:szCs w:val="18"/>
              </w:rPr>
              <w:t>履职效能</w:t>
            </w:r>
          </w:p>
        </w:tc>
        <w:tc>
          <w:tcPr>
            <w:tcW w:w="1417" w:type="dxa"/>
            <w:vMerge w:val="restart"/>
            <w:tcBorders>
              <w:top w:val="nil"/>
              <w:left w:val="nil"/>
              <w:right w:val="single" w:color="auto" w:sz="4" w:space="0"/>
            </w:tcBorders>
            <w:noWrap/>
            <w:vAlign w:val="center"/>
          </w:tcPr>
          <w:p w14:paraId="0DB44DB5">
            <w:pPr>
              <w:jc w:val="center"/>
              <w:rPr>
                <w:rFonts w:hint="eastAsia" w:ascii="宋体" w:hAnsi="宋体" w:eastAsia="宋体" w:cs="宋体"/>
                <w:sz w:val="18"/>
                <w:szCs w:val="18"/>
              </w:rPr>
            </w:pPr>
            <w:r>
              <w:rPr>
                <w:rFonts w:hint="eastAsia" w:ascii="宋体" w:hAnsi="宋体" w:eastAsia="宋体" w:cs="宋体"/>
                <w:sz w:val="18"/>
                <w:szCs w:val="18"/>
              </w:rPr>
              <w:t>数量指标</w:t>
            </w:r>
          </w:p>
        </w:tc>
        <w:tc>
          <w:tcPr>
            <w:tcW w:w="1418" w:type="dxa"/>
            <w:tcBorders>
              <w:top w:val="nil"/>
              <w:left w:val="nil"/>
              <w:bottom w:val="single" w:color="auto" w:sz="4" w:space="0"/>
              <w:right w:val="single" w:color="auto" w:sz="4" w:space="0"/>
            </w:tcBorders>
            <w:noWrap/>
            <w:vAlign w:val="center"/>
          </w:tcPr>
          <w:p w14:paraId="5915CFD3">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开展“党旗印天山”主题党日活动</w:t>
            </w:r>
          </w:p>
        </w:tc>
        <w:tc>
          <w:tcPr>
            <w:tcW w:w="1276" w:type="dxa"/>
            <w:tcBorders>
              <w:top w:val="nil"/>
              <w:left w:val="nil"/>
              <w:bottom w:val="single" w:color="auto" w:sz="4" w:space="0"/>
              <w:right w:val="single" w:color="auto" w:sz="4" w:space="0"/>
            </w:tcBorders>
            <w:noWrap/>
            <w:vAlign w:val="center"/>
          </w:tcPr>
          <w:p w14:paraId="34D2BEE6">
            <w:pPr>
              <w:jc w:val="center"/>
              <w:rPr>
                <w:rFonts w:hint="eastAsia" w:ascii="宋体" w:hAnsi="宋体" w:eastAsia="宋体" w:cs="宋体"/>
                <w:sz w:val="18"/>
                <w:szCs w:val="18"/>
              </w:rPr>
            </w:pPr>
            <w:r>
              <w:rPr>
                <w:rFonts w:hint="eastAsia" w:ascii="宋体" w:hAnsi="宋体" w:eastAsia="宋体" w:cs="宋体"/>
                <w:sz w:val="18"/>
                <w:szCs w:val="18"/>
              </w:rPr>
              <w:t>&gt;=6次</w:t>
            </w:r>
          </w:p>
        </w:tc>
        <w:tc>
          <w:tcPr>
            <w:tcW w:w="1701" w:type="dxa"/>
            <w:tcBorders>
              <w:top w:val="nil"/>
              <w:left w:val="nil"/>
              <w:bottom w:val="single" w:color="auto" w:sz="4" w:space="0"/>
              <w:right w:val="single" w:color="auto" w:sz="4" w:space="0"/>
            </w:tcBorders>
            <w:noWrap/>
            <w:vAlign w:val="center"/>
          </w:tcPr>
          <w:p w14:paraId="13F250F4">
            <w:pPr>
              <w:rPr>
                <w:rFonts w:hint="eastAsia" w:ascii="宋体" w:hAnsi="宋体" w:eastAsia="宋体" w:cs="宋体"/>
                <w:sz w:val="18"/>
                <w:szCs w:val="18"/>
              </w:rPr>
            </w:pPr>
            <w:r>
              <w:rPr>
                <w:rFonts w:hint="eastAsia" w:ascii="宋体" w:hAnsi="宋体" w:eastAsia="宋体" w:cs="宋体"/>
                <w:sz w:val="18"/>
                <w:szCs w:val="18"/>
              </w:rPr>
              <w:t>机关工委2024年重点工作</w:t>
            </w:r>
          </w:p>
        </w:tc>
        <w:tc>
          <w:tcPr>
            <w:tcW w:w="1134" w:type="dxa"/>
            <w:tcBorders>
              <w:top w:val="nil"/>
              <w:left w:val="nil"/>
              <w:bottom w:val="single" w:color="auto" w:sz="4" w:space="0"/>
              <w:right w:val="single" w:color="auto" w:sz="4" w:space="0"/>
            </w:tcBorders>
            <w:noWrap/>
            <w:vAlign w:val="center"/>
          </w:tcPr>
          <w:p w14:paraId="52185A7C">
            <w:pPr>
              <w:jc w:val="center"/>
              <w:rPr>
                <w:rFonts w:hint="eastAsia" w:ascii="宋体" w:hAnsi="宋体" w:eastAsia="宋体" w:cs="宋体"/>
                <w:sz w:val="18"/>
                <w:szCs w:val="18"/>
              </w:rPr>
            </w:pPr>
            <w:r>
              <w:rPr>
                <w:rFonts w:hint="eastAsia" w:ascii="宋体" w:hAnsi="宋体" w:eastAsia="宋体" w:cs="宋体"/>
                <w:sz w:val="18"/>
                <w:szCs w:val="18"/>
              </w:rPr>
              <w:t>6次</w:t>
            </w:r>
          </w:p>
        </w:tc>
        <w:tc>
          <w:tcPr>
            <w:tcW w:w="992" w:type="dxa"/>
            <w:tcBorders>
              <w:top w:val="nil"/>
              <w:left w:val="nil"/>
              <w:bottom w:val="single" w:color="auto" w:sz="4" w:space="0"/>
              <w:right w:val="single" w:color="auto" w:sz="4" w:space="0"/>
            </w:tcBorders>
            <w:noWrap/>
            <w:vAlign w:val="center"/>
          </w:tcPr>
          <w:p w14:paraId="0B542995">
            <w:pPr>
              <w:jc w:val="center"/>
              <w:rPr>
                <w:rFonts w:hint="eastAsia" w:ascii="宋体" w:hAnsi="宋体" w:eastAsia="宋体" w:cs="宋体"/>
                <w:sz w:val="18"/>
                <w:szCs w:val="18"/>
              </w:rPr>
            </w:pPr>
            <w:r>
              <w:rPr>
                <w:rFonts w:hint="eastAsia" w:ascii="宋体" w:hAnsi="宋体" w:eastAsia="宋体" w:cs="宋体"/>
                <w:sz w:val="18"/>
                <w:szCs w:val="18"/>
              </w:rPr>
              <w:t>30</w:t>
            </w:r>
          </w:p>
        </w:tc>
        <w:tc>
          <w:tcPr>
            <w:tcW w:w="720" w:type="dxa"/>
            <w:tcBorders>
              <w:top w:val="nil"/>
              <w:left w:val="nil"/>
              <w:bottom w:val="single" w:color="auto" w:sz="4" w:space="0"/>
              <w:right w:val="single" w:color="auto" w:sz="4" w:space="0"/>
            </w:tcBorders>
            <w:noWrap/>
            <w:vAlign w:val="center"/>
          </w:tcPr>
          <w:p w14:paraId="36CBE723">
            <w:pPr>
              <w:jc w:val="center"/>
              <w:rPr>
                <w:rFonts w:hint="eastAsia" w:ascii="宋体" w:hAnsi="宋体" w:eastAsia="宋体" w:cs="宋体"/>
                <w:sz w:val="18"/>
                <w:szCs w:val="18"/>
              </w:rPr>
            </w:pPr>
            <w:r>
              <w:rPr>
                <w:rFonts w:hint="eastAsia" w:ascii="宋体" w:hAnsi="宋体" w:eastAsia="宋体" w:cs="宋体"/>
                <w:sz w:val="18"/>
                <w:szCs w:val="18"/>
              </w:rPr>
              <w:t>30</w:t>
            </w:r>
          </w:p>
        </w:tc>
      </w:tr>
      <w:tr w14:paraId="4F83FC37">
        <w:tblPrEx>
          <w:tblCellMar>
            <w:top w:w="0" w:type="dxa"/>
            <w:left w:w="108" w:type="dxa"/>
            <w:bottom w:w="0" w:type="dxa"/>
            <w:right w:w="108" w:type="dxa"/>
          </w:tblCellMar>
        </w:tblPrEx>
        <w:trPr>
          <w:trHeight w:val="740" w:hRule="atLeast"/>
        </w:trPr>
        <w:tc>
          <w:tcPr>
            <w:tcW w:w="993" w:type="dxa"/>
            <w:vMerge w:val="continue"/>
            <w:tcBorders>
              <w:left w:val="single" w:color="auto" w:sz="4" w:space="0"/>
              <w:right w:val="single" w:color="auto" w:sz="4" w:space="0"/>
            </w:tcBorders>
            <w:noWrap/>
            <w:vAlign w:val="center"/>
          </w:tcPr>
          <w:p w14:paraId="100013D4">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6E056C4D">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6118C054">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开展党组织书记和党务干部培训</w:t>
            </w:r>
          </w:p>
        </w:tc>
        <w:tc>
          <w:tcPr>
            <w:tcW w:w="1276" w:type="dxa"/>
            <w:tcBorders>
              <w:top w:val="nil"/>
              <w:left w:val="nil"/>
              <w:bottom w:val="single" w:color="auto" w:sz="4" w:space="0"/>
              <w:right w:val="single" w:color="auto" w:sz="4" w:space="0"/>
            </w:tcBorders>
            <w:noWrap/>
            <w:vAlign w:val="center"/>
          </w:tcPr>
          <w:p w14:paraId="0D97482F">
            <w:pPr>
              <w:jc w:val="center"/>
              <w:rPr>
                <w:rFonts w:hint="eastAsia" w:ascii="宋体" w:hAnsi="宋体" w:eastAsia="宋体" w:cs="宋体"/>
                <w:sz w:val="18"/>
                <w:szCs w:val="18"/>
              </w:rPr>
            </w:pPr>
            <w:r>
              <w:rPr>
                <w:rFonts w:hint="eastAsia" w:ascii="宋体" w:hAnsi="宋体" w:eastAsia="宋体" w:cs="宋体"/>
                <w:sz w:val="18"/>
                <w:szCs w:val="18"/>
              </w:rPr>
              <w:t>&gt;=4次</w:t>
            </w:r>
          </w:p>
        </w:tc>
        <w:tc>
          <w:tcPr>
            <w:tcW w:w="1701" w:type="dxa"/>
            <w:tcBorders>
              <w:top w:val="nil"/>
              <w:left w:val="nil"/>
              <w:bottom w:val="single" w:color="auto" w:sz="4" w:space="0"/>
              <w:right w:val="single" w:color="auto" w:sz="4" w:space="0"/>
            </w:tcBorders>
            <w:noWrap/>
            <w:vAlign w:val="center"/>
          </w:tcPr>
          <w:p w14:paraId="7FB8FB9A">
            <w:pPr>
              <w:rPr>
                <w:rFonts w:hint="eastAsia" w:ascii="宋体" w:hAnsi="宋体" w:eastAsia="宋体" w:cs="宋体"/>
                <w:sz w:val="18"/>
                <w:szCs w:val="18"/>
              </w:rPr>
            </w:pPr>
            <w:r>
              <w:rPr>
                <w:rFonts w:hint="eastAsia" w:ascii="宋体" w:hAnsi="宋体" w:eastAsia="宋体" w:cs="宋体"/>
                <w:sz w:val="18"/>
                <w:szCs w:val="18"/>
              </w:rPr>
              <w:t>机关工委2024年重点工作</w:t>
            </w:r>
          </w:p>
        </w:tc>
        <w:tc>
          <w:tcPr>
            <w:tcW w:w="1134" w:type="dxa"/>
            <w:tcBorders>
              <w:top w:val="nil"/>
              <w:left w:val="nil"/>
              <w:bottom w:val="single" w:color="auto" w:sz="4" w:space="0"/>
              <w:right w:val="single" w:color="auto" w:sz="4" w:space="0"/>
            </w:tcBorders>
            <w:noWrap/>
            <w:vAlign w:val="center"/>
          </w:tcPr>
          <w:p w14:paraId="76993C8D">
            <w:pPr>
              <w:jc w:val="center"/>
              <w:rPr>
                <w:rFonts w:hint="eastAsia" w:ascii="宋体" w:hAnsi="宋体" w:eastAsia="宋体" w:cs="宋体"/>
                <w:sz w:val="18"/>
                <w:szCs w:val="18"/>
              </w:rPr>
            </w:pPr>
            <w:r>
              <w:rPr>
                <w:rFonts w:hint="eastAsia" w:ascii="宋体" w:hAnsi="宋体" w:eastAsia="宋体" w:cs="宋体"/>
                <w:sz w:val="18"/>
                <w:szCs w:val="18"/>
              </w:rPr>
              <w:t>4次</w:t>
            </w:r>
          </w:p>
        </w:tc>
        <w:tc>
          <w:tcPr>
            <w:tcW w:w="992" w:type="dxa"/>
            <w:tcBorders>
              <w:top w:val="nil"/>
              <w:left w:val="nil"/>
              <w:bottom w:val="single" w:color="auto" w:sz="4" w:space="0"/>
              <w:right w:val="single" w:color="auto" w:sz="4" w:space="0"/>
            </w:tcBorders>
            <w:noWrap/>
            <w:vAlign w:val="center"/>
          </w:tcPr>
          <w:p w14:paraId="6FB4E5EE">
            <w:pPr>
              <w:jc w:val="center"/>
              <w:rPr>
                <w:rFonts w:hint="eastAsia" w:ascii="宋体" w:hAnsi="宋体" w:eastAsia="宋体" w:cs="宋体"/>
                <w:sz w:val="18"/>
                <w:szCs w:val="18"/>
              </w:rPr>
            </w:pPr>
            <w:r>
              <w:rPr>
                <w:rFonts w:hint="eastAsia" w:ascii="宋体" w:hAnsi="宋体" w:eastAsia="宋体" w:cs="宋体"/>
                <w:sz w:val="18"/>
                <w:szCs w:val="18"/>
              </w:rPr>
              <w:t>30</w:t>
            </w:r>
          </w:p>
        </w:tc>
        <w:tc>
          <w:tcPr>
            <w:tcW w:w="720" w:type="dxa"/>
            <w:tcBorders>
              <w:top w:val="nil"/>
              <w:left w:val="nil"/>
              <w:bottom w:val="single" w:color="auto" w:sz="4" w:space="0"/>
              <w:right w:val="single" w:color="auto" w:sz="4" w:space="0"/>
            </w:tcBorders>
            <w:noWrap/>
            <w:vAlign w:val="center"/>
          </w:tcPr>
          <w:p w14:paraId="09E5CD48">
            <w:pPr>
              <w:jc w:val="center"/>
              <w:rPr>
                <w:rFonts w:hint="eastAsia" w:ascii="宋体" w:hAnsi="宋体" w:eastAsia="宋体" w:cs="宋体"/>
                <w:sz w:val="18"/>
                <w:szCs w:val="18"/>
              </w:rPr>
            </w:pPr>
            <w:r>
              <w:rPr>
                <w:rFonts w:hint="eastAsia" w:ascii="宋体" w:hAnsi="宋体" w:eastAsia="宋体" w:cs="宋体"/>
                <w:sz w:val="18"/>
                <w:szCs w:val="18"/>
              </w:rPr>
              <w:t>30</w:t>
            </w:r>
          </w:p>
        </w:tc>
      </w:tr>
      <w:tr w14:paraId="2F1F9FE9">
        <w:tblPrEx>
          <w:tblCellMar>
            <w:top w:w="0" w:type="dxa"/>
            <w:left w:w="108" w:type="dxa"/>
            <w:bottom w:w="0" w:type="dxa"/>
            <w:right w:w="108" w:type="dxa"/>
          </w:tblCellMar>
        </w:tblPrEx>
        <w:trPr>
          <w:trHeight w:val="740" w:hRule="atLeast"/>
        </w:trPr>
        <w:tc>
          <w:tcPr>
            <w:tcW w:w="993" w:type="dxa"/>
            <w:vMerge w:val="continue"/>
            <w:tcBorders>
              <w:left w:val="single" w:color="auto" w:sz="4" w:space="0"/>
              <w:bottom w:val="single" w:color="auto" w:sz="4" w:space="0"/>
              <w:right w:val="single" w:color="auto" w:sz="4" w:space="0"/>
            </w:tcBorders>
            <w:noWrap/>
            <w:vAlign w:val="center"/>
          </w:tcPr>
          <w:p w14:paraId="156F98E2">
            <w:pPr>
              <w:jc w:val="center"/>
              <w:rPr>
                <w:rFonts w:hint="eastAsia" w:ascii="宋体" w:hAnsi="宋体" w:eastAsia="宋体" w:cs="宋体"/>
                <w:sz w:val="18"/>
                <w:szCs w:val="18"/>
              </w:rPr>
            </w:pPr>
          </w:p>
        </w:tc>
        <w:tc>
          <w:tcPr>
            <w:tcW w:w="1417" w:type="dxa"/>
            <w:vMerge w:val="continue"/>
            <w:tcBorders>
              <w:left w:val="nil"/>
              <w:bottom w:val="single" w:color="auto" w:sz="4" w:space="0"/>
              <w:right w:val="single" w:color="auto" w:sz="4" w:space="0"/>
            </w:tcBorders>
            <w:noWrap/>
            <w:vAlign w:val="center"/>
          </w:tcPr>
          <w:p w14:paraId="7548D3D7">
            <w:pPr>
              <w:jc w:val="center"/>
              <w:rPr>
                <w:rFonts w:hint="eastAsia" w:ascii="宋体" w:hAnsi="宋体" w:eastAsia="宋体" w:cs="宋体"/>
                <w:sz w:val="18"/>
                <w:szCs w:val="18"/>
              </w:rPr>
            </w:pPr>
          </w:p>
        </w:tc>
        <w:tc>
          <w:tcPr>
            <w:tcW w:w="1418" w:type="dxa"/>
            <w:tcBorders>
              <w:top w:val="single" w:color="auto" w:sz="4" w:space="0"/>
              <w:left w:val="nil"/>
              <w:bottom w:val="single" w:color="auto" w:sz="4" w:space="0"/>
              <w:right w:val="single" w:color="auto" w:sz="4" w:space="0"/>
            </w:tcBorders>
            <w:noWrap/>
            <w:vAlign w:val="center"/>
          </w:tcPr>
          <w:p w14:paraId="05F3D2B9">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开展党组织书记抓基层党建述职评议会</w:t>
            </w:r>
          </w:p>
        </w:tc>
        <w:tc>
          <w:tcPr>
            <w:tcW w:w="1276" w:type="dxa"/>
            <w:tcBorders>
              <w:top w:val="single" w:color="auto" w:sz="4" w:space="0"/>
              <w:left w:val="nil"/>
              <w:bottom w:val="single" w:color="auto" w:sz="4" w:space="0"/>
              <w:right w:val="single" w:color="auto" w:sz="4" w:space="0"/>
            </w:tcBorders>
            <w:noWrap/>
            <w:vAlign w:val="center"/>
          </w:tcPr>
          <w:p w14:paraId="75E7C12B">
            <w:pPr>
              <w:jc w:val="center"/>
              <w:rPr>
                <w:rFonts w:hint="eastAsia" w:ascii="宋体" w:hAnsi="宋体" w:eastAsia="宋体" w:cs="宋体"/>
                <w:sz w:val="18"/>
                <w:szCs w:val="18"/>
              </w:rPr>
            </w:pPr>
            <w:r>
              <w:rPr>
                <w:rFonts w:hint="eastAsia" w:ascii="宋体" w:hAnsi="宋体" w:eastAsia="宋体" w:cs="宋体"/>
                <w:sz w:val="18"/>
                <w:szCs w:val="18"/>
              </w:rPr>
              <w:t>&gt;=1次</w:t>
            </w:r>
          </w:p>
        </w:tc>
        <w:tc>
          <w:tcPr>
            <w:tcW w:w="1701" w:type="dxa"/>
            <w:tcBorders>
              <w:top w:val="single" w:color="auto" w:sz="4" w:space="0"/>
              <w:left w:val="nil"/>
              <w:bottom w:val="single" w:color="auto" w:sz="4" w:space="0"/>
              <w:right w:val="single" w:color="auto" w:sz="4" w:space="0"/>
            </w:tcBorders>
            <w:noWrap/>
            <w:vAlign w:val="center"/>
          </w:tcPr>
          <w:p w14:paraId="56EA9724">
            <w:pPr>
              <w:rPr>
                <w:rFonts w:hint="eastAsia" w:ascii="宋体" w:hAnsi="宋体" w:eastAsia="宋体" w:cs="宋体"/>
                <w:sz w:val="18"/>
                <w:szCs w:val="18"/>
              </w:rPr>
            </w:pPr>
            <w:r>
              <w:rPr>
                <w:rFonts w:hint="eastAsia" w:ascii="宋体" w:hAnsi="宋体" w:eastAsia="宋体" w:cs="宋体"/>
                <w:sz w:val="18"/>
                <w:szCs w:val="18"/>
              </w:rPr>
              <w:t>机关工委2024年重点工作</w:t>
            </w:r>
          </w:p>
        </w:tc>
        <w:tc>
          <w:tcPr>
            <w:tcW w:w="1134" w:type="dxa"/>
            <w:tcBorders>
              <w:top w:val="single" w:color="auto" w:sz="4" w:space="0"/>
              <w:left w:val="nil"/>
              <w:bottom w:val="single" w:color="auto" w:sz="4" w:space="0"/>
              <w:right w:val="single" w:color="auto" w:sz="4" w:space="0"/>
            </w:tcBorders>
            <w:noWrap/>
            <w:vAlign w:val="center"/>
          </w:tcPr>
          <w:p w14:paraId="00B51820">
            <w:pPr>
              <w:jc w:val="center"/>
              <w:rPr>
                <w:rFonts w:hint="eastAsia" w:ascii="宋体" w:hAnsi="宋体" w:eastAsia="宋体" w:cs="宋体"/>
                <w:sz w:val="18"/>
                <w:szCs w:val="18"/>
              </w:rPr>
            </w:pPr>
            <w:r>
              <w:rPr>
                <w:rFonts w:hint="eastAsia" w:ascii="宋体" w:hAnsi="宋体" w:eastAsia="宋体" w:cs="宋体"/>
                <w:sz w:val="18"/>
                <w:szCs w:val="18"/>
              </w:rPr>
              <w:t>1次</w:t>
            </w:r>
          </w:p>
        </w:tc>
        <w:tc>
          <w:tcPr>
            <w:tcW w:w="992" w:type="dxa"/>
            <w:tcBorders>
              <w:top w:val="single" w:color="auto" w:sz="4" w:space="0"/>
              <w:left w:val="nil"/>
              <w:bottom w:val="single" w:color="auto" w:sz="4" w:space="0"/>
              <w:right w:val="single" w:color="auto" w:sz="4" w:space="0"/>
            </w:tcBorders>
            <w:noWrap/>
            <w:vAlign w:val="center"/>
          </w:tcPr>
          <w:p w14:paraId="3E6B2126">
            <w:pPr>
              <w:jc w:val="center"/>
              <w:rPr>
                <w:rFonts w:hint="eastAsia" w:ascii="宋体" w:hAnsi="宋体" w:eastAsia="宋体" w:cs="宋体"/>
                <w:sz w:val="18"/>
                <w:szCs w:val="18"/>
              </w:rPr>
            </w:pPr>
            <w:r>
              <w:rPr>
                <w:rFonts w:hint="eastAsia" w:ascii="宋体" w:hAnsi="宋体" w:eastAsia="宋体" w:cs="宋体"/>
                <w:sz w:val="18"/>
                <w:szCs w:val="18"/>
              </w:rPr>
              <w:t>30</w:t>
            </w:r>
          </w:p>
        </w:tc>
        <w:tc>
          <w:tcPr>
            <w:tcW w:w="720" w:type="dxa"/>
            <w:tcBorders>
              <w:top w:val="single" w:color="auto" w:sz="4" w:space="0"/>
              <w:left w:val="nil"/>
              <w:bottom w:val="single" w:color="auto" w:sz="4" w:space="0"/>
              <w:right w:val="single" w:color="auto" w:sz="4" w:space="0"/>
            </w:tcBorders>
            <w:noWrap/>
            <w:vAlign w:val="center"/>
          </w:tcPr>
          <w:p w14:paraId="2EE37803">
            <w:pPr>
              <w:jc w:val="center"/>
              <w:rPr>
                <w:rFonts w:hint="eastAsia" w:ascii="宋体" w:hAnsi="宋体" w:eastAsia="宋体" w:cs="宋体"/>
                <w:sz w:val="18"/>
                <w:szCs w:val="18"/>
              </w:rPr>
            </w:pPr>
            <w:r>
              <w:rPr>
                <w:rFonts w:hint="eastAsia" w:ascii="宋体" w:hAnsi="宋体" w:eastAsia="宋体" w:cs="宋体"/>
                <w:sz w:val="18"/>
                <w:szCs w:val="18"/>
              </w:rPr>
              <w:t>30</w:t>
            </w:r>
          </w:p>
        </w:tc>
      </w:tr>
      <w:tr w14:paraId="7DA1046C">
        <w:tblPrEx>
          <w:tblCellMar>
            <w:top w:w="0" w:type="dxa"/>
            <w:left w:w="108" w:type="dxa"/>
            <w:bottom w:w="0" w:type="dxa"/>
            <w:right w:w="108" w:type="dxa"/>
          </w:tblCellMar>
        </w:tblPrEx>
        <w:trPr>
          <w:trHeight w:val="740" w:hRule="atLeast"/>
        </w:trPr>
        <w:tc>
          <w:tcPr>
            <w:tcW w:w="7939" w:type="dxa"/>
            <w:gridSpan w:val="6"/>
            <w:tcBorders>
              <w:top w:val="single" w:color="auto" w:sz="4" w:space="0"/>
              <w:left w:val="single" w:color="auto" w:sz="4" w:space="0"/>
              <w:bottom w:val="single" w:color="auto" w:sz="4" w:space="0"/>
              <w:right w:val="single" w:color="auto" w:sz="4" w:space="0"/>
            </w:tcBorders>
            <w:noWrap/>
            <w:vAlign w:val="center"/>
          </w:tcPr>
          <w:p w14:paraId="6B468B14">
            <w:pPr>
              <w:jc w:val="center"/>
              <w:rPr>
                <w:rFonts w:hint="eastAsia" w:ascii="宋体" w:hAnsi="宋体" w:eastAsia="宋体" w:cs="宋体"/>
                <w:sz w:val="18"/>
                <w:szCs w:val="18"/>
              </w:rPr>
            </w:pPr>
            <w:r>
              <w:rPr>
                <w:rFonts w:hint="eastAsia" w:ascii="宋体" w:hAnsi="宋体" w:eastAsia="宋体" w:cs="宋体"/>
                <w:sz w:val="18"/>
                <w:szCs w:val="18"/>
              </w:rPr>
              <w:t>总分</w:t>
            </w:r>
          </w:p>
        </w:tc>
        <w:tc>
          <w:tcPr>
            <w:tcW w:w="992" w:type="dxa"/>
            <w:tcBorders>
              <w:top w:val="single" w:color="auto" w:sz="4" w:space="0"/>
              <w:left w:val="nil"/>
              <w:bottom w:val="single" w:color="auto" w:sz="4" w:space="0"/>
              <w:right w:val="single" w:color="auto" w:sz="4" w:space="0"/>
            </w:tcBorders>
            <w:noWrap/>
            <w:vAlign w:val="center"/>
          </w:tcPr>
          <w:p w14:paraId="0C526B84">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720" w:type="dxa"/>
            <w:tcBorders>
              <w:top w:val="single" w:color="auto" w:sz="4" w:space="0"/>
              <w:left w:val="nil"/>
              <w:bottom w:val="single" w:color="auto" w:sz="4" w:space="0"/>
              <w:right w:val="single" w:color="auto" w:sz="4" w:space="0"/>
            </w:tcBorders>
            <w:noWrap/>
            <w:vAlign w:val="center"/>
          </w:tcPr>
          <w:p w14:paraId="50F35422">
            <w:pPr>
              <w:jc w:val="center"/>
              <w:rPr>
                <w:rFonts w:hint="eastAsia" w:ascii="宋体" w:hAnsi="宋体" w:eastAsia="宋体" w:cs="宋体"/>
                <w:sz w:val="18"/>
                <w:szCs w:val="18"/>
              </w:rPr>
            </w:pPr>
            <w:r>
              <w:rPr>
                <w:rFonts w:hint="eastAsia" w:ascii="宋体" w:hAnsi="宋体" w:eastAsia="宋体" w:cs="宋体"/>
                <w:sz w:val="18"/>
                <w:szCs w:val="18"/>
              </w:rPr>
              <w:t>99.95</w:t>
            </w:r>
          </w:p>
        </w:tc>
      </w:tr>
      <w:bookmarkEnd w:id="10"/>
    </w:tbl>
    <w:p w14:paraId="3B084474">
      <w:pPr>
        <w:rPr>
          <w:rFonts w:hint="eastAsia" w:ascii="宋体" w:hAnsi="宋体" w:eastAsia="宋体" w:cs="宋体"/>
          <w:b/>
          <w:bCs/>
          <w:sz w:val="18"/>
          <w:szCs w:val="18"/>
          <w:lang w:eastAsia="zh-CN"/>
        </w:rPr>
      </w:pPr>
    </w:p>
    <w:p w14:paraId="3B83C80F">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十二、其他需说明的事项</w:t>
      </w:r>
    </w:p>
    <w:p w14:paraId="6A19892C">
      <w:pPr>
        <w:spacing w:after="0" w:line="240" w:lineRule="auto"/>
        <w:ind w:firstLine="640" w:firstLineChars="200"/>
        <w:jc w:val="both"/>
        <w:rPr>
          <w:rFonts w:hint="eastAsia" w:ascii="仿宋_GB2312" w:eastAsia="仿宋_GB2312"/>
          <w:sz w:val="32"/>
          <w:szCs w:val="32"/>
          <w:lang w:eastAsia="zh-CN"/>
        </w:rPr>
      </w:pPr>
      <w:bookmarkStart w:id="11" w:name="_Hlk207053964"/>
      <w:r>
        <w:rPr>
          <w:rFonts w:hint="eastAsia" w:ascii="仿宋_GB2312" w:eastAsia="仿宋_GB2312"/>
          <w:sz w:val="32"/>
          <w:szCs w:val="32"/>
          <w:lang w:eastAsia="zh-CN"/>
        </w:rPr>
        <w:t>我单位2024年度无政府采购支出，授予中小企业合同金额0.00万元</w:t>
      </w:r>
      <w:bookmarkEnd w:id="11"/>
      <w:r>
        <w:rPr>
          <w:rFonts w:ascii="仿宋_GB2312" w:eastAsia="仿宋_GB2312"/>
          <w:sz w:val="32"/>
          <w:szCs w:val="32"/>
          <w:lang w:eastAsia="zh-CN"/>
        </w:rPr>
        <w:t>。</w:t>
      </w:r>
    </w:p>
    <w:p w14:paraId="70B05D09">
      <w:pPr>
        <w:rPr>
          <w:rFonts w:hint="eastAsia"/>
          <w:lang w:eastAsia="zh-CN"/>
        </w:rPr>
      </w:pPr>
      <w:r>
        <w:rPr>
          <w:sz w:val="0"/>
          <w:szCs w:val="0"/>
          <w:lang w:eastAsia="zh-CN"/>
        </w:rPr>
        <w:br w:type="page"/>
      </w:r>
    </w:p>
    <w:p w14:paraId="38EE0C5E">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第三部分 专业名词解释</w:t>
      </w:r>
    </w:p>
    <w:p w14:paraId="1F5D53C8">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5A63ED21">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468D0426">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2AE4F4A2">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2C89A1A0">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370A487F">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14:paraId="208C1405">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38E8BC2A">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3876183">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0BB4B8A8">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2F1CC53F">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7DC7CEE9">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7559B65B">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DB5A8B0">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0D152382">
      <w:pPr>
        <w:rPr>
          <w:rFonts w:hint="eastAsia"/>
          <w:lang w:eastAsia="zh-CN"/>
        </w:rPr>
      </w:pPr>
      <w:r>
        <w:rPr>
          <w:sz w:val="0"/>
          <w:szCs w:val="0"/>
          <w:lang w:eastAsia="zh-CN"/>
        </w:rPr>
        <w:br w:type="page"/>
      </w:r>
    </w:p>
    <w:p w14:paraId="7EFFF535">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第四部分 部门决算报表（见附表）</w:t>
      </w:r>
    </w:p>
    <w:p w14:paraId="3C6F014B">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09916AA6">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二、《收入决算表》</w:t>
      </w:r>
    </w:p>
    <w:p w14:paraId="2AB511F6">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三、《支出决算表》</w:t>
      </w:r>
    </w:p>
    <w:p w14:paraId="7F7ED1EC">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3F48367B">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505EEE51">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64E966E6">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691D7EB6">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2B93014E">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A72E3B"/>
    <w:multiLevelType w:val="multilevel"/>
    <w:tmpl w:val="25A72E3B"/>
    <w:lvl w:ilvl="0" w:tentative="0">
      <w:start w:val="1"/>
      <w:numFmt w:val="decimal"/>
      <w:lvlText w:val="%1."/>
      <w:lvlJc w:val="left"/>
      <w:pPr>
        <w:ind w:left="1080" w:hanging="440"/>
      </w:pPr>
    </w:lvl>
    <w:lvl w:ilvl="1" w:tentative="0">
      <w:start w:val="1"/>
      <w:numFmt w:val="lowerLetter"/>
      <w:lvlText w:val="%2)"/>
      <w:lvlJc w:val="left"/>
      <w:pPr>
        <w:ind w:left="1520" w:hanging="440"/>
      </w:pPr>
    </w:lvl>
    <w:lvl w:ilvl="2" w:tentative="0">
      <w:start w:val="1"/>
      <w:numFmt w:val="lowerRoman"/>
      <w:lvlText w:val="%3."/>
      <w:lvlJc w:val="right"/>
      <w:pPr>
        <w:ind w:left="1960" w:hanging="440"/>
      </w:pPr>
    </w:lvl>
    <w:lvl w:ilvl="3" w:tentative="0">
      <w:start w:val="1"/>
      <w:numFmt w:val="decimal"/>
      <w:lvlText w:val="%4."/>
      <w:lvlJc w:val="left"/>
      <w:pPr>
        <w:ind w:left="2400" w:hanging="440"/>
      </w:pPr>
    </w:lvl>
    <w:lvl w:ilvl="4" w:tentative="0">
      <w:start w:val="1"/>
      <w:numFmt w:val="lowerLetter"/>
      <w:lvlText w:val="%5)"/>
      <w:lvlJc w:val="left"/>
      <w:pPr>
        <w:ind w:left="2840" w:hanging="440"/>
      </w:pPr>
    </w:lvl>
    <w:lvl w:ilvl="5" w:tentative="0">
      <w:start w:val="1"/>
      <w:numFmt w:val="lowerRoman"/>
      <w:lvlText w:val="%6."/>
      <w:lvlJc w:val="right"/>
      <w:pPr>
        <w:ind w:left="3280" w:hanging="440"/>
      </w:pPr>
    </w:lvl>
    <w:lvl w:ilvl="6" w:tentative="0">
      <w:start w:val="1"/>
      <w:numFmt w:val="decimal"/>
      <w:lvlText w:val="%7."/>
      <w:lvlJc w:val="left"/>
      <w:pPr>
        <w:ind w:left="3720" w:hanging="440"/>
      </w:pPr>
    </w:lvl>
    <w:lvl w:ilvl="7" w:tentative="0">
      <w:start w:val="1"/>
      <w:numFmt w:val="lowerLetter"/>
      <w:lvlText w:val="%8)"/>
      <w:lvlJc w:val="left"/>
      <w:pPr>
        <w:ind w:left="4160" w:hanging="440"/>
      </w:pPr>
    </w:lvl>
    <w:lvl w:ilvl="8" w:tentative="0">
      <w:start w:val="1"/>
      <w:numFmt w:val="lowerRoman"/>
      <w:lvlText w:val="%9."/>
      <w:lvlJc w:val="right"/>
      <w:pPr>
        <w:ind w:left="460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docVars>
    <w:docVar w:name="commondata" w:val="eyJoZGlkIjoiODViY2JkMjU3NGYzZTEwMzZmMGFkZWViYmNkYWU3NDIifQ=="/>
  </w:docVars>
  <w:rsids>
    <w:rsidRoot w:val="00FB7A7D"/>
    <w:rsid w:val="000B69DD"/>
    <w:rsid w:val="005F36BA"/>
    <w:rsid w:val="00793706"/>
    <w:rsid w:val="00B9567E"/>
    <w:rsid w:val="00C95028"/>
    <w:rsid w:val="00CD0E3D"/>
    <w:rsid w:val="00EC1A65"/>
    <w:rsid w:val="00FB7A7D"/>
    <w:rsid w:val="1285261D"/>
    <w:rsid w:val="65EC11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2F5496"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472C4"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472C4"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472C4" w:themeColor="accent1"/>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472C4" w:themeColor="accent1"/>
      <w:sz w:val="18"/>
      <w:szCs w:val="18"/>
    </w:rPr>
  </w:style>
  <w:style w:type="paragraph" w:styleId="8">
    <w:name w:val="footer"/>
    <w:basedOn w:val="1"/>
    <w:link w:val="24"/>
    <w:unhideWhenUsed/>
    <w:qFormat/>
    <w:uiPriority w:val="99"/>
    <w:pPr>
      <w:tabs>
        <w:tab w:val="center" w:pos="4153"/>
        <w:tab w:val="right" w:pos="8306"/>
      </w:tabs>
      <w:snapToGrid w:val="0"/>
      <w:spacing w:line="240" w:lineRule="auto"/>
    </w:pPr>
    <w:rPr>
      <w:sz w:val="18"/>
      <w:szCs w:val="18"/>
    </w:rPr>
  </w:style>
  <w:style w:type="paragraph" w:styleId="9">
    <w:name w:val="header"/>
    <w:basedOn w:val="1"/>
    <w:link w:val="17"/>
    <w:unhideWhenUsed/>
    <w:qFormat/>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472C4" w:themeColor="accent1"/>
      <w:spacing w:val="15"/>
      <w:sz w:val="24"/>
      <w:szCs w:val="24"/>
    </w:rPr>
  </w:style>
  <w:style w:type="paragraph" w:styleId="11">
    <w:name w:val="Title"/>
    <w:basedOn w:val="1"/>
    <w:next w:val="1"/>
    <w:link w:val="23"/>
    <w:qFormat/>
    <w:uiPriority w:val="10"/>
    <w:pPr>
      <w:pBdr>
        <w:bottom w:val="single" w:color="4472C4" w:themeColor="accent1" w:sz="8" w:space="4"/>
      </w:pBdr>
      <w:spacing w:after="300"/>
      <w:contextualSpacing/>
    </w:pPr>
    <w:rPr>
      <w:rFonts w:asciiTheme="majorHAnsi" w:hAnsiTheme="majorHAnsi" w:eastAsiaTheme="majorEastAsia" w:cstheme="majorBidi"/>
      <w:color w:val="323E4F" w:themeColor="text2" w:themeShade="BF"/>
      <w:spacing w:val="5"/>
      <w:kern w:val="28"/>
      <w:sz w:val="52"/>
      <w:szCs w:val="52"/>
    </w:rPr>
  </w:style>
  <w:style w:type="table" w:styleId="13">
    <w:name w:val="Table Grid"/>
    <w:basedOn w:val="12"/>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5">
    <w:name w:val="Emphasis"/>
    <w:basedOn w:val="14"/>
    <w:qFormat/>
    <w:uiPriority w:val="20"/>
    <w:rPr>
      <w:i/>
      <w:iCs/>
    </w:rPr>
  </w:style>
  <w:style w:type="character" w:styleId="16">
    <w:name w:val="Hyperlink"/>
    <w:basedOn w:val="14"/>
    <w:unhideWhenUsed/>
    <w:qFormat/>
    <w:uiPriority w:val="99"/>
    <w:rPr>
      <w:color w:val="0563C1" w:themeColor="hyperlink"/>
      <w:u w:val="single"/>
    </w:rPr>
  </w:style>
  <w:style w:type="character" w:customStyle="1" w:styleId="17">
    <w:name w:val="页眉 字符"/>
    <w:basedOn w:val="14"/>
    <w:link w:val="9"/>
    <w:qFormat/>
    <w:uiPriority w:val="99"/>
  </w:style>
  <w:style w:type="character" w:customStyle="1" w:styleId="18">
    <w:name w:val="标题 1 字符"/>
    <w:basedOn w:val="14"/>
    <w:link w:val="2"/>
    <w:qFormat/>
    <w:uiPriority w:val="9"/>
    <w:rPr>
      <w:rFonts w:asciiTheme="majorHAnsi" w:hAnsiTheme="majorHAnsi" w:eastAsiaTheme="majorEastAsia" w:cstheme="majorBidi"/>
      <w:b/>
      <w:bCs/>
      <w:color w:val="2F5496" w:themeColor="accent1" w:themeShade="BF"/>
      <w:sz w:val="28"/>
      <w:szCs w:val="28"/>
    </w:rPr>
  </w:style>
  <w:style w:type="character" w:customStyle="1" w:styleId="19">
    <w:name w:val="标题 2 字符"/>
    <w:basedOn w:val="14"/>
    <w:link w:val="3"/>
    <w:qFormat/>
    <w:uiPriority w:val="9"/>
    <w:rPr>
      <w:rFonts w:asciiTheme="majorHAnsi" w:hAnsiTheme="majorHAnsi" w:eastAsiaTheme="majorEastAsia" w:cstheme="majorBidi"/>
      <w:b/>
      <w:bCs/>
      <w:color w:val="4472C4" w:themeColor="accent1"/>
      <w:sz w:val="26"/>
      <w:szCs w:val="26"/>
    </w:rPr>
  </w:style>
  <w:style w:type="character" w:customStyle="1" w:styleId="20">
    <w:name w:val="标题 3 字符"/>
    <w:basedOn w:val="14"/>
    <w:link w:val="4"/>
    <w:qFormat/>
    <w:uiPriority w:val="9"/>
    <w:rPr>
      <w:rFonts w:asciiTheme="majorHAnsi" w:hAnsiTheme="majorHAnsi" w:eastAsiaTheme="majorEastAsia" w:cstheme="majorBidi"/>
      <w:b/>
      <w:bCs/>
      <w:color w:val="4472C4" w:themeColor="accent1"/>
    </w:rPr>
  </w:style>
  <w:style w:type="character" w:customStyle="1" w:styleId="21">
    <w:name w:val="标题 4 字符"/>
    <w:basedOn w:val="14"/>
    <w:link w:val="5"/>
    <w:qFormat/>
    <w:uiPriority w:val="9"/>
    <w:rPr>
      <w:rFonts w:asciiTheme="majorHAnsi" w:hAnsiTheme="majorHAnsi" w:eastAsiaTheme="majorEastAsia" w:cstheme="majorBidi"/>
      <w:b/>
      <w:bCs/>
      <w:i/>
      <w:iCs/>
      <w:color w:val="4472C4" w:themeColor="accent1"/>
    </w:rPr>
  </w:style>
  <w:style w:type="character" w:customStyle="1" w:styleId="22">
    <w:name w:val="副标题 字符"/>
    <w:basedOn w:val="14"/>
    <w:link w:val="10"/>
    <w:qFormat/>
    <w:uiPriority w:val="11"/>
    <w:rPr>
      <w:rFonts w:asciiTheme="majorHAnsi" w:hAnsiTheme="majorHAnsi" w:eastAsiaTheme="majorEastAsia" w:cstheme="majorBidi"/>
      <w:i/>
      <w:iCs/>
      <w:color w:val="4472C4" w:themeColor="accent1"/>
      <w:spacing w:val="15"/>
      <w:sz w:val="24"/>
      <w:szCs w:val="24"/>
    </w:rPr>
  </w:style>
  <w:style w:type="character" w:customStyle="1" w:styleId="23">
    <w:name w:val="标题 字符"/>
    <w:basedOn w:val="14"/>
    <w:link w:val="11"/>
    <w:qFormat/>
    <w:uiPriority w:val="10"/>
    <w:rPr>
      <w:rFonts w:asciiTheme="majorHAnsi" w:hAnsiTheme="majorHAnsi" w:eastAsiaTheme="majorEastAsia" w:cstheme="majorBidi"/>
      <w:color w:val="323E4F" w:themeColor="text2" w:themeShade="BF"/>
      <w:spacing w:val="5"/>
      <w:kern w:val="28"/>
      <w:sz w:val="52"/>
      <w:szCs w:val="52"/>
    </w:rPr>
  </w:style>
  <w:style w:type="character" w:customStyle="1" w:styleId="24">
    <w:name w:val="页脚 字符"/>
    <w:basedOn w:val="14"/>
    <w:link w:val="8"/>
    <w:qFormat/>
    <w:uiPriority w:val="99"/>
    <w:rPr>
      <w:sz w:val="18"/>
      <w:szCs w:val="18"/>
    </w:rPr>
  </w:style>
  <w:style w:type="paragraph" w:styleId="25">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17</Pages>
  <Words>8220</Words>
  <Characters>8825</Characters>
  <Lines>274</Lines>
  <Paragraphs>210</Paragraphs>
  <TotalTime>39</TotalTime>
  <ScaleCrop>false</ScaleCrop>
  <LinksUpToDate>false</LinksUpToDate>
  <CharactersWithSpaces>8835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2025-10-10T07:24:00Z</dcterms:created>
  <dc:creator>雍虹虹</dc:creator>
  <cp:lastModifiedBy>雨。</cp:lastModifiedBy>
  <dcterms:modified xsi:type="dcterms:W3CDTF">2025-11-20T04:08:33Z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eyJoZGlkIjoiMzEwNTM5NzYwMDRjMzkwZTVkZjY2ODkwMGIxNGU0OTUiLCJ1c2VySWQiOiIyNzg1NzY4MTEifQ==</vt:lpwstr>
  </property>
  <property fmtid="{D5CDD505-2E9C-101B-9397-08002B2CF9AE}" pid="3" name="KSOProductBuildVer">
    <vt:lpwstr>2052-12.1.0.18608</vt:lpwstr>
  </property>
  <property fmtid="{D5CDD505-2E9C-101B-9397-08002B2CF9AE}" pid="4" name="ICV">
    <vt:lpwstr>D36CFF3E9E784F58BDB59D86AF81A3D4_12</vt:lpwstr>
  </property>
</Properties>
</file>