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11B60">
      <w:pPr>
        <w:spacing w:after="0" w:line="240" w:lineRule="auto"/>
        <w:rPr>
          <w:rFonts w:ascii="宋体" w:eastAsia="宋体"/>
          <w:sz w:val="32"/>
          <w:szCs w:val="32"/>
        </w:rPr>
      </w:pPr>
    </w:p>
    <w:p w14:paraId="523781C6">
      <w:pPr>
        <w:spacing w:after="0" w:line="240" w:lineRule="auto"/>
        <w:rPr>
          <w:rFonts w:ascii="宋体" w:eastAsia="宋体"/>
          <w:sz w:val="44"/>
          <w:szCs w:val="44"/>
        </w:rPr>
      </w:pPr>
    </w:p>
    <w:p w14:paraId="3D6A71A0">
      <w:pPr>
        <w:spacing w:after="0" w:line="240" w:lineRule="auto"/>
        <w:rPr>
          <w:rFonts w:ascii="宋体" w:eastAsia="宋体"/>
          <w:sz w:val="44"/>
          <w:szCs w:val="44"/>
        </w:rPr>
      </w:pPr>
    </w:p>
    <w:p w14:paraId="2E647390">
      <w:pPr>
        <w:spacing w:after="0" w:line="240" w:lineRule="auto"/>
        <w:rPr>
          <w:rFonts w:ascii="宋体" w:eastAsia="宋体"/>
          <w:sz w:val="44"/>
          <w:szCs w:val="44"/>
        </w:rPr>
      </w:pPr>
    </w:p>
    <w:p w14:paraId="793C2B8D">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乌鲁木齐市米东区卡子湾社区卫生服务中心</w:t>
      </w:r>
    </w:p>
    <w:p w14:paraId="4D09BD0A">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9DD6EDA">
      <w:pPr>
        <w:rPr>
          <w:lang w:eastAsia="zh-CN"/>
        </w:rPr>
      </w:pPr>
      <w:r>
        <w:rPr>
          <w:sz w:val="0"/>
          <w:szCs w:val="0"/>
          <w:lang w:eastAsia="zh-CN"/>
        </w:rPr>
        <w:br w:type="page"/>
      </w:r>
    </w:p>
    <w:p w14:paraId="23A591B2">
      <w:pPr>
        <w:spacing w:after="0" w:line="240" w:lineRule="auto"/>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14:paraId="464B8CEF">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38C7645F">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A8139E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9892CA9">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8300E77">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62F235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F825033">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095BA4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880549D">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9489701">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FFD9124">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1F86558">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40B4812">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DDB2A89">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6BFEDF3">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95778A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C3EC5A9">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133C9A2">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F0A44A4">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1880861">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367D1F4">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58CF3CF">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271EBC1">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75814EC">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EF13AC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65B639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11A66C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FC81AA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149C7C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B214F63">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EC328D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B770DE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382BD6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8A76BCD">
      <w:pPr>
        <w:rPr>
          <w:lang w:eastAsia="zh-CN"/>
        </w:rPr>
      </w:pPr>
      <w:r>
        <w:rPr>
          <w:sz w:val="0"/>
          <w:szCs w:val="0"/>
          <w:lang w:eastAsia="zh-CN"/>
        </w:rPr>
        <w:br w:type="page"/>
      </w:r>
    </w:p>
    <w:p w14:paraId="6E5CC658">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6265065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15D26C7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主要承担内科、外科、儿科、妇产科、康复医学、口腔科、医学检验、医学影像、中医科、全科医疗、预防保健等基本医疗服务，以及辖区居民的健康档案、慢性病管理、孕产妇保健等国家基本公共卫生服务。</w:t>
      </w:r>
    </w:p>
    <w:p w14:paraId="28A3C61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43DB60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乌鲁木齐市米东区卡子湾社区卫生服务中心2024年度，实有人数156人，其中：在职人员47人，增加2人；离休人员0人，较上年无变化；退休人员109人，较上年无变化</w:t>
      </w:r>
      <w:r>
        <w:rPr>
          <w:rFonts w:hint="eastAsia" w:ascii="仿宋_GB2312" w:eastAsia="仿宋_GB2312"/>
          <w:sz w:val="32"/>
          <w:szCs w:val="32"/>
          <w:lang w:eastAsia="zh-CN"/>
        </w:rPr>
        <w:t>。</w:t>
      </w:r>
    </w:p>
    <w:p w14:paraId="60E3FB3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乌鲁木齐市米东区卡子湾社区卫生服务中心无下属预算单位，下设12个科室，分别是：医务科、护办、院感办、门诊及发热门诊、综合科、医技科、社管科、后勤、财务科、药剂科、院办、轻校医务室。</w:t>
      </w:r>
    </w:p>
    <w:p w14:paraId="27960F9C">
      <w:pPr>
        <w:rPr>
          <w:lang w:eastAsia="zh-CN"/>
        </w:rPr>
      </w:pPr>
      <w:r>
        <w:rPr>
          <w:sz w:val="0"/>
          <w:szCs w:val="0"/>
          <w:lang w:eastAsia="zh-CN"/>
        </w:rPr>
        <w:br w:type="page"/>
      </w:r>
    </w:p>
    <w:p w14:paraId="78586CB9">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0A170B6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53846AA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2024年度收入总计3,218.03万元，其中：本年收入合计3,218.03万元，使用非财政拨款结余（含专用结余）0.00万元，年初结转和结余0.00万元。</w:t>
      </w:r>
    </w:p>
    <w:p w14:paraId="541D60F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2024年度支出总计3,218.03万元，其中：本年支出合计2,629.74万元，结余分配588.29万元，年末结转和结余0.00万元。</w:t>
      </w:r>
    </w:p>
    <w:p w14:paraId="1660769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收入支出总体与上年相比，增加864.74万元，增长36.75%，主要原因是：</w:t>
      </w:r>
      <w:r>
        <w:rPr>
          <w:rFonts w:hint="eastAsia" w:ascii="仿宋_GB2312" w:eastAsia="仿宋_GB2312"/>
          <w:sz w:val="32"/>
          <w:szCs w:val="32"/>
          <w:lang w:eastAsia="zh-CN"/>
        </w:rPr>
        <w:t>单位本年人员增加，人员工资、津补贴等人员经费较上年增加；单位本年较上年增加医养结合专项经费</w:t>
      </w:r>
      <w:r>
        <w:rPr>
          <w:rFonts w:ascii="仿宋_GB2312" w:eastAsia="仿宋_GB2312"/>
          <w:sz w:val="32"/>
          <w:szCs w:val="32"/>
          <w:lang w:eastAsia="zh-CN"/>
        </w:rPr>
        <w:t>。</w:t>
      </w:r>
    </w:p>
    <w:p w14:paraId="2D7B11F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47EA7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3,218.03万元，其中：财政拨款收入820.59万元,占25.50%；上级补助收入0.00万元,占0.00%；事业收入1,151.02万元，占35.77%；经营收入0.00万元,占0.00%；附属单位上缴收入0.00万元，占0.00%；其他收入1,246.43万元，占38.73%。</w:t>
      </w:r>
    </w:p>
    <w:p w14:paraId="5111259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58BCAAD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本年支出2,629.74万元，其中：基本支出2,619.74万元，占99.62%；项目支出10.00万元，占0.38%；上缴上级支出0.00万元，占0.00%；经营支出0.00万元，占0.00%；对附属单位补助支出0.00万元，占0.00%。</w:t>
      </w:r>
    </w:p>
    <w:p w14:paraId="630E78C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74BE8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2024年度财政拨款收入总计820.59万元，其中：年初财政拨款结转和结余0.00万元，本年财政拨款收入820.59万元。财政拨款支出总计820.59万元，其中：年末财政拨款结转和结余0.00万元，本年财政拨款支出820.59万元。</w:t>
      </w:r>
    </w:p>
    <w:p w14:paraId="38DDDBE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财政拨款收入支出总体与上年相比，减少75.73万元，下降8.45%，主要原因是：</w:t>
      </w:r>
      <w:r>
        <w:rPr>
          <w:rFonts w:hint="eastAsia" w:ascii="仿宋_GB2312" w:eastAsia="仿宋_GB2312"/>
          <w:sz w:val="32"/>
          <w:szCs w:val="32"/>
          <w:lang w:eastAsia="zh-CN"/>
        </w:rPr>
        <w:t>本年单位办公费、奖励金较上年减少</w:t>
      </w:r>
      <w:r>
        <w:rPr>
          <w:rFonts w:ascii="仿宋_GB2312" w:eastAsia="仿宋_GB2312"/>
          <w:sz w:val="32"/>
          <w:szCs w:val="32"/>
          <w:lang w:eastAsia="zh-CN"/>
        </w:rPr>
        <w:t>。与年初预算相比，年初预算数837.70万元，决算数820.59万元，预决算差异率-2.04%，主要原因是：</w:t>
      </w:r>
      <w:r>
        <w:rPr>
          <w:rFonts w:hint="eastAsia" w:ascii="仿宋_GB2312" w:eastAsia="仿宋_GB2312"/>
          <w:sz w:val="32"/>
          <w:szCs w:val="32"/>
          <w:lang w:eastAsia="zh-CN"/>
        </w:rPr>
        <w:t>单位</w:t>
      </w:r>
      <w:r>
        <w:rPr>
          <w:rFonts w:ascii="仿宋_GB2312" w:eastAsia="仿宋_GB2312"/>
          <w:sz w:val="32"/>
          <w:szCs w:val="32"/>
          <w:lang w:eastAsia="zh-CN"/>
        </w:rPr>
        <w:t>本年度</w:t>
      </w:r>
      <w:r>
        <w:rPr>
          <w:rFonts w:hint="eastAsia" w:ascii="仿宋_GB2312" w:eastAsia="仿宋_GB2312"/>
          <w:sz w:val="32"/>
          <w:szCs w:val="32"/>
          <w:lang w:eastAsia="zh-CN"/>
        </w:rPr>
        <w:t>办公费较</w:t>
      </w:r>
      <w:r>
        <w:rPr>
          <w:rFonts w:ascii="仿宋_GB2312" w:eastAsia="仿宋_GB2312"/>
          <w:sz w:val="32"/>
          <w:szCs w:val="32"/>
          <w:lang w:eastAsia="zh-CN"/>
        </w:rPr>
        <w:t>年初预算</w:t>
      </w:r>
      <w:r>
        <w:rPr>
          <w:rFonts w:hint="eastAsia" w:ascii="仿宋_GB2312" w:eastAsia="仿宋_GB2312"/>
          <w:sz w:val="32"/>
          <w:szCs w:val="32"/>
          <w:lang w:eastAsia="zh-CN"/>
        </w:rPr>
        <w:t>减少</w:t>
      </w:r>
      <w:r>
        <w:rPr>
          <w:rFonts w:ascii="仿宋_GB2312" w:eastAsia="仿宋_GB2312"/>
          <w:sz w:val="32"/>
          <w:szCs w:val="32"/>
          <w:lang w:eastAsia="zh-CN"/>
        </w:rPr>
        <w:t>。</w:t>
      </w:r>
    </w:p>
    <w:p w14:paraId="3F91EBF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6BBA99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195A5B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2024年度一般公共预算财政拨款支出820.59万元，占本年支出合计的31.20%。与上年相比，减少75.73万元，下降8.45%，主要原因是：</w:t>
      </w:r>
      <w:r>
        <w:rPr>
          <w:rFonts w:hint="eastAsia" w:ascii="仿宋_GB2312" w:eastAsia="仿宋_GB2312"/>
          <w:sz w:val="32"/>
          <w:szCs w:val="32"/>
          <w:lang w:eastAsia="zh-CN"/>
        </w:rPr>
        <w:t>本年单位办公费、奖励金较上年减少</w:t>
      </w:r>
      <w:r>
        <w:rPr>
          <w:rFonts w:ascii="仿宋_GB2312" w:eastAsia="仿宋_GB2312"/>
          <w:sz w:val="32"/>
          <w:szCs w:val="32"/>
          <w:lang w:eastAsia="zh-CN"/>
        </w:rPr>
        <w:t>。与年初预算相比，年初预算数837.70万元，决算数820.59万元，预决算差异率-2.04%，主要原因是：</w:t>
      </w:r>
      <w:r>
        <w:rPr>
          <w:rFonts w:hint="eastAsia" w:ascii="仿宋_GB2312" w:eastAsia="仿宋_GB2312"/>
          <w:sz w:val="32"/>
          <w:szCs w:val="32"/>
          <w:lang w:eastAsia="zh-CN"/>
        </w:rPr>
        <w:t>单位</w:t>
      </w:r>
      <w:r>
        <w:rPr>
          <w:rFonts w:ascii="仿宋_GB2312" w:eastAsia="仿宋_GB2312"/>
          <w:sz w:val="32"/>
          <w:szCs w:val="32"/>
          <w:lang w:eastAsia="zh-CN"/>
        </w:rPr>
        <w:t>本年度</w:t>
      </w:r>
      <w:r>
        <w:rPr>
          <w:rFonts w:hint="eastAsia" w:ascii="仿宋_GB2312" w:eastAsia="仿宋_GB2312"/>
          <w:sz w:val="32"/>
          <w:szCs w:val="32"/>
          <w:lang w:eastAsia="zh-CN"/>
        </w:rPr>
        <w:t>办公费较</w:t>
      </w:r>
      <w:r>
        <w:rPr>
          <w:rFonts w:ascii="仿宋_GB2312" w:eastAsia="仿宋_GB2312"/>
          <w:sz w:val="32"/>
          <w:szCs w:val="32"/>
          <w:lang w:eastAsia="zh-CN"/>
        </w:rPr>
        <w:t>年初预算</w:t>
      </w:r>
      <w:r>
        <w:rPr>
          <w:rFonts w:hint="eastAsia" w:ascii="仿宋_GB2312" w:eastAsia="仿宋_GB2312"/>
          <w:sz w:val="32"/>
          <w:szCs w:val="32"/>
          <w:lang w:eastAsia="zh-CN"/>
        </w:rPr>
        <w:t>减少</w:t>
      </w:r>
      <w:r>
        <w:rPr>
          <w:rFonts w:ascii="仿宋_GB2312" w:eastAsia="仿宋_GB2312"/>
          <w:sz w:val="32"/>
          <w:szCs w:val="32"/>
          <w:lang w:eastAsia="zh-CN"/>
        </w:rPr>
        <w:t>。</w:t>
      </w:r>
    </w:p>
    <w:p w14:paraId="4DAA45D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478B2B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社会保障和就业支出（类）98.35万元，占11.99%。</w:t>
      </w:r>
    </w:p>
    <w:p w14:paraId="606BCD5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卫生健康支出（类）656.17万元，占79.96%。</w:t>
      </w:r>
    </w:p>
    <w:p w14:paraId="5738E5C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住房保障支出（类）66.06万元，占8.05%。</w:t>
      </w:r>
    </w:p>
    <w:p w14:paraId="4127F48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2510C7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1、社会保障和就业支出（类）行政事业单位养老支出（款）机关事业单位基本养老保险缴费支出（项）：支出决算数为83.02万元，比上年决算增加12.18万元，增长17.19%，主要原因是：</w:t>
      </w:r>
      <w:r>
        <w:rPr>
          <w:rFonts w:hint="eastAsia" w:ascii="仿宋_GB2312" w:eastAsia="仿宋_GB2312"/>
          <w:sz w:val="32"/>
          <w:szCs w:val="32"/>
          <w:lang w:eastAsia="zh-CN"/>
        </w:rPr>
        <w:t>社保</w:t>
      </w:r>
      <w:r>
        <w:rPr>
          <w:rFonts w:ascii="仿宋_GB2312" w:eastAsia="仿宋_GB2312"/>
          <w:sz w:val="32"/>
          <w:szCs w:val="32"/>
          <w:lang w:eastAsia="zh-CN"/>
        </w:rPr>
        <w:t>缴费基数</w:t>
      </w:r>
      <w:r>
        <w:rPr>
          <w:rFonts w:hint="eastAsia" w:ascii="仿宋_GB2312" w:eastAsia="仿宋_GB2312"/>
          <w:sz w:val="32"/>
          <w:szCs w:val="32"/>
          <w:lang w:eastAsia="zh-CN"/>
        </w:rPr>
        <w:t>调增</w:t>
      </w:r>
      <w:r>
        <w:rPr>
          <w:rFonts w:ascii="仿宋_GB2312" w:eastAsia="仿宋_GB2312"/>
          <w:sz w:val="32"/>
          <w:szCs w:val="32"/>
          <w:lang w:eastAsia="zh-CN"/>
        </w:rPr>
        <w:t>，养老保险缴费增加。</w:t>
      </w:r>
    </w:p>
    <w:p w14:paraId="66654F2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2、社会保障和就业支出（类）行政事业单位养老支出（款）机关事业单位职业年金缴费支出（项）：支出决算数为15.33万元，比上年决算增加15.33万元，增长100.00%，主要原因是：</w:t>
      </w:r>
      <w:r>
        <w:rPr>
          <w:rFonts w:hint="eastAsia" w:ascii="仿宋_GB2312" w:eastAsia="仿宋_GB2312"/>
          <w:sz w:val="32"/>
          <w:szCs w:val="32"/>
          <w:lang w:eastAsia="zh-CN"/>
        </w:rPr>
        <w:t>单位本年一次性职业年金缴费增加</w:t>
      </w:r>
      <w:r>
        <w:rPr>
          <w:rFonts w:ascii="仿宋_GB2312" w:eastAsia="仿宋_GB2312"/>
          <w:sz w:val="32"/>
          <w:szCs w:val="32"/>
          <w:lang w:eastAsia="zh-CN"/>
        </w:rPr>
        <w:t>。</w:t>
      </w:r>
    </w:p>
    <w:p w14:paraId="1226C7F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卫生健康支出（类）基层医疗卫生机构（款）城市社区卫生机构（项）：支出决算数为595.39万元，比上年决算减少230.09万元，下降27.87%，主要原因是：本年度事业单位医疗、公务员医疗补助、住房公积金等单独列支</w:t>
      </w:r>
      <w:r>
        <w:rPr>
          <w:rFonts w:hint="eastAsia" w:ascii="仿宋_GB2312" w:eastAsia="仿宋_GB2312"/>
          <w:sz w:val="32"/>
          <w:szCs w:val="32"/>
          <w:lang w:eastAsia="zh-CN"/>
        </w:rPr>
        <w:t>，导致此经费减少</w:t>
      </w:r>
      <w:r>
        <w:rPr>
          <w:rFonts w:ascii="仿宋_GB2312" w:eastAsia="仿宋_GB2312"/>
          <w:sz w:val="32"/>
          <w:szCs w:val="32"/>
          <w:lang w:eastAsia="zh-CN"/>
        </w:rPr>
        <w:t>。</w:t>
      </w:r>
    </w:p>
    <w:p w14:paraId="2A0836F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4、卫生健康支出（类）公共卫生（款）基本公共卫生服务（项）：支出决算数为10.00万元，比上年决算增加10.00万元，增长100.00%，主要原因是：</w:t>
      </w:r>
      <w:r>
        <w:rPr>
          <w:rFonts w:hint="eastAsia" w:ascii="仿宋_GB2312" w:eastAsia="仿宋_GB2312"/>
          <w:sz w:val="32"/>
          <w:szCs w:val="32"/>
          <w:lang w:eastAsia="zh-CN"/>
        </w:rPr>
        <w:t>单位</w:t>
      </w:r>
      <w:r>
        <w:rPr>
          <w:rFonts w:ascii="仿宋_GB2312" w:eastAsia="仿宋_GB2312"/>
          <w:sz w:val="32"/>
          <w:szCs w:val="32"/>
          <w:lang w:eastAsia="zh-CN"/>
        </w:rPr>
        <w:t>本年度</w:t>
      </w:r>
      <w:r>
        <w:rPr>
          <w:rFonts w:hint="eastAsia" w:ascii="仿宋_GB2312" w:eastAsia="仿宋_GB2312"/>
          <w:sz w:val="32"/>
          <w:szCs w:val="32"/>
          <w:lang w:eastAsia="zh-CN"/>
        </w:rPr>
        <w:t>增加</w:t>
      </w:r>
      <w:r>
        <w:rPr>
          <w:rFonts w:ascii="仿宋_GB2312" w:eastAsia="仿宋_GB2312"/>
          <w:sz w:val="32"/>
          <w:szCs w:val="32"/>
          <w:lang w:eastAsia="zh-CN"/>
        </w:rPr>
        <w:t>医养结合项目经费。</w:t>
      </w:r>
    </w:p>
    <w:p w14:paraId="02E4467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5、卫生健康支出（类）行政事业单位医疗（款）事业单位医疗（项）：支出决算数为41.04万元，比上年决算增加41.04万元，增长100.00%，主要原因是：</w:t>
      </w:r>
      <w:r>
        <w:rPr>
          <w:rFonts w:hint="eastAsia" w:ascii="仿宋_GB2312" w:eastAsia="仿宋_GB2312"/>
          <w:sz w:val="32"/>
          <w:szCs w:val="32"/>
          <w:lang w:eastAsia="zh-CN"/>
        </w:rPr>
        <w:t>单位</w:t>
      </w:r>
      <w:r>
        <w:rPr>
          <w:rFonts w:ascii="仿宋_GB2312" w:eastAsia="仿宋_GB2312"/>
          <w:sz w:val="32"/>
          <w:szCs w:val="32"/>
          <w:lang w:eastAsia="zh-CN"/>
        </w:rPr>
        <w:t>事业单位医疗</w:t>
      </w:r>
      <w:r>
        <w:rPr>
          <w:rFonts w:hint="eastAsia" w:ascii="仿宋_GB2312" w:eastAsia="仿宋_GB2312"/>
          <w:sz w:val="32"/>
          <w:szCs w:val="32"/>
          <w:lang w:eastAsia="zh-CN"/>
        </w:rPr>
        <w:t>上年在</w:t>
      </w:r>
      <w:r>
        <w:rPr>
          <w:rFonts w:ascii="仿宋_GB2312" w:eastAsia="仿宋_GB2312"/>
          <w:sz w:val="32"/>
          <w:szCs w:val="32"/>
          <w:lang w:eastAsia="zh-CN"/>
        </w:rPr>
        <w:t>城市社区卫生机构</w:t>
      </w:r>
      <w:r>
        <w:rPr>
          <w:rFonts w:hint="eastAsia" w:ascii="仿宋_GB2312" w:eastAsia="仿宋_GB2312"/>
          <w:sz w:val="32"/>
          <w:szCs w:val="32"/>
          <w:lang w:eastAsia="zh-CN"/>
        </w:rPr>
        <w:t>列支，本年在此科目列支，导致此科目支出增加</w:t>
      </w:r>
      <w:r>
        <w:rPr>
          <w:rFonts w:ascii="仿宋_GB2312" w:eastAsia="仿宋_GB2312"/>
          <w:sz w:val="32"/>
          <w:szCs w:val="32"/>
          <w:lang w:eastAsia="zh-CN"/>
        </w:rPr>
        <w:t>。</w:t>
      </w:r>
    </w:p>
    <w:p w14:paraId="37B569D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6、卫生健康支出（类）行政事业单位医疗（款）公务员医疗补助（项）：支出决算数为9.75万元，比上年决算增加9.75万元，增长100.00%，主要原因是：</w:t>
      </w:r>
      <w:r>
        <w:rPr>
          <w:rFonts w:hint="eastAsia" w:ascii="仿宋_GB2312" w:eastAsia="仿宋_GB2312"/>
          <w:sz w:val="32"/>
          <w:szCs w:val="32"/>
          <w:lang w:eastAsia="zh-CN"/>
        </w:rPr>
        <w:t>单位</w:t>
      </w:r>
      <w:r>
        <w:rPr>
          <w:rFonts w:ascii="仿宋_GB2312" w:eastAsia="仿宋_GB2312"/>
          <w:sz w:val="32"/>
          <w:szCs w:val="32"/>
          <w:lang w:eastAsia="zh-CN"/>
        </w:rPr>
        <w:t>公务员医疗补助</w:t>
      </w:r>
      <w:r>
        <w:rPr>
          <w:rFonts w:hint="eastAsia" w:ascii="仿宋_GB2312" w:eastAsia="仿宋_GB2312"/>
          <w:sz w:val="32"/>
          <w:szCs w:val="32"/>
          <w:lang w:eastAsia="zh-CN"/>
        </w:rPr>
        <w:t>上年在</w:t>
      </w:r>
      <w:r>
        <w:rPr>
          <w:rFonts w:ascii="仿宋_GB2312" w:eastAsia="仿宋_GB2312"/>
          <w:sz w:val="32"/>
          <w:szCs w:val="32"/>
          <w:lang w:eastAsia="zh-CN"/>
        </w:rPr>
        <w:t>城市社区卫生机构</w:t>
      </w:r>
      <w:r>
        <w:rPr>
          <w:rFonts w:hint="eastAsia" w:ascii="仿宋_GB2312" w:eastAsia="仿宋_GB2312"/>
          <w:sz w:val="32"/>
          <w:szCs w:val="32"/>
          <w:lang w:eastAsia="zh-CN"/>
        </w:rPr>
        <w:t>列支，本年在此科目列支，导致此科目支出增加</w:t>
      </w:r>
      <w:r>
        <w:rPr>
          <w:rFonts w:ascii="仿宋_GB2312" w:eastAsia="仿宋_GB2312"/>
          <w:sz w:val="32"/>
          <w:szCs w:val="32"/>
          <w:lang w:eastAsia="zh-CN"/>
        </w:rPr>
        <w:t>。</w:t>
      </w:r>
    </w:p>
    <w:p w14:paraId="4BE102C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7、住房保障支出（类）住房改革支出（款）住房公积金（项）：支出决算数为66.06万元，比上年决算增加66.06万元，增长100.00%，主要原因是：</w:t>
      </w:r>
      <w:r>
        <w:rPr>
          <w:rFonts w:hint="eastAsia" w:ascii="仿宋_GB2312" w:eastAsia="仿宋_GB2312"/>
          <w:sz w:val="32"/>
          <w:szCs w:val="32"/>
          <w:lang w:eastAsia="zh-CN"/>
        </w:rPr>
        <w:t>单位</w:t>
      </w:r>
      <w:r>
        <w:rPr>
          <w:rFonts w:ascii="仿宋_GB2312" w:eastAsia="仿宋_GB2312"/>
          <w:sz w:val="32"/>
          <w:szCs w:val="32"/>
          <w:lang w:eastAsia="zh-CN"/>
        </w:rPr>
        <w:t>住房公积金</w:t>
      </w:r>
      <w:r>
        <w:rPr>
          <w:rFonts w:hint="eastAsia" w:ascii="仿宋_GB2312" w:eastAsia="仿宋_GB2312"/>
          <w:sz w:val="32"/>
          <w:szCs w:val="32"/>
          <w:lang w:eastAsia="zh-CN"/>
        </w:rPr>
        <w:t>上年在</w:t>
      </w:r>
      <w:r>
        <w:rPr>
          <w:rFonts w:ascii="仿宋_GB2312" w:eastAsia="仿宋_GB2312"/>
          <w:sz w:val="32"/>
          <w:szCs w:val="32"/>
          <w:lang w:eastAsia="zh-CN"/>
        </w:rPr>
        <w:t>城市社区卫生机构</w:t>
      </w:r>
      <w:r>
        <w:rPr>
          <w:rFonts w:hint="eastAsia" w:ascii="仿宋_GB2312" w:eastAsia="仿宋_GB2312"/>
          <w:sz w:val="32"/>
          <w:szCs w:val="32"/>
          <w:lang w:eastAsia="zh-CN"/>
        </w:rPr>
        <w:t>列支，本年在此科目列支，导致此科目支出增加</w:t>
      </w:r>
      <w:r>
        <w:rPr>
          <w:rFonts w:ascii="仿宋_GB2312" w:eastAsia="仿宋_GB2312"/>
          <w:sz w:val="32"/>
          <w:szCs w:val="32"/>
          <w:lang w:eastAsia="zh-CN"/>
        </w:rPr>
        <w:t>。</w:t>
      </w:r>
    </w:p>
    <w:p w14:paraId="31CD738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9A835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810.59万元，其中：人员经费810.59万元，包括：基本工资、津贴补贴、奖金、绩效工资、机关事业单位基本养老保险缴费、职业年金缴费、职工基本医疗保险缴费、公务员医疗补助缴费、其他社会保障缴费和住房公积金。</w:t>
      </w:r>
    </w:p>
    <w:p w14:paraId="21A009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公用经费0.00万元。</w:t>
      </w:r>
    </w:p>
    <w:p w14:paraId="5180B65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F3AF2C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731938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7960F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14DB5A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36D50F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14081"/>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32EBDA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EF60CF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单位本年无因公出国（境）费</w:t>
      </w:r>
      <w:r>
        <w:rPr>
          <w:rFonts w:ascii="仿宋_GB2312" w:eastAsia="仿宋_GB2312"/>
          <w:sz w:val="32"/>
          <w:szCs w:val="32"/>
          <w:lang w:eastAsia="zh-CN"/>
        </w:rPr>
        <w:t>。单位全年安排的因公出国（境）团组0个，因公出国（境）0人次。</w:t>
      </w:r>
    </w:p>
    <w:p w14:paraId="741E017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单位本年</w:t>
      </w:r>
      <w:r>
        <w:rPr>
          <w:rFonts w:ascii="仿宋_GB2312" w:eastAsia="仿宋_GB2312"/>
          <w:sz w:val="32"/>
          <w:szCs w:val="32"/>
          <w:lang w:eastAsia="zh-CN"/>
        </w:rPr>
        <w:t>无公务用车</w:t>
      </w:r>
      <w:bookmarkStart w:id="2" w:name="_GoBack"/>
      <w:bookmarkEnd w:id="2"/>
      <w:r>
        <w:rPr>
          <w:rFonts w:ascii="仿宋_GB2312" w:eastAsia="仿宋_GB2312"/>
          <w:sz w:val="32"/>
          <w:szCs w:val="32"/>
          <w:lang w:eastAsia="zh-CN"/>
        </w:rPr>
        <w:t>运行维护费。公务用车购置数0辆，公务用车保有量0辆。国有资产占用情况中固定资产车辆6辆，与公务用车保有量差异原因是：</w:t>
      </w:r>
      <w:r>
        <w:rPr>
          <w:rFonts w:hint="eastAsia" w:ascii="仿宋_GB2312" w:eastAsia="仿宋_GB2312"/>
          <w:sz w:val="32"/>
          <w:szCs w:val="32"/>
          <w:lang w:eastAsia="zh-CN"/>
        </w:rPr>
        <w:t>差异车辆为一般业务用车6辆，车辆费用未使用财政拨款公务用车运行维护费支付</w:t>
      </w:r>
      <w:r>
        <w:rPr>
          <w:rFonts w:ascii="仿宋_GB2312" w:eastAsia="仿宋_GB2312"/>
          <w:sz w:val="32"/>
          <w:szCs w:val="32"/>
          <w:lang w:eastAsia="zh-CN"/>
        </w:rPr>
        <w:t>。</w:t>
      </w:r>
    </w:p>
    <w:p w14:paraId="5491C7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单位本年无公务接待费</w:t>
      </w:r>
      <w:r>
        <w:rPr>
          <w:rFonts w:ascii="仿宋_GB2312" w:eastAsia="仿宋_GB2312"/>
          <w:sz w:val="32"/>
          <w:szCs w:val="32"/>
          <w:lang w:eastAsia="zh-CN"/>
        </w:rPr>
        <w:t>。单位全年安排的国内公务接待0批次，0人次。</w:t>
      </w:r>
    </w:p>
    <w:p w14:paraId="5438B60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7C055E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7F93EEB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220FF5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2024年度乌鲁木齐市米东区卡子湾社区卫生服务中心单位（事业单位）公用经费支出0.00万元，比上年减少9.57万元，下降100.00%，主要原因是：我单位本年度</w:t>
      </w:r>
      <w:r>
        <w:rPr>
          <w:rFonts w:hint="eastAsia" w:ascii="仿宋_GB2312" w:eastAsia="仿宋_GB2312"/>
          <w:sz w:val="32"/>
          <w:szCs w:val="32"/>
          <w:lang w:eastAsia="zh-CN"/>
        </w:rPr>
        <w:t>办公费较上年减少。</w:t>
      </w:r>
    </w:p>
    <w:p w14:paraId="46992B31">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48AB7D5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4547F92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2CF005C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7886DC1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截至2024年12月31日，房屋780.13平方米，价值255.09万元。</w:t>
      </w:r>
      <w:r>
        <w:rPr>
          <w:rFonts w:ascii="仿宋_GB2312" w:eastAsia="仿宋_GB2312"/>
          <w:sz w:val="32"/>
          <w:szCs w:val="32"/>
          <w:lang w:eastAsia="zh-CN"/>
        </w:rPr>
        <w:t>车辆6辆，价值134.15万元，其中：副部（省）级及以上领导用车0辆、主要负责人用车0辆、机要通信用车0辆、应急保障用车0辆、执法执勤用车0辆、特种专业技术用车4辆、离退休干部服务用车0辆、其他用车2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671CE29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ECB6808">
      <w:pPr>
        <w:widowControl w:val="0"/>
        <w:spacing w:after="0" w:line="240" w:lineRule="auto"/>
        <w:ind w:firstLine="640" w:firstLineChars="200"/>
        <w:rPr>
          <w:rFonts w:hint="eastAsia" w:ascii="宋体" w:hAnsi="宋体" w:eastAsia="宋体" w:cs="宋体"/>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根据预算绩效管理要求，本单位2024年度预算绩效管理形成整体支出绩效自评表1个，全年预算总额3,218.03万元，实际执行总额2,629.74万元；预算绩效评价项目1个，全年预算数10</w:t>
      </w:r>
      <w:r>
        <w:rPr>
          <w:rFonts w:hint="eastAsia" w:ascii="仿宋_GB2312" w:eastAsia="仿宋_GB2312"/>
          <w:sz w:val="32"/>
          <w:szCs w:val="32"/>
          <w:lang w:eastAsia="zh-CN"/>
        </w:rPr>
        <w:t>.00</w:t>
      </w:r>
      <w:r>
        <w:rPr>
          <w:rFonts w:ascii="仿宋_GB2312" w:eastAsia="仿宋_GB2312"/>
          <w:sz w:val="32"/>
          <w:szCs w:val="32"/>
          <w:lang w:eastAsia="zh-CN"/>
        </w:rPr>
        <w:t>万元，全年执行数10</w:t>
      </w:r>
      <w:r>
        <w:rPr>
          <w:rFonts w:hint="eastAsia" w:ascii="仿宋_GB2312" w:eastAsia="仿宋_GB2312"/>
          <w:sz w:val="32"/>
          <w:szCs w:val="32"/>
          <w:lang w:eastAsia="zh-CN"/>
        </w:rPr>
        <w:t>.00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。具体附部门整体支出绩效自评表，项目支出绩效自评表和部门评价报告。</w:t>
      </w:r>
      <w:bookmarkStart w:id="1" w:name="_Hlk174962300"/>
    </w:p>
    <w:p w14:paraId="1C4B399D">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7459738D">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6127AAFE">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DAFE78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73FD25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乌鲁木齐市米东区卡子湾社区卫生服务中心</w:t>
            </w:r>
          </w:p>
        </w:tc>
        <w:tc>
          <w:tcPr>
            <w:tcW w:w="284" w:type="dxa"/>
            <w:tcBorders>
              <w:top w:val="nil"/>
              <w:left w:val="nil"/>
              <w:bottom w:val="nil"/>
              <w:right w:val="nil"/>
            </w:tcBorders>
            <w:noWrap/>
            <w:vAlign w:val="center"/>
          </w:tcPr>
          <w:p w14:paraId="731621D0">
            <w:pPr>
              <w:spacing w:after="0" w:line="240" w:lineRule="auto"/>
              <w:rPr>
                <w:rFonts w:hint="eastAsia" w:ascii="宋体" w:hAnsi="宋体" w:eastAsia="宋体" w:cs="宋体"/>
                <w:b/>
                <w:bCs/>
                <w:sz w:val="18"/>
                <w:szCs w:val="18"/>
                <w:lang w:eastAsia="zh-CN"/>
              </w:rPr>
            </w:pPr>
          </w:p>
        </w:tc>
      </w:tr>
      <w:tr w14:paraId="7363C68C">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311E4D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5C451AE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6C8B557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4D88B91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60E468C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2B2CF28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6DEAE39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33440F6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6BDAD14B">
            <w:pPr>
              <w:spacing w:after="0" w:line="240" w:lineRule="auto"/>
              <w:jc w:val="center"/>
              <w:rPr>
                <w:rFonts w:hint="eastAsia" w:ascii="宋体" w:hAnsi="宋体" w:eastAsia="宋体" w:cs="宋体"/>
                <w:b/>
                <w:bCs/>
                <w:sz w:val="18"/>
                <w:szCs w:val="18"/>
                <w:lang w:eastAsia="zh-CN"/>
              </w:rPr>
            </w:pPr>
          </w:p>
        </w:tc>
      </w:tr>
      <w:tr w14:paraId="60CE7F0F">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E136295">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2E8A552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0977B5F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837.70</w:t>
            </w:r>
          </w:p>
        </w:tc>
        <w:tc>
          <w:tcPr>
            <w:tcW w:w="1276" w:type="dxa"/>
            <w:tcBorders>
              <w:top w:val="nil"/>
              <w:left w:val="nil"/>
              <w:bottom w:val="single" w:color="auto" w:sz="4" w:space="0"/>
              <w:right w:val="single" w:color="auto" w:sz="4" w:space="0"/>
            </w:tcBorders>
            <w:vAlign w:val="center"/>
          </w:tcPr>
          <w:p w14:paraId="0DD9489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3,218.03</w:t>
            </w:r>
          </w:p>
        </w:tc>
        <w:tc>
          <w:tcPr>
            <w:tcW w:w="1701" w:type="dxa"/>
            <w:tcBorders>
              <w:top w:val="nil"/>
              <w:left w:val="nil"/>
              <w:bottom w:val="single" w:color="auto" w:sz="4" w:space="0"/>
              <w:right w:val="single" w:color="auto" w:sz="4" w:space="0"/>
            </w:tcBorders>
            <w:vAlign w:val="center"/>
          </w:tcPr>
          <w:p w14:paraId="00F044A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2,629.74</w:t>
            </w:r>
          </w:p>
        </w:tc>
        <w:tc>
          <w:tcPr>
            <w:tcW w:w="1134" w:type="dxa"/>
            <w:tcBorders>
              <w:top w:val="nil"/>
              <w:left w:val="nil"/>
              <w:bottom w:val="single" w:color="auto" w:sz="4" w:space="0"/>
              <w:right w:val="single" w:color="auto" w:sz="4" w:space="0"/>
            </w:tcBorders>
            <w:vAlign w:val="center"/>
          </w:tcPr>
          <w:p w14:paraId="08C8643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77EE43B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81.72%</w:t>
            </w:r>
          </w:p>
        </w:tc>
        <w:tc>
          <w:tcPr>
            <w:tcW w:w="720" w:type="dxa"/>
            <w:tcBorders>
              <w:top w:val="nil"/>
              <w:left w:val="nil"/>
              <w:bottom w:val="single" w:color="auto" w:sz="4" w:space="0"/>
              <w:right w:val="single" w:color="auto" w:sz="4" w:space="0"/>
            </w:tcBorders>
            <w:vAlign w:val="center"/>
          </w:tcPr>
          <w:p w14:paraId="5A3B562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8.17</w:t>
            </w:r>
          </w:p>
        </w:tc>
        <w:tc>
          <w:tcPr>
            <w:tcW w:w="284" w:type="dxa"/>
            <w:tcBorders>
              <w:top w:val="nil"/>
              <w:left w:val="nil"/>
              <w:bottom w:val="nil"/>
              <w:right w:val="nil"/>
            </w:tcBorders>
            <w:noWrap/>
            <w:vAlign w:val="center"/>
          </w:tcPr>
          <w:p w14:paraId="3569411E">
            <w:pPr>
              <w:spacing w:after="0" w:line="240" w:lineRule="auto"/>
              <w:jc w:val="center"/>
              <w:rPr>
                <w:rFonts w:hint="eastAsia" w:ascii="宋体" w:hAnsi="宋体" w:eastAsia="宋体" w:cs="宋体"/>
                <w:b/>
                <w:bCs/>
                <w:sz w:val="18"/>
                <w:szCs w:val="18"/>
                <w:lang w:eastAsia="zh-CN"/>
              </w:rPr>
            </w:pPr>
          </w:p>
        </w:tc>
      </w:tr>
      <w:tr w14:paraId="58E15C16">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4C87FDB">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5C3D0B7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04DA574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79D4BBE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701" w:type="dxa"/>
            <w:tcBorders>
              <w:top w:val="nil"/>
              <w:left w:val="nil"/>
              <w:bottom w:val="single" w:color="auto" w:sz="4" w:space="0"/>
              <w:right w:val="single" w:color="auto" w:sz="4" w:space="0"/>
            </w:tcBorders>
            <w:vAlign w:val="center"/>
          </w:tcPr>
          <w:p w14:paraId="7D75B4A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40FF7618">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752AA1B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02046F4C">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2DBA84B">
            <w:pPr>
              <w:spacing w:after="0" w:line="240" w:lineRule="auto"/>
              <w:jc w:val="center"/>
              <w:rPr>
                <w:rFonts w:hint="eastAsia" w:ascii="宋体" w:hAnsi="宋体" w:eastAsia="宋体" w:cs="宋体"/>
                <w:sz w:val="18"/>
                <w:szCs w:val="18"/>
                <w:lang w:eastAsia="zh-CN"/>
              </w:rPr>
            </w:pPr>
          </w:p>
        </w:tc>
      </w:tr>
      <w:tr w14:paraId="0E97C5CA">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A6A4488">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6DAEB6B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2BF9C0A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827.70</w:t>
            </w:r>
          </w:p>
        </w:tc>
        <w:tc>
          <w:tcPr>
            <w:tcW w:w="1276" w:type="dxa"/>
            <w:tcBorders>
              <w:top w:val="nil"/>
              <w:left w:val="nil"/>
              <w:bottom w:val="single" w:color="auto" w:sz="4" w:space="0"/>
              <w:right w:val="single" w:color="auto" w:sz="4" w:space="0"/>
            </w:tcBorders>
            <w:vAlign w:val="center"/>
          </w:tcPr>
          <w:p w14:paraId="0AC55E2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3,208.03</w:t>
            </w:r>
          </w:p>
        </w:tc>
        <w:tc>
          <w:tcPr>
            <w:tcW w:w="1701" w:type="dxa"/>
            <w:tcBorders>
              <w:top w:val="nil"/>
              <w:left w:val="nil"/>
              <w:bottom w:val="single" w:color="auto" w:sz="4" w:space="0"/>
              <w:right w:val="single" w:color="auto" w:sz="4" w:space="0"/>
            </w:tcBorders>
            <w:vAlign w:val="center"/>
          </w:tcPr>
          <w:p w14:paraId="0DBDB7D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2,619.74</w:t>
            </w:r>
          </w:p>
        </w:tc>
        <w:tc>
          <w:tcPr>
            <w:tcW w:w="1134" w:type="dxa"/>
            <w:tcBorders>
              <w:top w:val="nil"/>
              <w:left w:val="nil"/>
              <w:bottom w:val="single" w:color="auto" w:sz="4" w:space="0"/>
              <w:right w:val="single" w:color="auto" w:sz="4" w:space="0"/>
            </w:tcBorders>
            <w:vAlign w:val="center"/>
          </w:tcPr>
          <w:p w14:paraId="4681EC79">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6D8DCEA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1FC89A6D">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1822AA09">
            <w:pPr>
              <w:spacing w:after="0" w:line="240" w:lineRule="auto"/>
              <w:jc w:val="center"/>
              <w:rPr>
                <w:rFonts w:hint="eastAsia" w:ascii="宋体" w:hAnsi="宋体" w:eastAsia="宋体" w:cs="宋体"/>
                <w:sz w:val="18"/>
                <w:szCs w:val="18"/>
                <w:lang w:eastAsia="zh-CN"/>
              </w:rPr>
            </w:pPr>
          </w:p>
        </w:tc>
      </w:tr>
      <w:tr w14:paraId="2455E896">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539326D">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019B24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1C54E94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10.00</w:t>
            </w:r>
          </w:p>
        </w:tc>
        <w:tc>
          <w:tcPr>
            <w:tcW w:w="1276" w:type="dxa"/>
            <w:tcBorders>
              <w:top w:val="nil"/>
              <w:left w:val="nil"/>
              <w:bottom w:val="single" w:color="auto" w:sz="4" w:space="0"/>
              <w:right w:val="single" w:color="auto" w:sz="4" w:space="0"/>
            </w:tcBorders>
            <w:vAlign w:val="center"/>
          </w:tcPr>
          <w:p w14:paraId="536825B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10.00</w:t>
            </w:r>
          </w:p>
        </w:tc>
        <w:tc>
          <w:tcPr>
            <w:tcW w:w="1701" w:type="dxa"/>
            <w:tcBorders>
              <w:top w:val="nil"/>
              <w:left w:val="nil"/>
              <w:bottom w:val="single" w:color="auto" w:sz="4" w:space="0"/>
              <w:right w:val="single" w:color="auto" w:sz="4" w:space="0"/>
            </w:tcBorders>
            <w:vAlign w:val="center"/>
          </w:tcPr>
          <w:p w14:paraId="319A486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10.00</w:t>
            </w:r>
          </w:p>
        </w:tc>
        <w:tc>
          <w:tcPr>
            <w:tcW w:w="1134" w:type="dxa"/>
            <w:tcBorders>
              <w:top w:val="nil"/>
              <w:left w:val="nil"/>
              <w:bottom w:val="single" w:color="auto" w:sz="4" w:space="0"/>
              <w:right w:val="single" w:color="auto" w:sz="4" w:space="0"/>
            </w:tcBorders>
            <w:vAlign w:val="center"/>
          </w:tcPr>
          <w:p w14:paraId="6235256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662C7BC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1327BF5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499BAD50">
            <w:pPr>
              <w:spacing w:after="0" w:line="240" w:lineRule="auto"/>
              <w:jc w:val="center"/>
              <w:rPr>
                <w:rFonts w:hint="eastAsia" w:ascii="宋体" w:hAnsi="宋体" w:eastAsia="宋体" w:cs="宋体"/>
                <w:sz w:val="18"/>
                <w:szCs w:val="18"/>
                <w:lang w:eastAsia="zh-CN"/>
              </w:rPr>
            </w:pPr>
          </w:p>
        </w:tc>
      </w:tr>
      <w:tr w14:paraId="450449EA">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909A1B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0F9DB6E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0CCD696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14F546DE">
            <w:pPr>
              <w:spacing w:after="0" w:line="240" w:lineRule="auto"/>
              <w:rPr>
                <w:rFonts w:hint="eastAsia" w:ascii="宋体" w:hAnsi="宋体" w:eastAsia="宋体" w:cs="宋体"/>
                <w:b/>
                <w:bCs/>
                <w:sz w:val="18"/>
                <w:szCs w:val="18"/>
                <w:lang w:eastAsia="zh-CN"/>
              </w:rPr>
            </w:pPr>
          </w:p>
        </w:tc>
      </w:tr>
      <w:tr w14:paraId="3D215B9D">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A207E53">
            <w:pPr>
              <w:spacing w:after="0" w:line="240" w:lineRule="auto"/>
              <w:rPr>
                <w:rFonts w:hint="eastAsia"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239F9917">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我单位主要职能：为周边居民提供基本公共卫生服务：包括预防、保健、健康教育等服务，并通过建立健康档案等方式为居民提供连续性的健康管理；对常见病和多发病进行诊疗工作；提供必要的康复指导和护理服务等。2024年我单位主要工作计划如下：1、认真抓好卫生健康系统“正风肃纪年”活动，狠抓医德医风建设，提高群众服务满意度。2、继续积极与上级医疗机构进行对接，引入上级医院专家到中心坐诊，方便周边居民就医。3、加强学科带头人、中心紧缺专业人员的进修、培养；加强医护人员在三级医院轮训力度；增加公共卫生专业人员，提高基层医疗机构基本公共卫生服务质量。4、建设中心旗舰中医馆，提升中心在诊疗服务中西医结合的服务能力。</w:t>
            </w:r>
          </w:p>
        </w:tc>
        <w:tc>
          <w:tcPr>
            <w:tcW w:w="4547" w:type="dxa"/>
            <w:gridSpan w:val="4"/>
            <w:tcBorders>
              <w:top w:val="single" w:color="auto" w:sz="4" w:space="0"/>
              <w:left w:val="nil"/>
              <w:bottom w:val="single" w:color="auto" w:sz="4" w:space="0"/>
              <w:right w:val="single" w:color="auto" w:sz="4" w:space="0"/>
            </w:tcBorders>
          </w:tcPr>
          <w:p w14:paraId="3D1768FD">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我中心认真落实各项医疗核心制度，狠抓业务培训和规范化建设，较好地完成了各项工作。1、中心深入开展正风肃纪年活动，强化医德医风教育，医务人员服务意识增强，患者满意度提高；2、我中心引入多名上级医院专家及名医坐诊，为周围居民提供方便的就医渠道；3、为加强学科带头人及紧缺专业技术人员的培养，我中心从各个业务科室选拔人才到三级医院外派学习，填补单位业务短板；扩充公共卫生专业技术人员的队伍，为辖区居民提供更高的基本公共卫生服务质量；4、我中心不断完善中医馆建设，开展中医适宜技术推广项目6项，丰富了诊疗手段，提升中心中西医结合的服务能力。</w:t>
            </w:r>
          </w:p>
        </w:tc>
        <w:tc>
          <w:tcPr>
            <w:tcW w:w="284" w:type="dxa"/>
            <w:tcBorders>
              <w:top w:val="nil"/>
              <w:left w:val="nil"/>
              <w:bottom w:val="nil"/>
              <w:right w:val="nil"/>
            </w:tcBorders>
            <w:noWrap/>
            <w:vAlign w:val="center"/>
          </w:tcPr>
          <w:p w14:paraId="4117F33C">
            <w:pPr>
              <w:spacing w:after="0" w:line="240" w:lineRule="auto"/>
              <w:rPr>
                <w:rFonts w:hint="eastAsia" w:ascii="宋体" w:hAnsi="宋体" w:eastAsia="宋体" w:cs="宋体"/>
                <w:sz w:val="18"/>
                <w:szCs w:val="18"/>
                <w:lang w:eastAsia="zh-CN"/>
              </w:rPr>
            </w:pPr>
          </w:p>
        </w:tc>
      </w:tr>
      <w:tr w14:paraId="0455EAB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C305ED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0FEDDCA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41E0877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34470CC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6A9D237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5FA5938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22F0C64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74C680E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416C7226">
            <w:pPr>
              <w:spacing w:after="0" w:line="240" w:lineRule="auto"/>
              <w:rPr>
                <w:rFonts w:hint="eastAsia" w:ascii="宋体" w:hAnsi="宋体" w:eastAsia="宋体" w:cs="宋体"/>
                <w:b/>
                <w:bCs/>
                <w:sz w:val="18"/>
                <w:szCs w:val="18"/>
                <w:lang w:eastAsia="zh-CN"/>
              </w:rPr>
            </w:pPr>
          </w:p>
        </w:tc>
      </w:tr>
      <w:tr w14:paraId="3E47811D">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712E53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77534EC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39E7EC6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健康档案建档率</w:t>
            </w:r>
          </w:p>
        </w:tc>
        <w:tc>
          <w:tcPr>
            <w:tcW w:w="1276" w:type="dxa"/>
            <w:tcBorders>
              <w:top w:val="nil"/>
              <w:left w:val="nil"/>
              <w:bottom w:val="single" w:color="auto" w:sz="4" w:space="0"/>
              <w:right w:val="single" w:color="auto" w:sz="4" w:space="0"/>
            </w:tcBorders>
            <w:noWrap/>
            <w:vAlign w:val="center"/>
          </w:tcPr>
          <w:p w14:paraId="3EA4A80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&gt;=75%</w:t>
            </w:r>
          </w:p>
        </w:tc>
        <w:tc>
          <w:tcPr>
            <w:tcW w:w="1701" w:type="dxa"/>
            <w:tcBorders>
              <w:top w:val="nil"/>
              <w:left w:val="nil"/>
              <w:bottom w:val="single" w:color="auto" w:sz="4" w:space="0"/>
              <w:right w:val="single" w:color="auto" w:sz="4" w:space="0"/>
            </w:tcBorders>
            <w:noWrap/>
            <w:vAlign w:val="center"/>
          </w:tcPr>
          <w:p w14:paraId="1FE438C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国家基本公共卫生服务规范第三版和自治区基层医疗卫生机构绩效考核方案（试行）的通知</w:t>
            </w:r>
          </w:p>
        </w:tc>
        <w:tc>
          <w:tcPr>
            <w:tcW w:w="1134" w:type="dxa"/>
            <w:tcBorders>
              <w:top w:val="nil"/>
              <w:left w:val="nil"/>
              <w:bottom w:val="single" w:color="auto" w:sz="4" w:space="0"/>
              <w:right w:val="single" w:color="auto" w:sz="4" w:space="0"/>
            </w:tcBorders>
            <w:noWrap/>
            <w:vAlign w:val="center"/>
          </w:tcPr>
          <w:p w14:paraId="39C349E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86.66%</w:t>
            </w:r>
          </w:p>
        </w:tc>
        <w:tc>
          <w:tcPr>
            <w:tcW w:w="992" w:type="dxa"/>
            <w:tcBorders>
              <w:top w:val="nil"/>
              <w:left w:val="nil"/>
              <w:bottom w:val="single" w:color="auto" w:sz="4" w:space="0"/>
              <w:right w:val="single" w:color="auto" w:sz="4" w:space="0"/>
            </w:tcBorders>
            <w:noWrap/>
            <w:vAlign w:val="center"/>
          </w:tcPr>
          <w:p w14:paraId="3A287FC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1A1D73A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33A0DC92">
            <w:pPr>
              <w:spacing w:after="0" w:line="240" w:lineRule="auto"/>
              <w:jc w:val="center"/>
              <w:rPr>
                <w:rFonts w:hint="eastAsia" w:ascii="宋体" w:hAnsi="宋体" w:eastAsia="宋体" w:cs="宋体"/>
                <w:sz w:val="18"/>
                <w:szCs w:val="18"/>
                <w:lang w:eastAsia="zh-CN"/>
              </w:rPr>
            </w:pPr>
          </w:p>
        </w:tc>
      </w:tr>
      <w:tr w14:paraId="78045C9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B3C05CE">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5DEA96C8">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09E426E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高血压患者规范管理率</w:t>
            </w:r>
          </w:p>
        </w:tc>
        <w:tc>
          <w:tcPr>
            <w:tcW w:w="1276" w:type="dxa"/>
            <w:tcBorders>
              <w:top w:val="nil"/>
              <w:left w:val="nil"/>
              <w:bottom w:val="single" w:color="auto" w:sz="4" w:space="0"/>
              <w:right w:val="single" w:color="auto" w:sz="4" w:space="0"/>
            </w:tcBorders>
            <w:noWrap/>
            <w:vAlign w:val="center"/>
          </w:tcPr>
          <w:p w14:paraId="1531C66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&gt;=60%</w:t>
            </w:r>
          </w:p>
        </w:tc>
        <w:tc>
          <w:tcPr>
            <w:tcW w:w="1701" w:type="dxa"/>
            <w:tcBorders>
              <w:top w:val="nil"/>
              <w:left w:val="nil"/>
              <w:bottom w:val="single" w:color="auto" w:sz="4" w:space="0"/>
              <w:right w:val="single" w:color="auto" w:sz="4" w:space="0"/>
            </w:tcBorders>
            <w:noWrap/>
            <w:vAlign w:val="center"/>
          </w:tcPr>
          <w:p w14:paraId="185EC38F">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国家基本公共卫生服务规范第三版和自治区基层医疗卫生机构绩效考核方案（试行）的通知</w:t>
            </w:r>
          </w:p>
        </w:tc>
        <w:tc>
          <w:tcPr>
            <w:tcW w:w="1134" w:type="dxa"/>
            <w:tcBorders>
              <w:top w:val="nil"/>
              <w:left w:val="nil"/>
              <w:bottom w:val="single" w:color="auto" w:sz="4" w:space="0"/>
              <w:right w:val="single" w:color="auto" w:sz="4" w:space="0"/>
            </w:tcBorders>
            <w:noWrap/>
            <w:vAlign w:val="center"/>
          </w:tcPr>
          <w:p w14:paraId="758AC38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80.41%</w:t>
            </w:r>
          </w:p>
        </w:tc>
        <w:tc>
          <w:tcPr>
            <w:tcW w:w="992" w:type="dxa"/>
            <w:tcBorders>
              <w:top w:val="nil"/>
              <w:left w:val="nil"/>
              <w:bottom w:val="single" w:color="auto" w:sz="4" w:space="0"/>
              <w:right w:val="single" w:color="auto" w:sz="4" w:space="0"/>
            </w:tcBorders>
            <w:noWrap/>
            <w:vAlign w:val="center"/>
          </w:tcPr>
          <w:p w14:paraId="2C5BB2D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01A2667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6C8905FF">
            <w:pPr>
              <w:spacing w:after="0" w:line="240" w:lineRule="auto"/>
              <w:jc w:val="center"/>
              <w:rPr>
                <w:rFonts w:hint="eastAsia" w:ascii="宋体" w:hAnsi="宋体" w:eastAsia="宋体" w:cs="宋体"/>
                <w:sz w:val="18"/>
                <w:szCs w:val="18"/>
                <w:lang w:eastAsia="zh-CN"/>
              </w:rPr>
            </w:pPr>
          </w:p>
        </w:tc>
      </w:tr>
      <w:tr w14:paraId="37C0213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5EE8503">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21018C36">
            <w:pPr>
              <w:spacing w:after="0" w:line="240" w:lineRule="auto"/>
              <w:jc w:val="center"/>
              <w:rPr>
                <w:rFonts w:hint="eastAsia"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4EDFEB3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糖尿病患者规范管理率</w:t>
            </w:r>
          </w:p>
        </w:tc>
        <w:tc>
          <w:tcPr>
            <w:tcW w:w="1276" w:type="dxa"/>
            <w:tcBorders>
              <w:top w:val="single" w:color="auto" w:sz="4" w:space="0"/>
              <w:left w:val="nil"/>
              <w:bottom w:val="single" w:color="auto" w:sz="4" w:space="0"/>
              <w:right w:val="single" w:color="auto" w:sz="4" w:space="0"/>
            </w:tcBorders>
            <w:noWrap/>
            <w:vAlign w:val="center"/>
          </w:tcPr>
          <w:p w14:paraId="72ED9DF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&gt;=60%</w:t>
            </w:r>
          </w:p>
        </w:tc>
        <w:tc>
          <w:tcPr>
            <w:tcW w:w="1701" w:type="dxa"/>
            <w:tcBorders>
              <w:top w:val="single" w:color="auto" w:sz="4" w:space="0"/>
              <w:left w:val="nil"/>
              <w:bottom w:val="single" w:color="auto" w:sz="4" w:space="0"/>
              <w:right w:val="single" w:color="auto" w:sz="4" w:space="0"/>
            </w:tcBorders>
            <w:noWrap/>
            <w:vAlign w:val="center"/>
          </w:tcPr>
          <w:p w14:paraId="1F78DA7A">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国家基本公共卫生服务规范第三版和自治区基层医疗卫生机构绩效考核方案（试行）的通知</w:t>
            </w:r>
          </w:p>
        </w:tc>
        <w:tc>
          <w:tcPr>
            <w:tcW w:w="1134" w:type="dxa"/>
            <w:tcBorders>
              <w:top w:val="single" w:color="auto" w:sz="4" w:space="0"/>
              <w:left w:val="nil"/>
              <w:bottom w:val="single" w:color="auto" w:sz="4" w:space="0"/>
              <w:right w:val="single" w:color="auto" w:sz="4" w:space="0"/>
            </w:tcBorders>
            <w:noWrap/>
            <w:vAlign w:val="center"/>
          </w:tcPr>
          <w:p w14:paraId="50D3BCB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82.02%</w:t>
            </w:r>
          </w:p>
        </w:tc>
        <w:tc>
          <w:tcPr>
            <w:tcW w:w="992" w:type="dxa"/>
            <w:tcBorders>
              <w:top w:val="single" w:color="auto" w:sz="4" w:space="0"/>
              <w:left w:val="nil"/>
              <w:bottom w:val="single" w:color="auto" w:sz="4" w:space="0"/>
              <w:right w:val="single" w:color="auto" w:sz="4" w:space="0"/>
            </w:tcBorders>
            <w:noWrap/>
            <w:vAlign w:val="center"/>
          </w:tcPr>
          <w:p w14:paraId="5E4215E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7499113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60D187D7">
            <w:pPr>
              <w:spacing w:after="0" w:line="240" w:lineRule="auto"/>
              <w:jc w:val="center"/>
              <w:rPr>
                <w:rFonts w:hint="eastAsia" w:ascii="宋体" w:hAnsi="宋体" w:eastAsia="宋体" w:cs="宋体"/>
                <w:sz w:val="18"/>
                <w:szCs w:val="18"/>
                <w:lang w:eastAsia="zh-CN"/>
              </w:rPr>
            </w:pPr>
          </w:p>
        </w:tc>
      </w:tr>
      <w:tr w14:paraId="5B9ED751">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184C050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5663746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2ECD7FC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98.17</w:t>
            </w:r>
          </w:p>
        </w:tc>
        <w:tc>
          <w:tcPr>
            <w:tcW w:w="284" w:type="dxa"/>
            <w:tcBorders>
              <w:top w:val="nil"/>
              <w:left w:val="nil"/>
              <w:bottom w:val="nil"/>
              <w:right w:val="nil"/>
            </w:tcBorders>
            <w:noWrap/>
            <w:vAlign w:val="center"/>
          </w:tcPr>
          <w:p w14:paraId="250EC60C">
            <w:pPr>
              <w:spacing w:after="0" w:line="240" w:lineRule="auto"/>
              <w:jc w:val="center"/>
              <w:rPr>
                <w:rFonts w:hint="eastAsia" w:ascii="宋体" w:hAnsi="宋体" w:eastAsia="宋体" w:cs="宋体"/>
                <w:sz w:val="18"/>
                <w:szCs w:val="18"/>
                <w:lang w:eastAsia="zh-CN"/>
              </w:rPr>
            </w:pPr>
          </w:p>
        </w:tc>
      </w:tr>
    </w:tbl>
    <w:p w14:paraId="54F64A8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38ADF93">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451603F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877C10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457C5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乌财社[2023]135号2023年中央基本公共卫生服务补助资金[直达资金][第二批]（上年结转资金）</w:t>
            </w:r>
          </w:p>
        </w:tc>
      </w:tr>
      <w:tr w14:paraId="4491C3D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76E045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20182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乌鲁木齐市米东区卫生健康委员会</w:t>
            </w:r>
          </w:p>
        </w:tc>
        <w:tc>
          <w:tcPr>
            <w:tcW w:w="1275" w:type="dxa"/>
            <w:gridSpan w:val="2"/>
            <w:tcBorders>
              <w:top w:val="nil"/>
              <w:left w:val="nil"/>
              <w:bottom w:val="single" w:color="auto" w:sz="4" w:space="0"/>
              <w:right w:val="single" w:color="000000" w:sz="4" w:space="0"/>
            </w:tcBorders>
            <w:vAlign w:val="center"/>
          </w:tcPr>
          <w:p w14:paraId="0918C2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32E8BD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乌鲁木齐市米东区卡子湾社区卫生服务中心</w:t>
            </w:r>
          </w:p>
        </w:tc>
      </w:tr>
      <w:tr w14:paraId="72241B92">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0371A0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0A6B0ADE">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12AD967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4F4F79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675C10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321C8B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6B965CE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16B4C9E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825A62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ED62D0F">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FD3AF9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518BC1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25" w:type="dxa"/>
            <w:tcBorders>
              <w:top w:val="nil"/>
              <w:left w:val="nil"/>
              <w:bottom w:val="single" w:color="auto" w:sz="4" w:space="0"/>
              <w:right w:val="single" w:color="auto" w:sz="4" w:space="0"/>
            </w:tcBorders>
            <w:noWrap/>
            <w:vAlign w:val="center"/>
          </w:tcPr>
          <w:p w14:paraId="0C94F4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75" w:type="dxa"/>
            <w:gridSpan w:val="2"/>
            <w:tcBorders>
              <w:top w:val="single" w:color="auto" w:sz="4" w:space="0"/>
              <w:left w:val="nil"/>
              <w:bottom w:val="single" w:color="auto" w:sz="4" w:space="0"/>
              <w:right w:val="single" w:color="000000" w:sz="4" w:space="0"/>
            </w:tcBorders>
            <w:noWrap/>
            <w:vAlign w:val="center"/>
          </w:tcPr>
          <w:p w14:paraId="69FDF4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34" w:type="dxa"/>
            <w:gridSpan w:val="2"/>
            <w:tcBorders>
              <w:top w:val="single" w:color="auto" w:sz="4" w:space="0"/>
              <w:left w:val="nil"/>
              <w:bottom w:val="single" w:color="auto" w:sz="4" w:space="0"/>
              <w:right w:val="single" w:color="auto" w:sz="4" w:space="0"/>
            </w:tcBorders>
            <w:vAlign w:val="center"/>
          </w:tcPr>
          <w:p w14:paraId="727B63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20208C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16C48E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10.00分</w:t>
            </w:r>
          </w:p>
        </w:tc>
      </w:tr>
      <w:tr w14:paraId="1992599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809EBAA">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F7CEF3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03AB8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274B6A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7811CE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2932EF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1173E2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2A67BD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A3A566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9B85AEE">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7EC46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0AE812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25" w:type="dxa"/>
            <w:tcBorders>
              <w:top w:val="nil"/>
              <w:left w:val="nil"/>
              <w:bottom w:val="single" w:color="auto" w:sz="4" w:space="0"/>
              <w:right w:val="single" w:color="auto" w:sz="4" w:space="0"/>
            </w:tcBorders>
            <w:noWrap/>
            <w:vAlign w:val="center"/>
          </w:tcPr>
          <w:p w14:paraId="44F0EB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75" w:type="dxa"/>
            <w:gridSpan w:val="2"/>
            <w:tcBorders>
              <w:top w:val="single" w:color="auto" w:sz="4" w:space="0"/>
              <w:left w:val="nil"/>
              <w:bottom w:val="single" w:color="auto" w:sz="4" w:space="0"/>
              <w:right w:val="single" w:color="000000" w:sz="4" w:space="0"/>
            </w:tcBorders>
            <w:noWrap/>
            <w:vAlign w:val="center"/>
          </w:tcPr>
          <w:p w14:paraId="412811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34" w:type="dxa"/>
            <w:gridSpan w:val="2"/>
            <w:tcBorders>
              <w:top w:val="single" w:color="auto" w:sz="4" w:space="0"/>
              <w:left w:val="nil"/>
              <w:bottom w:val="single" w:color="auto" w:sz="4" w:space="0"/>
              <w:right w:val="single" w:color="auto" w:sz="4" w:space="0"/>
            </w:tcBorders>
            <w:vAlign w:val="center"/>
          </w:tcPr>
          <w:p w14:paraId="5A0696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02D00F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DD067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2E575FA">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38E858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714F07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157321D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2787930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9552E20">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4152B1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通过购置医疗器械及耗材、支付人员服务费，为我中心片区内2000名65岁及以上老年人和43名65岁及以上失能老年人提供老年健康与医养结合服务，改善老年人生活质量和健康水平。</w:t>
            </w:r>
          </w:p>
        </w:tc>
        <w:tc>
          <w:tcPr>
            <w:tcW w:w="4677" w:type="dxa"/>
            <w:gridSpan w:val="7"/>
            <w:tcBorders>
              <w:top w:val="single" w:color="auto" w:sz="4" w:space="0"/>
              <w:left w:val="nil"/>
              <w:bottom w:val="single" w:color="auto" w:sz="4" w:space="0"/>
              <w:right w:val="single" w:color="000000" w:sz="4" w:space="0"/>
            </w:tcBorders>
          </w:tcPr>
          <w:p w14:paraId="5C12677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通过购置听诊器、血压计、电子血压仪等医疗器械，以及给各服务站支付人员服务费，完成我中心片区内2000名65岁及以上老年人医养结合服务任务和65岁及以上失能老年人健康评估服务102人次，有效改善辖区内老年人生活质量。</w:t>
            </w:r>
          </w:p>
        </w:tc>
      </w:tr>
      <w:tr w14:paraId="0569F0F6">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76A380D9">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0EBECCE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B09818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077882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F2DFDF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B85BB5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36A5A93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500082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B67844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D5FD504">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19790349">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66CE501">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0C94C2D">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03C5F14">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A2619FF">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A9FDDDE">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339177D">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60EBD994">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D920088">
            <w:pPr>
              <w:spacing w:after="0" w:line="240" w:lineRule="auto"/>
              <w:rPr>
                <w:rFonts w:hint="eastAsia" w:ascii="宋体" w:hAnsi="宋体" w:eastAsia="宋体" w:cs="宋体"/>
                <w:color w:val="000000"/>
                <w:sz w:val="18"/>
                <w:szCs w:val="18"/>
                <w:lang w:eastAsia="zh-CN"/>
              </w:rPr>
            </w:pPr>
          </w:p>
        </w:tc>
      </w:tr>
      <w:tr w14:paraId="170082E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20C465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BFDB8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703F26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39767A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65岁及以上老年人医养结合服务任务量</w:t>
            </w:r>
          </w:p>
        </w:tc>
        <w:tc>
          <w:tcPr>
            <w:tcW w:w="1125" w:type="dxa"/>
            <w:tcBorders>
              <w:top w:val="nil"/>
              <w:left w:val="nil"/>
              <w:bottom w:val="single" w:color="auto" w:sz="4" w:space="0"/>
              <w:right w:val="single" w:color="auto" w:sz="4" w:space="0"/>
            </w:tcBorders>
            <w:vAlign w:val="center"/>
          </w:tcPr>
          <w:p w14:paraId="7DB649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&gt;=2000人</w:t>
            </w:r>
          </w:p>
        </w:tc>
        <w:tc>
          <w:tcPr>
            <w:tcW w:w="1229" w:type="dxa"/>
            <w:tcBorders>
              <w:top w:val="nil"/>
              <w:left w:val="nil"/>
              <w:bottom w:val="single" w:color="auto" w:sz="4" w:space="0"/>
              <w:right w:val="single" w:color="auto" w:sz="4" w:space="0"/>
            </w:tcBorders>
            <w:vAlign w:val="center"/>
          </w:tcPr>
          <w:p w14:paraId="0716A9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2000人</w:t>
            </w:r>
          </w:p>
        </w:tc>
        <w:tc>
          <w:tcPr>
            <w:tcW w:w="755" w:type="dxa"/>
            <w:gridSpan w:val="2"/>
            <w:tcBorders>
              <w:top w:val="single" w:color="auto" w:sz="4" w:space="0"/>
              <w:left w:val="nil"/>
              <w:bottom w:val="single" w:color="auto" w:sz="4" w:space="0"/>
              <w:right w:val="single" w:color="000000" w:sz="4" w:space="0"/>
            </w:tcBorders>
            <w:vAlign w:val="center"/>
          </w:tcPr>
          <w:p w14:paraId="4BEB1A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07A9F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B5CE202">
            <w:pPr>
              <w:spacing w:after="0" w:line="240" w:lineRule="auto"/>
              <w:jc w:val="center"/>
              <w:rPr>
                <w:rFonts w:hint="eastAsia" w:ascii="宋体" w:hAnsi="宋体" w:eastAsia="宋体" w:cs="宋体"/>
                <w:color w:val="000000"/>
                <w:sz w:val="18"/>
                <w:szCs w:val="18"/>
                <w:lang w:eastAsia="zh-CN"/>
              </w:rPr>
            </w:pPr>
          </w:p>
        </w:tc>
      </w:tr>
      <w:tr w14:paraId="1D62982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785E5A0">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9CF9899">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68B28273">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A16107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65岁及以上失能老人服务量</w:t>
            </w:r>
          </w:p>
        </w:tc>
        <w:tc>
          <w:tcPr>
            <w:tcW w:w="1125" w:type="dxa"/>
            <w:tcBorders>
              <w:top w:val="nil"/>
              <w:left w:val="nil"/>
              <w:bottom w:val="single" w:color="auto" w:sz="4" w:space="0"/>
              <w:right w:val="single" w:color="auto" w:sz="4" w:space="0"/>
            </w:tcBorders>
            <w:vAlign w:val="center"/>
          </w:tcPr>
          <w:p w14:paraId="447EC2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&gt;=100人次</w:t>
            </w:r>
          </w:p>
        </w:tc>
        <w:tc>
          <w:tcPr>
            <w:tcW w:w="1229" w:type="dxa"/>
            <w:tcBorders>
              <w:top w:val="nil"/>
              <w:left w:val="nil"/>
              <w:bottom w:val="single" w:color="auto" w:sz="4" w:space="0"/>
              <w:right w:val="single" w:color="auto" w:sz="4" w:space="0"/>
            </w:tcBorders>
            <w:vAlign w:val="center"/>
          </w:tcPr>
          <w:p w14:paraId="016D53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102人次</w:t>
            </w:r>
          </w:p>
        </w:tc>
        <w:tc>
          <w:tcPr>
            <w:tcW w:w="755" w:type="dxa"/>
            <w:gridSpan w:val="2"/>
            <w:tcBorders>
              <w:top w:val="single" w:color="auto" w:sz="4" w:space="0"/>
              <w:left w:val="nil"/>
              <w:bottom w:val="single" w:color="auto" w:sz="4" w:space="0"/>
              <w:right w:val="single" w:color="000000" w:sz="4" w:space="0"/>
            </w:tcBorders>
            <w:vAlign w:val="center"/>
          </w:tcPr>
          <w:p w14:paraId="682A70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8DB5F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115E6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上级下达任务为65岁及以上失能老人服务量达到100人次，我单位超额完成2人次。</w:t>
            </w:r>
          </w:p>
        </w:tc>
      </w:tr>
      <w:tr w14:paraId="0B6E5D9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4C6C448">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A037412">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151B4AB0">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FBA57E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购置医疗器械及耗材种类</w:t>
            </w:r>
          </w:p>
        </w:tc>
        <w:tc>
          <w:tcPr>
            <w:tcW w:w="1125" w:type="dxa"/>
            <w:tcBorders>
              <w:top w:val="nil"/>
              <w:left w:val="nil"/>
              <w:bottom w:val="single" w:color="auto" w:sz="4" w:space="0"/>
              <w:right w:val="single" w:color="auto" w:sz="4" w:space="0"/>
            </w:tcBorders>
            <w:vAlign w:val="center"/>
          </w:tcPr>
          <w:p w14:paraId="057342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&gt;=4种</w:t>
            </w:r>
          </w:p>
        </w:tc>
        <w:tc>
          <w:tcPr>
            <w:tcW w:w="1229" w:type="dxa"/>
            <w:tcBorders>
              <w:top w:val="nil"/>
              <w:left w:val="nil"/>
              <w:bottom w:val="single" w:color="auto" w:sz="4" w:space="0"/>
              <w:right w:val="single" w:color="auto" w:sz="4" w:space="0"/>
            </w:tcBorders>
            <w:vAlign w:val="center"/>
          </w:tcPr>
          <w:p w14:paraId="035663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5种</w:t>
            </w:r>
          </w:p>
        </w:tc>
        <w:tc>
          <w:tcPr>
            <w:tcW w:w="755" w:type="dxa"/>
            <w:gridSpan w:val="2"/>
            <w:tcBorders>
              <w:top w:val="single" w:color="auto" w:sz="4" w:space="0"/>
              <w:left w:val="nil"/>
              <w:bottom w:val="single" w:color="auto" w:sz="4" w:space="0"/>
              <w:right w:val="single" w:color="000000" w:sz="4" w:space="0"/>
            </w:tcBorders>
            <w:vAlign w:val="center"/>
          </w:tcPr>
          <w:p w14:paraId="749799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E36D6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2621B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我单位购置医疗器械及耗材种类共计5种，分别为听诊器、血压计、电子血压仪、轮椅及血糖试纸，因血压计和电子血压仪用途相同，但单价差别较大，故分成2种。</w:t>
            </w:r>
          </w:p>
        </w:tc>
      </w:tr>
      <w:tr w14:paraId="1225CA3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71B4F98">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DD3D170">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5C8DEC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8D2665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1125" w:type="dxa"/>
            <w:tcBorders>
              <w:top w:val="nil"/>
              <w:left w:val="nil"/>
              <w:bottom w:val="single" w:color="auto" w:sz="4" w:space="0"/>
              <w:right w:val="single" w:color="auto" w:sz="4" w:space="0"/>
            </w:tcBorders>
            <w:vAlign w:val="center"/>
          </w:tcPr>
          <w:p w14:paraId="44CF2E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1C9EB7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E8D70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DD82A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952D9B7">
            <w:pPr>
              <w:spacing w:after="0" w:line="240" w:lineRule="auto"/>
              <w:jc w:val="center"/>
              <w:rPr>
                <w:rFonts w:hint="eastAsia" w:ascii="宋体" w:hAnsi="宋体" w:eastAsia="宋体" w:cs="宋体"/>
                <w:color w:val="000000"/>
                <w:sz w:val="18"/>
                <w:szCs w:val="18"/>
                <w:lang w:eastAsia="zh-CN"/>
              </w:rPr>
            </w:pPr>
          </w:p>
        </w:tc>
      </w:tr>
      <w:tr w14:paraId="3F778B0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CC4FCFE">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432DFC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tcBorders>
              <w:top w:val="nil"/>
              <w:left w:val="nil"/>
              <w:bottom w:val="single" w:color="auto" w:sz="4" w:space="0"/>
              <w:right w:val="single" w:color="auto" w:sz="4" w:space="0"/>
            </w:tcBorders>
            <w:vAlign w:val="center"/>
          </w:tcPr>
          <w:p w14:paraId="29FBE4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749D538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项目预算控制率</w:t>
            </w:r>
          </w:p>
        </w:tc>
        <w:tc>
          <w:tcPr>
            <w:tcW w:w="1125" w:type="dxa"/>
            <w:tcBorders>
              <w:top w:val="nil"/>
              <w:left w:val="nil"/>
              <w:bottom w:val="single" w:color="auto" w:sz="4" w:space="0"/>
              <w:right w:val="single" w:color="auto" w:sz="4" w:space="0"/>
            </w:tcBorders>
            <w:vAlign w:val="center"/>
          </w:tcPr>
          <w:p w14:paraId="2B1691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&lt;=100%</w:t>
            </w:r>
          </w:p>
        </w:tc>
        <w:tc>
          <w:tcPr>
            <w:tcW w:w="1229" w:type="dxa"/>
            <w:tcBorders>
              <w:top w:val="nil"/>
              <w:left w:val="nil"/>
              <w:bottom w:val="single" w:color="auto" w:sz="4" w:space="0"/>
              <w:right w:val="single" w:color="auto" w:sz="4" w:space="0"/>
            </w:tcBorders>
            <w:vAlign w:val="center"/>
          </w:tcPr>
          <w:p w14:paraId="4CCD2E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7509A7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28EB92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2608BDFD">
            <w:pPr>
              <w:spacing w:after="0" w:line="240" w:lineRule="auto"/>
              <w:jc w:val="center"/>
              <w:rPr>
                <w:rFonts w:hint="eastAsia" w:ascii="宋体" w:hAnsi="宋体" w:eastAsia="宋体" w:cs="宋体"/>
                <w:color w:val="000000"/>
                <w:sz w:val="18"/>
                <w:szCs w:val="18"/>
                <w:lang w:eastAsia="zh-CN"/>
              </w:rPr>
            </w:pPr>
          </w:p>
        </w:tc>
      </w:tr>
      <w:tr w14:paraId="63F04F7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F9BAE5A">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765EDF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672569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3B4D5B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改善老年人生活质量和健康水平</w:t>
            </w:r>
          </w:p>
        </w:tc>
        <w:tc>
          <w:tcPr>
            <w:tcW w:w="1125" w:type="dxa"/>
            <w:tcBorders>
              <w:top w:val="nil"/>
              <w:left w:val="nil"/>
              <w:bottom w:val="single" w:color="auto" w:sz="4" w:space="0"/>
              <w:right w:val="single" w:color="auto" w:sz="4" w:space="0"/>
            </w:tcBorders>
            <w:vAlign w:val="center"/>
          </w:tcPr>
          <w:p w14:paraId="679813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197C8E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03670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5D8966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7FC9CBAC">
            <w:pPr>
              <w:spacing w:after="0" w:line="240" w:lineRule="auto"/>
              <w:jc w:val="center"/>
              <w:rPr>
                <w:rFonts w:hint="eastAsia" w:ascii="宋体" w:hAnsi="宋体" w:eastAsia="宋体" w:cs="宋体"/>
                <w:color w:val="000000"/>
                <w:sz w:val="18"/>
                <w:szCs w:val="18"/>
                <w:lang w:eastAsia="zh-CN"/>
              </w:rPr>
            </w:pPr>
          </w:p>
        </w:tc>
      </w:tr>
      <w:tr w14:paraId="047A7C6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B8C9C46">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12A8D3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14712F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5F0BB9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老年人满意度</w:t>
            </w:r>
          </w:p>
        </w:tc>
        <w:tc>
          <w:tcPr>
            <w:tcW w:w="1125" w:type="dxa"/>
            <w:tcBorders>
              <w:top w:val="nil"/>
              <w:left w:val="nil"/>
              <w:bottom w:val="single" w:color="auto" w:sz="4" w:space="0"/>
              <w:right w:val="single" w:color="auto" w:sz="4" w:space="0"/>
            </w:tcBorders>
            <w:vAlign w:val="center"/>
          </w:tcPr>
          <w:p w14:paraId="0134A4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3A8A5B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3F8DB4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E0EF2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DF17089">
            <w:pPr>
              <w:spacing w:after="0" w:line="240" w:lineRule="auto"/>
              <w:jc w:val="center"/>
              <w:rPr>
                <w:rFonts w:hint="eastAsia" w:ascii="宋体" w:hAnsi="宋体" w:eastAsia="宋体" w:cs="宋体"/>
                <w:color w:val="000000"/>
                <w:sz w:val="18"/>
                <w:szCs w:val="18"/>
                <w:lang w:eastAsia="zh-CN"/>
              </w:rPr>
            </w:pPr>
          </w:p>
        </w:tc>
      </w:tr>
      <w:tr w14:paraId="4092C348">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4C9811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0544115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07B58ED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1C310547">
            <w:pPr>
              <w:spacing w:after="0" w:line="240" w:lineRule="auto"/>
              <w:jc w:val="center"/>
              <w:rPr>
                <w:rFonts w:hint="eastAsia" w:ascii="宋体" w:hAnsi="宋体" w:eastAsia="宋体" w:cs="宋体"/>
                <w:b/>
                <w:bCs/>
                <w:color w:val="000000"/>
                <w:sz w:val="18"/>
                <w:szCs w:val="18"/>
                <w:lang w:eastAsia="zh-CN"/>
              </w:rPr>
            </w:pPr>
          </w:p>
        </w:tc>
      </w:tr>
      <w:bookmarkEnd w:id="1"/>
    </w:tbl>
    <w:p w14:paraId="70F5FD22">
      <w:pPr>
        <w:widowControl w:val="0"/>
        <w:spacing w:after="0" w:line="240" w:lineRule="auto"/>
        <w:rPr>
          <w:rFonts w:ascii="仿宋_GB2312" w:eastAsia="仿宋_GB2312"/>
          <w:sz w:val="32"/>
          <w:szCs w:val="32"/>
        </w:rPr>
      </w:pPr>
    </w:p>
    <w:p w14:paraId="132FCF7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6C4876D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31D9A25B">
      <w:pPr>
        <w:spacing w:after="0" w:line="240" w:lineRule="auto"/>
        <w:ind w:firstLine="640" w:firstLineChars="200"/>
        <w:rPr>
          <w:rFonts w:ascii="仿宋_GB2312" w:eastAsia="仿宋_GB2312"/>
          <w:sz w:val="32"/>
          <w:szCs w:val="32"/>
          <w:lang w:eastAsia="zh-CN"/>
        </w:rPr>
      </w:pPr>
    </w:p>
    <w:p w14:paraId="3FC1B159">
      <w:pPr>
        <w:rPr>
          <w:lang w:eastAsia="zh-CN"/>
        </w:rPr>
      </w:pPr>
      <w:r>
        <w:rPr>
          <w:sz w:val="0"/>
          <w:szCs w:val="0"/>
          <w:lang w:eastAsia="zh-CN"/>
        </w:rPr>
        <w:br w:type="page"/>
      </w:r>
    </w:p>
    <w:p w14:paraId="4114E8E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4BDF37E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9A2E9F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12D922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66CD1A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103A43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2EA3B8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8E9069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2D5EB4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86FFB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9C46C6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D1BE7B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4CC0A5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5F3760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A7729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A9DBA7B">
      <w:pPr>
        <w:rPr>
          <w:lang w:eastAsia="zh-CN"/>
        </w:rPr>
      </w:pPr>
      <w:r>
        <w:rPr>
          <w:sz w:val="0"/>
          <w:szCs w:val="0"/>
          <w:lang w:eastAsia="zh-CN"/>
        </w:rPr>
        <w:br w:type="page"/>
      </w:r>
    </w:p>
    <w:p w14:paraId="3E0C108E">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07485CD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9A13C7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B1D0D2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AC2145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4508D0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28206C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2A51DF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9CDF36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264A89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53921"/>
    <w:rsid w:val="00170E47"/>
    <w:rsid w:val="00480D77"/>
    <w:rsid w:val="0049155C"/>
    <w:rsid w:val="008B017F"/>
    <w:rsid w:val="00CD037F"/>
    <w:rsid w:val="00CF7341"/>
    <w:rsid w:val="00E803DA"/>
    <w:rsid w:val="00F53921"/>
    <w:rsid w:val="23406AAF"/>
    <w:rsid w:val="345A4DFA"/>
    <w:rsid w:val="4AE05605"/>
    <w:rsid w:val="4E02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6929</Words>
  <Characters>7780</Characters>
  <Lines>361</Lines>
  <Paragraphs>303</Paragraphs>
  <TotalTime>25</TotalTime>
  <ScaleCrop>false</ScaleCrop>
  <LinksUpToDate>false</LinksUpToDate>
  <CharactersWithSpaces>7790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2025-10-09T03:11:00Z</dcterms:created>
  <dc:creator>LYQX</dc:creator>
  <cp:lastModifiedBy>局外人.</cp:lastModifiedBy>
  <dcterms:modified xsi:type="dcterms:W3CDTF">2025-11-20T04:01:13Z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2052-12.1.0.23125</vt:lpwstr>
  </property>
  <property fmtid="{D5CDD505-2E9C-101B-9397-08002B2CF9AE}" pid="4" name="ICV">
    <vt:lpwstr>E1FC5B03709E4949A7EBE778550E814F_12</vt:lpwstr>
  </property>
</Properties>
</file>