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3B8C6">
      <w:pPr>
        <w:spacing w:after="0" w:line="240" w:lineRule="auto"/>
        <w:rPr>
          <w:rFonts w:hint="eastAsia" w:ascii="宋体" w:eastAsia="宋体"/>
          <w:sz w:val="32"/>
          <w:szCs w:val="32"/>
        </w:rPr>
      </w:pPr>
    </w:p>
    <w:p w14:paraId="7FAA5001">
      <w:pPr>
        <w:spacing w:after="0" w:line="240" w:lineRule="auto"/>
        <w:rPr>
          <w:rFonts w:hint="eastAsia" w:ascii="宋体" w:eastAsia="宋体"/>
          <w:sz w:val="44"/>
          <w:szCs w:val="44"/>
        </w:rPr>
      </w:pPr>
    </w:p>
    <w:p w14:paraId="191F1A10">
      <w:pPr>
        <w:spacing w:after="0" w:line="240" w:lineRule="auto"/>
        <w:rPr>
          <w:rFonts w:hint="eastAsia" w:ascii="宋体" w:eastAsia="宋体"/>
          <w:sz w:val="44"/>
          <w:szCs w:val="44"/>
        </w:rPr>
      </w:pPr>
    </w:p>
    <w:p w14:paraId="2DA3382A">
      <w:pPr>
        <w:spacing w:after="0" w:line="240" w:lineRule="auto"/>
        <w:rPr>
          <w:rFonts w:hint="eastAsia" w:ascii="宋体" w:eastAsia="宋体"/>
          <w:sz w:val="44"/>
          <w:szCs w:val="44"/>
        </w:rPr>
      </w:pPr>
    </w:p>
    <w:p w14:paraId="410B74D4">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乌鲁木齐市米东区古牧地西路</w:t>
      </w:r>
    </w:p>
    <w:p w14:paraId="21B1859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片区管理委员会</w:t>
      </w:r>
    </w:p>
    <w:p w14:paraId="521E418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C4E782C">
      <w:pPr>
        <w:rPr>
          <w:rFonts w:hint="eastAsia"/>
          <w:lang w:eastAsia="zh-CN"/>
        </w:rPr>
      </w:pPr>
      <w:r>
        <w:rPr>
          <w:sz w:val="0"/>
          <w:szCs w:val="0"/>
          <w:lang w:eastAsia="zh-CN"/>
        </w:rPr>
        <w:br w:type="page"/>
      </w:r>
    </w:p>
    <w:p w14:paraId="35957581">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4E373C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07BAEB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3E296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77BAD6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738B2D9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6BD247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3618F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259EF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78491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451E2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A0F5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9A405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FBAF3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4493C4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375A4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33F30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F0909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EA799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90B26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53294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3541CA9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A3C34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65E78D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BC4BE6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D4D86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E7F2B9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3BFF7A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494E3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44847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A63C67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7B6390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F457F5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78FCF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9E1326F">
      <w:pPr>
        <w:rPr>
          <w:rFonts w:hint="eastAsia"/>
          <w:lang w:eastAsia="zh-CN"/>
        </w:rPr>
      </w:pPr>
      <w:r>
        <w:rPr>
          <w:sz w:val="0"/>
          <w:szCs w:val="0"/>
          <w:lang w:eastAsia="zh-CN"/>
        </w:rPr>
        <w:br w:type="page"/>
      </w:r>
    </w:p>
    <w:p w14:paraId="0A3AADC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B53371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FC3A5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米东区古牧地西路街道办事处机构设置为正科级单位。受区委、区人民政府委托，统一领导和管理辖区党务、行政和社会事务工作，促进片区和谐发展;拟定片区发展规划，提出强化“两个机制”、夯实基层基础工作的建议和措施，并组织实施；统筹整合辖区行政资源，社会资源和公共服务资源，综合协调相关职能部门和驻区企事业单位，为辖区居民提供民生保障、社会治安、城市管理等综合服务；对相关职能部门和驻区企事业单位履行社区管理和公共服务职能情况进行监督、检查和考核</w:t>
      </w:r>
      <w:r>
        <w:rPr>
          <w:rFonts w:hint="eastAsia" w:ascii="仿宋_GB2312" w:eastAsia="仿宋_GB2312"/>
          <w:sz w:val="32"/>
          <w:szCs w:val="32"/>
          <w:lang w:eastAsia="zh-CN"/>
        </w:rPr>
        <w:t>。</w:t>
      </w:r>
    </w:p>
    <w:p w14:paraId="41A00A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承办区委、区人民政府交办的其他事项。</w:t>
      </w:r>
    </w:p>
    <w:p w14:paraId="729CFAD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7ACA7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乌鲁木齐市米东区古牧地西路片区管理委员会2024年度，实有人数250人，其中：在职人员234人，减少13人；离休人员0人，较上年无变化；退休人员16人，增加6人。</w:t>
      </w:r>
    </w:p>
    <w:p w14:paraId="44D285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乌鲁木齐市米东区古牧地西路片区管理委员会无下属预算单位，下设</w:t>
      </w:r>
      <w:r>
        <w:rPr>
          <w:rFonts w:hint="eastAsia" w:ascii="仿宋_GB2312" w:eastAsia="仿宋_GB2312"/>
          <w:sz w:val="32"/>
          <w:szCs w:val="32"/>
          <w:lang w:eastAsia="zh-CN"/>
        </w:rPr>
        <w:t>8</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，分别是：党建工作办公室、综合协调办公室、综合执法办公室</w:t>
      </w:r>
      <w:r>
        <w:rPr>
          <w:rFonts w:hint="eastAsia" w:ascii="仿宋_GB2312" w:eastAsia="仿宋_GB2312"/>
          <w:sz w:val="32"/>
          <w:szCs w:val="32"/>
          <w:lang w:eastAsia="zh-CN"/>
        </w:rPr>
        <w:t>、</w:t>
      </w:r>
      <w:r>
        <w:rPr>
          <w:rFonts w:ascii="仿宋_GB2312" w:eastAsia="仿宋_GB2312"/>
          <w:sz w:val="32"/>
          <w:szCs w:val="32"/>
          <w:lang w:eastAsia="zh-CN"/>
        </w:rPr>
        <w:t>党群服务中心、社会事务服务中心（退役军人服务站）、综治和网格化服务中心、经济发展中心、综合行政执法队。</w:t>
      </w:r>
    </w:p>
    <w:p w14:paraId="2AF15CD2">
      <w:pPr>
        <w:rPr>
          <w:rFonts w:hint="eastAsia"/>
          <w:lang w:eastAsia="zh-CN"/>
        </w:rPr>
      </w:pPr>
      <w:r>
        <w:rPr>
          <w:sz w:val="0"/>
          <w:szCs w:val="0"/>
          <w:lang w:eastAsia="zh-CN"/>
        </w:rPr>
        <w:br w:type="page"/>
      </w:r>
    </w:p>
    <w:p w14:paraId="1AC292E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6CFD02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67F67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2024年度收入总计4,177.10万元，其中：本年收入合计4,055.03万元，使用非财政拨款结余（含专用结余）0.00万元，年初结转和结余122.07万元。</w:t>
      </w:r>
    </w:p>
    <w:p w14:paraId="6D294C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2024年度支出总计4,177.10万元，其中：本年支出合计4,089.80万元，结余分配0.00万元，年末结转和结余87.30万元。</w:t>
      </w:r>
    </w:p>
    <w:p w14:paraId="300E1A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收入支出总体与上年相比，减少476.49万元，下降10.24%，主要原因是：</w:t>
      </w:r>
      <w:r>
        <w:rPr>
          <w:rFonts w:hint="eastAsia" w:ascii="仿宋_GB2312" w:eastAsia="仿宋_GB2312"/>
          <w:sz w:val="32"/>
          <w:szCs w:val="32"/>
          <w:lang w:eastAsia="zh-CN"/>
        </w:rPr>
        <w:t>单位本年人员减少，人员工资、津贴补贴、奖金等经费减少;</w:t>
      </w:r>
      <w:r>
        <w:rPr>
          <w:rFonts w:hint="eastAsia" w:ascii="仿宋_GB2312" w:eastAsia="仿宋_GB2312"/>
          <w:sz w:val="32"/>
          <w:szCs w:val="32"/>
          <w:lang w:val="en-US" w:eastAsia="zh-CN"/>
        </w:rPr>
        <w:t>单位本年</w:t>
      </w:r>
      <w:r>
        <w:rPr>
          <w:rFonts w:hint="eastAsia" w:ascii="仿宋_GB2312" w:eastAsia="仿宋_GB2312"/>
          <w:sz w:val="32"/>
          <w:szCs w:val="32"/>
          <w:lang w:eastAsia="zh-CN"/>
        </w:rPr>
        <w:t>临聘人员减少，劳务费减少</w:t>
      </w:r>
      <w:r>
        <w:rPr>
          <w:rFonts w:ascii="仿宋_GB2312" w:eastAsia="仿宋_GB2312"/>
          <w:sz w:val="32"/>
          <w:szCs w:val="32"/>
          <w:lang w:eastAsia="zh-CN"/>
        </w:rPr>
        <w:t>。</w:t>
      </w:r>
    </w:p>
    <w:p w14:paraId="1DCE37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EB81C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本年收入4,055.03万元，其中：财政拨款收入4,055.03万元,占100.00%；上级补助收入0.00万元,占0.00%；事业收入0.00万元，占0.00%；经营收入0.00万元,占0.00%；附属单位上缴收入0.00万元，占0.00%；其他收入0.00万元，占0.00%。</w:t>
      </w:r>
    </w:p>
    <w:p w14:paraId="08B6B33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62FBA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本年支出4,089.80万元，其中：基本支出4,089.80万元，占100.00%；项目支出0.00万元，占0.00%；上缴上级支出0.00万元，占0.00%；经营支出0.00万元，占0.00%；对附属单位补助支出0.00万元，占0.00%。</w:t>
      </w:r>
    </w:p>
    <w:p w14:paraId="441A65D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BB008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4,177.10万元，其中：年初财政拨款结转和结余122.07万元，本年财政拨款收入4,055.03万元。财政拨款支出总计4,177.10万元，其中：年末财政拨款结转和结余87.30万元，本年财政拨款支出4,089.80万元。</w:t>
      </w:r>
    </w:p>
    <w:p w14:paraId="0C3C05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财政拨款收入支出总体与上年相比，减少476.49万元，下降10.24%，主要原因是：</w:t>
      </w:r>
      <w:r>
        <w:rPr>
          <w:rFonts w:hint="eastAsia" w:ascii="仿宋_GB2312" w:eastAsia="仿宋_GB2312"/>
          <w:sz w:val="32"/>
          <w:szCs w:val="32"/>
          <w:lang w:eastAsia="zh-CN"/>
        </w:rPr>
        <w:t>单位本年人员减少，人员工资、津贴补贴、奖金等经费减少;</w:t>
      </w:r>
      <w:r>
        <w:rPr>
          <w:rFonts w:hint="eastAsia" w:ascii="仿宋_GB2312" w:eastAsia="仿宋_GB2312"/>
          <w:sz w:val="32"/>
          <w:szCs w:val="32"/>
          <w:lang w:val="en-US" w:eastAsia="zh-CN"/>
        </w:rPr>
        <w:t>单位本年</w:t>
      </w:r>
      <w:r>
        <w:rPr>
          <w:rFonts w:hint="eastAsia" w:ascii="仿宋_GB2312" w:eastAsia="仿宋_GB2312"/>
          <w:sz w:val="32"/>
          <w:szCs w:val="32"/>
          <w:lang w:eastAsia="zh-CN"/>
        </w:rPr>
        <w:t>临聘人员减少，劳务费减少</w:t>
      </w:r>
      <w:r>
        <w:rPr>
          <w:rFonts w:ascii="仿宋_GB2312" w:eastAsia="仿宋_GB2312"/>
          <w:sz w:val="32"/>
          <w:szCs w:val="32"/>
          <w:lang w:eastAsia="zh-CN"/>
        </w:rPr>
        <w:t>。与年初预算相比，年初预算数6,221.84万元，决算数4,177.10万元，预决算差异率-32.86%，主要原因是：</w:t>
      </w:r>
      <w:r>
        <w:rPr>
          <w:rFonts w:hint="eastAsia" w:ascii="仿宋_GB2312" w:eastAsia="仿宋_GB2312"/>
          <w:sz w:val="32"/>
          <w:szCs w:val="32"/>
          <w:highlight w:val="none"/>
          <w:lang w:eastAsia="zh-CN"/>
        </w:rPr>
        <w:t>较预算减少人员工资、津贴补贴、奖金、劳务费等经费</w:t>
      </w:r>
      <w:r>
        <w:rPr>
          <w:rFonts w:ascii="仿宋_GB2312" w:eastAsia="仿宋_GB2312"/>
          <w:sz w:val="32"/>
          <w:szCs w:val="32"/>
          <w:highlight w:val="none"/>
          <w:lang w:eastAsia="zh-CN"/>
        </w:rPr>
        <w:t>。</w:t>
      </w:r>
    </w:p>
    <w:p w14:paraId="77BC2F9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49E625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709A7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2024年度一般公共预算财政拨款支出4,089.80万元，占本年支出合计的100.00%。与上年相比，减少437.11万元，下降9.66%，主要原因是：</w:t>
      </w:r>
      <w:r>
        <w:rPr>
          <w:rFonts w:hint="eastAsia" w:ascii="仿宋_GB2312" w:eastAsia="仿宋_GB2312"/>
          <w:sz w:val="32"/>
          <w:szCs w:val="32"/>
          <w:lang w:eastAsia="zh-CN"/>
        </w:rPr>
        <w:t>单位本年人员减少，人员工资、津贴补贴、奖金等经费减少;</w:t>
      </w:r>
      <w:r>
        <w:rPr>
          <w:rFonts w:hint="eastAsia" w:ascii="仿宋_GB2312" w:eastAsia="仿宋_GB2312"/>
          <w:sz w:val="32"/>
          <w:szCs w:val="32"/>
          <w:lang w:val="en-US" w:eastAsia="zh-CN"/>
        </w:rPr>
        <w:t>单位本年</w:t>
      </w:r>
      <w:r>
        <w:rPr>
          <w:rFonts w:hint="eastAsia" w:ascii="仿宋_GB2312" w:eastAsia="仿宋_GB2312"/>
          <w:sz w:val="32"/>
          <w:szCs w:val="32"/>
          <w:lang w:eastAsia="zh-CN"/>
        </w:rPr>
        <w:t>临聘人员减少，劳务费减少</w:t>
      </w:r>
      <w:r>
        <w:rPr>
          <w:rFonts w:ascii="仿宋_GB2312" w:eastAsia="仿宋_GB2312"/>
          <w:sz w:val="32"/>
          <w:szCs w:val="32"/>
          <w:lang w:eastAsia="zh-CN"/>
        </w:rPr>
        <w:t>。与年初预算相比，年初预算数6,221.84万元，决算数4,089.80万元，预决算差异率-34.27%，主要原因是：</w:t>
      </w:r>
      <w:r>
        <w:rPr>
          <w:rFonts w:hint="eastAsia" w:ascii="仿宋_GB2312" w:eastAsia="仿宋_GB2312"/>
          <w:sz w:val="32"/>
          <w:szCs w:val="32"/>
          <w:highlight w:val="none"/>
          <w:lang w:eastAsia="zh-CN"/>
        </w:rPr>
        <w:t>较预算减少人员工资、津贴补贴、奖金、劳务费等经费</w:t>
      </w:r>
      <w:r>
        <w:rPr>
          <w:rFonts w:ascii="仿宋_GB2312" w:eastAsia="仿宋_GB2312"/>
          <w:sz w:val="32"/>
          <w:szCs w:val="32"/>
          <w:highlight w:val="none"/>
          <w:lang w:eastAsia="zh-CN"/>
        </w:rPr>
        <w:t>。</w:t>
      </w:r>
    </w:p>
    <w:p w14:paraId="2256CE7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DD0A1D9">
      <w:pPr>
        <w:pStyle w:val="25"/>
        <w:numPr>
          <w:ilvl w:val="0"/>
          <w:numId w:val="0"/>
        </w:numPr>
        <w:spacing w:after="0" w:line="240" w:lineRule="auto"/>
        <w:ind w:left="640" w:leftChars="0"/>
        <w:jc w:val="both"/>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lang w:eastAsia="zh-CN"/>
        </w:rPr>
        <w:t>一般公共服务支出（类）846.05万元，占20.69%。</w:t>
      </w:r>
    </w:p>
    <w:p w14:paraId="1F1141DB">
      <w:pPr>
        <w:pStyle w:val="25"/>
        <w:numPr>
          <w:ilvl w:val="0"/>
          <w:numId w:val="0"/>
        </w:numPr>
        <w:spacing w:after="0" w:line="240" w:lineRule="auto"/>
        <w:ind w:left="640" w:leftChars="0"/>
        <w:jc w:val="both"/>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社会保障和就业支出（类）3,239.40万元，占79.21%。</w:t>
      </w:r>
    </w:p>
    <w:p w14:paraId="13A3C2BE">
      <w:pPr>
        <w:pStyle w:val="25"/>
        <w:numPr>
          <w:ilvl w:val="0"/>
          <w:numId w:val="0"/>
        </w:numPr>
        <w:spacing w:after="0" w:line="240" w:lineRule="auto"/>
        <w:ind w:left="640" w:leftChars="0"/>
        <w:jc w:val="both"/>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卫生健康支出（类）4.35万元，占0.11%。</w:t>
      </w:r>
    </w:p>
    <w:p w14:paraId="203DFAF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2EA1B6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1、一般公共服务支出（类）政府办公厅（室）及相关机构事务（款）行政运行（项）：支出决算数为308.63万元，比上年决算减少53.32万元，下降14.73%，主要原因是：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w:t>
      </w:r>
    </w:p>
    <w:p w14:paraId="5DB251F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2、一般公共服务支出（类）政府办公厅（室）及相关机构事务（款）机关服务（项）：支出决算数为477.42万元，比上年决算增加65.67万元，增长15.95%，主要原因是：</w:t>
      </w:r>
      <w:r>
        <w:rPr>
          <w:rFonts w:hint="eastAsia" w:ascii="仿宋_GB2312" w:eastAsia="仿宋_GB2312"/>
          <w:sz w:val="32"/>
          <w:szCs w:val="32"/>
          <w:lang w:eastAsia="zh-CN"/>
        </w:rPr>
        <w:t>单位本年社保缴费基数调增，人员基本医疗、公务员医疗、大病医疗保险缴费增加</w:t>
      </w:r>
      <w:r>
        <w:rPr>
          <w:rFonts w:ascii="仿宋_GB2312" w:eastAsia="仿宋_GB2312"/>
          <w:sz w:val="32"/>
          <w:szCs w:val="32"/>
          <w:lang w:eastAsia="zh-CN"/>
        </w:rPr>
        <w:t>。</w:t>
      </w:r>
    </w:p>
    <w:p w14:paraId="55D26DB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3、一般公共服务支出（类）组织事务（款）其他组织事务支出（项）：支出决算数为60.00万元，比上年决算增加60.00万元，增长100.00%，主要原因是：本年</w:t>
      </w:r>
      <w:r>
        <w:rPr>
          <w:rFonts w:hint="eastAsia" w:ascii="仿宋_GB2312" w:eastAsia="仿宋_GB2312"/>
          <w:sz w:val="32"/>
          <w:szCs w:val="32"/>
          <w:lang w:eastAsia="zh-CN"/>
        </w:rPr>
        <w:t>古牧地西路片区管委会</w:t>
      </w:r>
      <w:r>
        <w:rPr>
          <w:rFonts w:ascii="仿宋_GB2312" w:eastAsia="仿宋_GB2312"/>
          <w:sz w:val="32"/>
          <w:szCs w:val="32"/>
          <w:lang w:eastAsia="zh-CN"/>
        </w:rPr>
        <w:t>基层组织建设资金</w:t>
      </w:r>
      <w:r>
        <w:rPr>
          <w:rFonts w:hint="eastAsia" w:ascii="仿宋_GB2312" w:eastAsia="仿宋_GB2312"/>
          <w:sz w:val="32"/>
          <w:szCs w:val="32"/>
          <w:lang w:eastAsia="zh-CN"/>
        </w:rPr>
        <w:t>增加</w:t>
      </w:r>
      <w:r>
        <w:rPr>
          <w:rFonts w:ascii="仿宋_GB2312" w:eastAsia="仿宋_GB2312"/>
          <w:sz w:val="32"/>
          <w:szCs w:val="32"/>
          <w:lang w:eastAsia="zh-CN"/>
        </w:rPr>
        <w:t>。</w:t>
      </w:r>
    </w:p>
    <w:p w14:paraId="5AA401B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4、社会保障和就业支出（类）民政管理事务（款）基层政权建设和社区治理（项）：支出决算数为2,820.37万元，比上年决算减少573.50万元，下降16.90%，主要原因是：</w:t>
      </w:r>
      <w:r>
        <w:rPr>
          <w:rFonts w:hint="eastAsia" w:ascii="仿宋_GB2312" w:eastAsia="仿宋_GB2312"/>
          <w:sz w:val="32"/>
          <w:szCs w:val="32"/>
          <w:lang w:eastAsia="zh-CN"/>
        </w:rPr>
        <w:t>单位本年人员减少，人员工资、津贴补贴、奖金等经费减少；</w:t>
      </w:r>
      <w:r>
        <w:rPr>
          <w:rFonts w:hint="eastAsia" w:ascii="仿宋_GB2312" w:eastAsia="仿宋_GB2312"/>
          <w:sz w:val="32"/>
          <w:szCs w:val="32"/>
          <w:lang w:val="en-US" w:eastAsia="zh-CN"/>
        </w:rPr>
        <w:t>单位本年</w:t>
      </w:r>
      <w:r>
        <w:rPr>
          <w:rFonts w:hint="eastAsia" w:ascii="仿宋_GB2312" w:eastAsia="仿宋_GB2312"/>
          <w:sz w:val="32"/>
          <w:szCs w:val="32"/>
          <w:lang w:eastAsia="zh-CN"/>
        </w:rPr>
        <w:t>临聘人员减少，劳务费减少。</w:t>
      </w:r>
    </w:p>
    <w:p w14:paraId="694C2FB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5、社会保障和就业支出（类）行政事业单位养老支出（款）机关事业单位基本养老保险缴费支出（项）：支出决算数为419.03万元，比上年决算增加65.03万元，增长18.37%，主要原因是：</w:t>
      </w:r>
      <w:bookmarkStart w:id="0" w:name="_Hlk209267990"/>
      <w:r>
        <w:rPr>
          <w:rFonts w:hint="eastAsia" w:ascii="仿宋_GB2312" w:eastAsia="仿宋_GB2312"/>
          <w:sz w:val="32"/>
          <w:szCs w:val="32"/>
          <w:lang w:eastAsia="zh-CN"/>
        </w:rPr>
        <w:t>单位本年社保缴费基数调增，人员养老保险缴费增加</w:t>
      </w:r>
      <w:bookmarkEnd w:id="0"/>
      <w:r>
        <w:rPr>
          <w:rFonts w:ascii="仿宋_GB2312" w:eastAsia="仿宋_GB2312"/>
          <w:sz w:val="32"/>
          <w:szCs w:val="32"/>
          <w:lang w:eastAsia="zh-CN"/>
        </w:rPr>
        <w:t>。</w:t>
      </w:r>
    </w:p>
    <w:p w14:paraId="52A8735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6、卫生健康支出（类）计划生育事务（款）计划生育服务（项）：支出决算数为4.35万元，比上年决算减少0.99万元，下降18.54%，主要原因是：本年未</w:t>
      </w:r>
      <w:r>
        <w:rPr>
          <w:rFonts w:hint="eastAsia" w:ascii="仿宋_GB2312" w:eastAsia="仿宋_GB2312"/>
          <w:sz w:val="32"/>
          <w:szCs w:val="32"/>
          <w:lang w:eastAsia="zh-CN"/>
        </w:rPr>
        <w:t>安排</w:t>
      </w:r>
      <w:r>
        <w:rPr>
          <w:rFonts w:ascii="仿宋_GB2312" w:eastAsia="仿宋_GB2312"/>
          <w:sz w:val="32"/>
          <w:szCs w:val="32"/>
          <w:lang w:eastAsia="zh-CN"/>
        </w:rPr>
        <w:t>机动车保险费</w:t>
      </w:r>
      <w:r>
        <w:rPr>
          <w:rFonts w:hint="eastAsia" w:ascii="仿宋_GB2312" w:eastAsia="仿宋_GB2312"/>
          <w:sz w:val="32"/>
          <w:szCs w:val="32"/>
          <w:lang w:eastAsia="zh-CN"/>
        </w:rPr>
        <w:t>，导致此项经费减少</w:t>
      </w:r>
      <w:r>
        <w:rPr>
          <w:rFonts w:ascii="仿宋_GB2312" w:eastAsia="仿宋_GB2312"/>
          <w:sz w:val="32"/>
          <w:szCs w:val="32"/>
          <w:lang w:eastAsia="zh-CN"/>
        </w:rPr>
        <w:t>。</w:t>
      </w:r>
    </w:p>
    <w:p w14:paraId="74B15C9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C7C410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4,089.80万元，其中：人员经费3,893.41万元，包括：基本工资、津贴补贴、奖金、绩效工资、机关事业单位基本养老保险缴费、职业年金缴费、职工基本医疗保险缴费、公务员医疗补助缴费、其他社会保障缴费和住房公积金。</w:t>
      </w:r>
    </w:p>
    <w:p w14:paraId="29E8DF9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公用经费196.39万元，包括：办公费、水费、电费、邮电费、取暖费、差旅费、维修（护）费、租赁费、培训费、工会经费、福利费、公务用车运行维护费、其他交通费用、税金及附加费用和其他商品和服务支出。</w:t>
      </w:r>
    </w:p>
    <w:p w14:paraId="06359FD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C5CB9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FF32F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8A3E0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28C03B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70F22A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2024年度财政拨款“三公”经费支出4.35万元，与上年相比无变化，主要原因是：</w:t>
      </w:r>
      <w:r>
        <w:rPr>
          <w:rFonts w:hint="eastAsia" w:ascii="仿宋_GB2312" w:eastAsia="仿宋_GB2312"/>
          <w:sz w:val="32"/>
          <w:szCs w:val="32"/>
          <w:lang w:eastAsia="zh-CN"/>
        </w:rPr>
        <w:t>本年</w:t>
      </w:r>
      <w:r>
        <w:rPr>
          <w:rFonts w:ascii="仿宋_GB2312" w:eastAsia="仿宋_GB2312"/>
          <w:sz w:val="32"/>
          <w:szCs w:val="32"/>
          <w:lang w:eastAsia="zh-CN"/>
        </w:rPr>
        <w:t>财政拨款“三公”经费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；公务用车购置及运行维护费支出4.35万元，占100.00%，与上年相比无变化，主要原因是：</w:t>
      </w:r>
      <w:r>
        <w:rPr>
          <w:rFonts w:hint="eastAsia" w:ascii="仿宋_GB2312" w:eastAsia="仿宋_GB2312"/>
          <w:sz w:val="32"/>
          <w:szCs w:val="32"/>
          <w:lang w:eastAsia="zh-CN"/>
        </w:rPr>
        <w:t>本年</w:t>
      </w:r>
      <w:r>
        <w:rPr>
          <w:rFonts w:ascii="仿宋_GB2312" w:eastAsia="仿宋_GB2312"/>
          <w:sz w:val="32"/>
          <w:szCs w:val="32"/>
          <w:lang w:eastAsia="zh-CN"/>
        </w:rPr>
        <w:t>公务用车购置及运行维护费</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bookmarkStart w:id="1" w:name="_Hlk207114081"/>
      <w:bookmarkStart w:id="2" w:name="_Hlk207720892"/>
      <w:r>
        <w:rPr>
          <w:rFonts w:hint="eastAsia" w:ascii="仿宋_GB2312" w:eastAsia="仿宋_GB2312"/>
          <w:sz w:val="32"/>
          <w:szCs w:val="32"/>
          <w:lang w:eastAsia="zh-CN"/>
        </w:rPr>
        <w:t>我单位上年度与本年度均无</w:t>
      </w:r>
      <w:bookmarkEnd w:id="1"/>
      <w:r>
        <w:rPr>
          <w:rFonts w:hint="eastAsia" w:ascii="仿宋_GB2312" w:eastAsia="仿宋_GB2312"/>
          <w:sz w:val="32"/>
          <w:szCs w:val="32"/>
          <w:lang w:eastAsia="zh-CN"/>
        </w:rPr>
        <w:t>此项经费</w:t>
      </w:r>
      <w:bookmarkEnd w:id="2"/>
      <w:r>
        <w:rPr>
          <w:rFonts w:ascii="仿宋_GB2312" w:eastAsia="仿宋_GB2312"/>
          <w:sz w:val="32"/>
          <w:szCs w:val="32"/>
          <w:lang w:eastAsia="zh-CN"/>
        </w:rPr>
        <w:t>。</w:t>
      </w:r>
    </w:p>
    <w:p w14:paraId="304F206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0C567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27465"/>
      <w:r>
        <w:rPr>
          <w:rFonts w:ascii="仿宋_GB2312" w:eastAsia="仿宋_GB2312"/>
          <w:sz w:val="32"/>
          <w:szCs w:val="32"/>
          <w:lang w:eastAsia="zh-CN"/>
        </w:rPr>
        <w:t>本单位本年度无因公出国（境）费</w:t>
      </w:r>
      <w:bookmarkEnd w:id="3"/>
      <w:r>
        <w:rPr>
          <w:rFonts w:ascii="仿宋_GB2312" w:eastAsia="仿宋_GB2312"/>
          <w:sz w:val="32"/>
          <w:szCs w:val="32"/>
          <w:lang w:eastAsia="zh-CN"/>
        </w:rPr>
        <w:t>。单位全年安排的因公出国（境）团组0个，因公出国（境）0人次。</w:t>
      </w:r>
    </w:p>
    <w:p w14:paraId="2FBA8FE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公务用车购置及运行维护费4.35万元，其中：公务用车购置费0.00万元，公务用车运行维护费4.35万元。公务用车运行维护费开支内容包括</w:t>
      </w:r>
      <w:r>
        <w:rPr>
          <w:rFonts w:hint="default" w:ascii="仿宋_GB2312" w:eastAsia="仿宋_GB2312"/>
          <w:sz w:val="32"/>
          <w:szCs w:val="32"/>
          <w:lang w:val="en-US" w:eastAsia="zh-CN"/>
        </w:rPr>
        <w:t>公务用车维修维护费、燃油费、保险费、过</w:t>
      </w:r>
      <w:bookmarkStart w:id="8" w:name="_GoBack"/>
      <w:bookmarkEnd w:id="8"/>
      <w:r>
        <w:rPr>
          <w:rFonts w:hint="default" w:ascii="仿宋_GB2312" w:eastAsia="仿宋_GB2312"/>
          <w:sz w:val="32"/>
          <w:szCs w:val="32"/>
          <w:lang w:val="en-US" w:eastAsia="zh-CN"/>
        </w:rPr>
        <w:t>路费等</w:t>
      </w:r>
      <w:r>
        <w:rPr>
          <w:rFonts w:ascii="仿宋_GB2312" w:eastAsia="仿宋_GB2312"/>
          <w:sz w:val="32"/>
          <w:szCs w:val="32"/>
          <w:lang w:eastAsia="zh-CN"/>
        </w:rPr>
        <w:t>。公务用车购置数0辆，公务用车保有量3辆。国有资产占用情况中固定资产车辆44辆，与公务用车保有量差异原因是：</w:t>
      </w:r>
      <w:bookmarkStart w:id="4" w:name="_Hlk207720983"/>
      <w:r>
        <w:rPr>
          <w:rFonts w:hint="eastAsia" w:ascii="仿宋_GB2312" w:eastAsia="仿宋_GB2312"/>
          <w:sz w:val="32"/>
          <w:szCs w:val="32"/>
          <w:lang w:eastAsia="zh-CN"/>
        </w:rPr>
        <w:t>差异车辆为一般业务用车41辆，车辆费用未使用财政拨款公务用车运行维护费支付</w:t>
      </w:r>
      <w:bookmarkEnd w:id="4"/>
      <w:r>
        <w:rPr>
          <w:rFonts w:ascii="仿宋_GB2312" w:eastAsia="仿宋_GB2312"/>
          <w:sz w:val="32"/>
          <w:szCs w:val="32"/>
          <w:lang w:eastAsia="zh-CN"/>
        </w:rPr>
        <w:t>。</w:t>
      </w:r>
    </w:p>
    <w:p w14:paraId="6B9578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194E30B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与全年预算相比，财政拨款“三公”经费支出全年预算数4.35万元，决算数4.35万元，预决算差异率0.00%，主要原因是：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；公务用车运行维护费全年预算数4.35万元，决算数4.35万元，预决算差异率0.00%，主要原因是：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0EF8F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3A3A4CB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F9E25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古牧地西路片区管理委员会单位（行政单位和参照公务员法管理事业单位）机关运行经费支出196.39万元，比上年减少291.63万元，下降59.76%，主要原因是：本年办公费、水费、电费、取暖费、</w:t>
      </w:r>
      <w:r>
        <w:rPr>
          <w:rFonts w:hint="eastAsia" w:ascii="仿宋_GB2312" w:eastAsia="仿宋_GB2312"/>
          <w:sz w:val="32"/>
          <w:szCs w:val="32"/>
          <w:lang w:eastAsia="zh-CN"/>
        </w:rPr>
        <w:t>劳务费减少</w:t>
      </w:r>
      <w:r>
        <w:rPr>
          <w:rFonts w:ascii="仿宋_GB2312" w:eastAsia="仿宋_GB2312"/>
          <w:sz w:val="32"/>
          <w:szCs w:val="32"/>
          <w:lang w:eastAsia="zh-CN"/>
        </w:rPr>
        <w:t>。</w:t>
      </w:r>
    </w:p>
    <w:p w14:paraId="7DB2CC0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A3365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2024年度政府采购支出总额30.42万元，其中：政府采购货物支出21.79万元、政府采购工程支出1.17万元、政府采购服务支出7.47万元。</w:t>
      </w:r>
    </w:p>
    <w:p w14:paraId="5039916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授予中小企业合同金额30.42万元，占政府采购支出总额的100.00%，其中：授予小微企业合同金额26.45万元，占政府采购支出总额的86.95%。</w:t>
      </w:r>
    </w:p>
    <w:p w14:paraId="40A1D36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6709B1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截至2024年12月31日，房屋8,142.11平方米，价值1,671.64万元。</w:t>
      </w:r>
      <w:r>
        <w:rPr>
          <w:rFonts w:ascii="仿宋_GB2312" w:eastAsia="仿宋_GB2312"/>
          <w:sz w:val="32"/>
          <w:szCs w:val="32"/>
          <w:lang w:eastAsia="zh-CN"/>
        </w:rPr>
        <w:t>车辆44辆，价值239.46万元，其中：副部（省）级及以上领导用车0辆、主要负责人用车0辆、机要通信用车0辆、应急保障用车0辆、执法执勤用车0辆、特种专业技术用车0辆、离退休干部服务用车0辆、其他用车44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6F06ECB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7A2115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根据预算绩效管理要求，本单位2024年度</w:t>
      </w:r>
      <w:r>
        <w:rPr>
          <w:rFonts w:hint="eastAsia" w:ascii="仿宋_GB2312" w:hAnsi="仿宋_GB2312" w:eastAsia="仿宋_GB2312" w:cs="仿宋_GB2312"/>
          <w:sz w:val="32"/>
          <w:szCs w:val="32"/>
          <w:lang w:eastAsia="zh-CN"/>
        </w:rPr>
        <w:t>预算绩效管理形成整体支出绩效</w:t>
      </w:r>
      <w:r>
        <w:rPr>
          <w:rFonts w:hint="eastAsia" w:ascii="仿宋_GB2312" w:eastAsia="仿宋_GB2312"/>
          <w:sz w:val="32"/>
          <w:szCs w:val="32"/>
          <w:lang w:eastAsia="zh-CN"/>
        </w:rPr>
        <w:t>自评表1个，全年预算总额4,177.10万元，实际执行总额4,089.80万元；预算绩效评价项目0个，全年预算数0.00万元，全年执行数0.00万元。预算绩效管理取得的成效：一是预算绩效目标实现情况均已完成,完成情况良好，通过预算绩效管理，规范了项目资金的使用，不断提高专项资金使用效益，加强了项目资金的管理；二是实行预算绩效管理，推进项目的实施进度，严格执行预算，预算绩效管理水平有了进一步提高。发现的问题及原因：一是预算执行和绩效目标编制上依然有欠缺，绩效目标设立不够细化，对绩效分析不够透彻；二是缺乏高水平的绩效管理人才，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加强资金使用管理，做好绩效目标设立和预算执行，继续规范资金管理，全面做好项目绩效预算；二是提高思想认识，加强对预算执行和绩效监控重视程度，以便更好的开展工作。具体附部门整体支出绩效自评表</w:t>
      </w:r>
      <w:r>
        <w:rPr>
          <w:rFonts w:ascii="仿宋_GB2312" w:eastAsia="仿宋_GB2312"/>
          <w:sz w:val="32"/>
          <w:szCs w:val="32"/>
          <w:lang w:eastAsia="zh-CN"/>
        </w:rPr>
        <w:t>。</w:t>
      </w:r>
      <w:bookmarkStart w:id="7" w:name="_Hlk174962300"/>
    </w:p>
    <w:p w14:paraId="4127F99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4DDA1FE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5D016155">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84F8DD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26F3443">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乌鲁木齐市米东区古牧地西路片区管理委员会</w:t>
            </w:r>
          </w:p>
        </w:tc>
      </w:tr>
      <w:tr w14:paraId="2E9C6C5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0A8ED8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C7C5BB5">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7F0FD61">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7D7C50DA">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6801DAC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45F7C5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119DD11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FC7C53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4275A6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C9FAD3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F7D7528">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41AB967A">
            <w:pPr>
              <w:jc w:val="center"/>
              <w:rPr>
                <w:rFonts w:hint="eastAsia" w:ascii="宋体" w:hAnsi="宋体" w:eastAsia="宋体" w:cs="宋体"/>
                <w:sz w:val="18"/>
                <w:szCs w:val="18"/>
              </w:rPr>
            </w:pPr>
            <w:r>
              <w:rPr>
                <w:rFonts w:hint="eastAsia" w:ascii="宋体" w:hAnsi="宋体" w:eastAsia="宋体" w:cs="宋体"/>
                <w:sz w:val="18"/>
                <w:szCs w:val="18"/>
              </w:rPr>
              <w:t>6,221.84</w:t>
            </w:r>
          </w:p>
        </w:tc>
        <w:tc>
          <w:tcPr>
            <w:tcW w:w="1276" w:type="dxa"/>
            <w:tcBorders>
              <w:top w:val="nil"/>
              <w:left w:val="nil"/>
              <w:bottom w:val="single" w:color="auto" w:sz="4" w:space="0"/>
              <w:right w:val="single" w:color="auto" w:sz="4" w:space="0"/>
            </w:tcBorders>
            <w:vAlign w:val="center"/>
          </w:tcPr>
          <w:p w14:paraId="7C4BEF0D">
            <w:pPr>
              <w:jc w:val="center"/>
              <w:rPr>
                <w:rFonts w:hint="eastAsia" w:ascii="宋体" w:hAnsi="宋体" w:eastAsia="宋体" w:cs="宋体"/>
                <w:sz w:val="18"/>
                <w:szCs w:val="18"/>
              </w:rPr>
            </w:pPr>
            <w:r>
              <w:rPr>
                <w:rFonts w:hint="eastAsia" w:ascii="宋体" w:hAnsi="宋体" w:eastAsia="宋体" w:cs="宋体"/>
                <w:sz w:val="18"/>
                <w:szCs w:val="18"/>
              </w:rPr>
              <w:t>4,177.10</w:t>
            </w:r>
          </w:p>
        </w:tc>
        <w:tc>
          <w:tcPr>
            <w:tcW w:w="1701" w:type="dxa"/>
            <w:tcBorders>
              <w:top w:val="nil"/>
              <w:left w:val="nil"/>
              <w:bottom w:val="single" w:color="auto" w:sz="4" w:space="0"/>
              <w:right w:val="single" w:color="auto" w:sz="4" w:space="0"/>
            </w:tcBorders>
            <w:vAlign w:val="center"/>
          </w:tcPr>
          <w:p w14:paraId="227F5E0C">
            <w:pPr>
              <w:jc w:val="center"/>
              <w:rPr>
                <w:rFonts w:hint="eastAsia" w:ascii="宋体" w:hAnsi="宋体" w:eastAsia="宋体" w:cs="宋体"/>
                <w:sz w:val="18"/>
                <w:szCs w:val="18"/>
              </w:rPr>
            </w:pPr>
            <w:r>
              <w:rPr>
                <w:rFonts w:hint="eastAsia" w:ascii="宋体" w:hAnsi="宋体" w:eastAsia="宋体" w:cs="宋体"/>
                <w:sz w:val="18"/>
                <w:szCs w:val="18"/>
              </w:rPr>
              <w:t>4,089.80</w:t>
            </w:r>
          </w:p>
        </w:tc>
        <w:tc>
          <w:tcPr>
            <w:tcW w:w="1134" w:type="dxa"/>
            <w:tcBorders>
              <w:top w:val="nil"/>
              <w:left w:val="nil"/>
              <w:bottom w:val="single" w:color="auto" w:sz="4" w:space="0"/>
              <w:right w:val="single" w:color="auto" w:sz="4" w:space="0"/>
            </w:tcBorders>
            <w:vAlign w:val="center"/>
          </w:tcPr>
          <w:p w14:paraId="66BB0D9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5D26830">
            <w:pPr>
              <w:jc w:val="center"/>
              <w:rPr>
                <w:rFonts w:hint="eastAsia" w:ascii="宋体" w:hAnsi="宋体" w:eastAsia="宋体" w:cs="宋体"/>
                <w:sz w:val="18"/>
                <w:szCs w:val="18"/>
              </w:rPr>
            </w:pPr>
            <w:r>
              <w:rPr>
                <w:rFonts w:hint="eastAsia" w:ascii="宋体" w:hAnsi="宋体" w:eastAsia="宋体" w:cs="宋体"/>
                <w:sz w:val="18"/>
                <w:szCs w:val="18"/>
              </w:rPr>
              <w:t>97.91%</w:t>
            </w:r>
          </w:p>
        </w:tc>
        <w:tc>
          <w:tcPr>
            <w:tcW w:w="720" w:type="dxa"/>
            <w:tcBorders>
              <w:top w:val="nil"/>
              <w:left w:val="nil"/>
              <w:bottom w:val="single" w:color="auto" w:sz="4" w:space="0"/>
              <w:right w:val="single" w:color="auto" w:sz="4" w:space="0"/>
            </w:tcBorders>
            <w:vAlign w:val="center"/>
          </w:tcPr>
          <w:p w14:paraId="26255D39">
            <w:pPr>
              <w:jc w:val="center"/>
              <w:rPr>
                <w:rFonts w:hint="eastAsia" w:ascii="宋体" w:hAnsi="宋体" w:eastAsia="宋体" w:cs="宋体"/>
                <w:sz w:val="18"/>
                <w:szCs w:val="18"/>
              </w:rPr>
            </w:pPr>
            <w:r>
              <w:rPr>
                <w:rFonts w:hint="eastAsia" w:ascii="宋体" w:hAnsi="宋体" w:eastAsia="宋体" w:cs="宋体"/>
                <w:sz w:val="18"/>
                <w:szCs w:val="18"/>
              </w:rPr>
              <w:t>9.8</w:t>
            </w:r>
          </w:p>
        </w:tc>
      </w:tr>
      <w:tr w14:paraId="45F11DC0">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B16F3C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4A745D6">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4B6929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020574C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47F59A1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E889DCB">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FFB4A8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DEECF28">
            <w:pPr>
              <w:jc w:val="center"/>
              <w:rPr>
                <w:rFonts w:hint="eastAsia" w:ascii="宋体" w:hAnsi="宋体" w:eastAsia="宋体" w:cs="宋体"/>
                <w:sz w:val="18"/>
                <w:szCs w:val="18"/>
              </w:rPr>
            </w:pPr>
            <w:r>
              <w:rPr>
                <w:rFonts w:hint="eastAsia" w:ascii="宋体" w:hAnsi="宋体" w:eastAsia="宋体"/>
                <w:sz w:val="18"/>
                <w:szCs w:val="18"/>
              </w:rPr>
              <w:t>-</w:t>
            </w:r>
          </w:p>
        </w:tc>
      </w:tr>
      <w:tr w14:paraId="4B53DBF6">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B672FD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267C927">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44590495">
            <w:pPr>
              <w:jc w:val="center"/>
              <w:rPr>
                <w:rFonts w:hint="eastAsia" w:ascii="宋体" w:hAnsi="宋体" w:eastAsia="宋体" w:cs="宋体"/>
                <w:sz w:val="18"/>
                <w:szCs w:val="18"/>
              </w:rPr>
            </w:pPr>
            <w:r>
              <w:rPr>
                <w:rFonts w:hint="eastAsia" w:ascii="宋体" w:hAnsi="宋体" w:eastAsia="宋体" w:cs="宋体"/>
                <w:sz w:val="18"/>
                <w:szCs w:val="18"/>
              </w:rPr>
              <w:t>6,221.84</w:t>
            </w:r>
          </w:p>
        </w:tc>
        <w:tc>
          <w:tcPr>
            <w:tcW w:w="1276" w:type="dxa"/>
            <w:tcBorders>
              <w:top w:val="nil"/>
              <w:left w:val="nil"/>
              <w:bottom w:val="single" w:color="auto" w:sz="4" w:space="0"/>
              <w:right w:val="single" w:color="auto" w:sz="4" w:space="0"/>
            </w:tcBorders>
            <w:vAlign w:val="center"/>
          </w:tcPr>
          <w:p w14:paraId="78261858">
            <w:pPr>
              <w:jc w:val="center"/>
              <w:rPr>
                <w:rFonts w:hint="eastAsia" w:ascii="宋体" w:hAnsi="宋体" w:eastAsia="宋体" w:cs="宋体"/>
                <w:sz w:val="18"/>
                <w:szCs w:val="18"/>
              </w:rPr>
            </w:pPr>
            <w:r>
              <w:rPr>
                <w:rFonts w:hint="eastAsia" w:ascii="宋体" w:hAnsi="宋体" w:eastAsia="宋体" w:cs="宋体"/>
                <w:sz w:val="18"/>
                <w:szCs w:val="18"/>
              </w:rPr>
              <w:t>4,177.10</w:t>
            </w:r>
          </w:p>
        </w:tc>
        <w:tc>
          <w:tcPr>
            <w:tcW w:w="1701" w:type="dxa"/>
            <w:tcBorders>
              <w:top w:val="nil"/>
              <w:left w:val="nil"/>
              <w:bottom w:val="single" w:color="auto" w:sz="4" w:space="0"/>
              <w:right w:val="single" w:color="auto" w:sz="4" w:space="0"/>
            </w:tcBorders>
            <w:vAlign w:val="center"/>
          </w:tcPr>
          <w:p w14:paraId="2A566ABD">
            <w:pPr>
              <w:jc w:val="center"/>
              <w:rPr>
                <w:rFonts w:hint="eastAsia" w:ascii="宋体" w:hAnsi="宋体" w:eastAsia="宋体" w:cs="宋体"/>
                <w:sz w:val="18"/>
                <w:szCs w:val="18"/>
              </w:rPr>
            </w:pPr>
            <w:r>
              <w:rPr>
                <w:rFonts w:hint="eastAsia" w:ascii="宋体" w:hAnsi="宋体" w:eastAsia="宋体" w:cs="宋体"/>
                <w:sz w:val="18"/>
                <w:szCs w:val="18"/>
              </w:rPr>
              <w:t>4,089.80</w:t>
            </w:r>
          </w:p>
        </w:tc>
        <w:tc>
          <w:tcPr>
            <w:tcW w:w="1134" w:type="dxa"/>
            <w:tcBorders>
              <w:top w:val="nil"/>
              <w:left w:val="nil"/>
              <w:bottom w:val="single" w:color="auto" w:sz="4" w:space="0"/>
              <w:right w:val="single" w:color="auto" w:sz="4" w:space="0"/>
            </w:tcBorders>
            <w:vAlign w:val="center"/>
          </w:tcPr>
          <w:p w14:paraId="45CDAF72">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6AC3EF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63E58BE">
            <w:pPr>
              <w:jc w:val="center"/>
              <w:rPr>
                <w:rFonts w:hint="eastAsia" w:ascii="宋体" w:hAnsi="宋体" w:eastAsia="宋体" w:cs="宋体"/>
                <w:sz w:val="18"/>
                <w:szCs w:val="18"/>
              </w:rPr>
            </w:pPr>
            <w:r>
              <w:rPr>
                <w:rFonts w:hint="eastAsia" w:ascii="宋体" w:hAnsi="宋体" w:eastAsia="宋体"/>
                <w:sz w:val="18"/>
                <w:szCs w:val="18"/>
              </w:rPr>
              <w:t>-</w:t>
            </w:r>
          </w:p>
        </w:tc>
      </w:tr>
      <w:tr w14:paraId="2B2BC383">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C6C0FE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01980D7">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37E738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5282705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1E29951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7ADF505">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48116F92">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35EC8F9">
            <w:pPr>
              <w:jc w:val="center"/>
              <w:rPr>
                <w:rFonts w:hint="eastAsia" w:ascii="宋体" w:hAnsi="宋体" w:eastAsia="宋体" w:cs="宋体"/>
                <w:sz w:val="18"/>
                <w:szCs w:val="18"/>
              </w:rPr>
            </w:pPr>
            <w:r>
              <w:rPr>
                <w:rFonts w:hint="eastAsia" w:ascii="宋体" w:hAnsi="宋体" w:eastAsia="宋体" w:cs="宋体"/>
                <w:sz w:val="18"/>
                <w:szCs w:val="18"/>
              </w:rPr>
              <w:t>-</w:t>
            </w:r>
          </w:p>
        </w:tc>
      </w:tr>
      <w:tr w14:paraId="689233AB">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F037A6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39501515">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9238FBF">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7B6ED02B">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79202CF">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2A702BF9">
            <w:pPr>
              <w:rPr>
                <w:rFonts w:hint="eastAsia" w:ascii="宋体" w:hAnsi="宋体" w:eastAsia="宋体" w:cs="宋体"/>
                <w:sz w:val="18"/>
                <w:szCs w:val="18"/>
                <w:lang w:eastAsia="zh-CN"/>
              </w:rPr>
            </w:pPr>
            <w:r>
              <w:rPr>
                <w:rFonts w:hint="eastAsia" w:ascii="宋体" w:hAnsi="宋体" w:eastAsia="宋体" w:cs="宋体"/>
                <w:sz w:val="18"/>
                <w:szCs w:val="18"/>
                <w:lang w:eastAsia="zh-CN"/>
              </w:rPr>
              <w:t>一、单位职能：1.受区委、区人民政府委托，统一领导和管理辖区党务，行政和社会事务工作，促进片区和谐发展；2、拟定片区发展规划，提出强化“两个机制”、夯实基层基础工作的建议和措施，并组织实施3、统筹整合辖区行政资源、社会资源和公共服务资源，综合协调相关职能部门和驻区企事业单位，为辖区居民提供民生保障、社会治安、城市管理等综合服务；4、对相关职能部门和驻区企事业单位履行社会管理和公共服务职能情况进行监督、检查和考核。二、2024年重点工作1、2024年继续聚焦聚力总目标，2、常态化法制化落实维稳措施，3、加大城市建设管理，4、持续关注民生工作。</w:t>
            </w:r>
          </w:p>
        </w:tc>
        <w:tc>
          <w:tcPr>
            <w:tcW w:w="4547" w:type="dxa"/>
            <w:gridSpan w:val="4"/>
            <w:tcBorders>
              <w:top w:val="single" w:color="auto" w:sz="4" w:space="0"/>
              <w:left w:val="nil"/>
              <w:bottom w:val="single" w:color="auto" w:sz="4" w:space="0"/>
              <w:right w:val="single" w:color="auto" w:sz="4" w:space="0"/>
            </w:tcBorders>
          </w:tcPr>
          <w:p w14:paraId="2BFAE2A3">
            <w:pPr>
              <w:rPr>
                <w:rFonts w:hint="eastAsia" w:ascii="宋体" w:hAnsi="宋体" w:eastAsia="宋体" w:cs="宋体"/>
                <w:sz w:val="18"/>
                <w:szCs w:val="18"/>
                <w:lang w:eastAsia="zh-CN"/>
              </w:rPr>
            </w:pPr>
            <w:r>
              <w:rPr>
                <w:rFonts w:hint="eastAsia" w:ascii="宋体" w:hAnsi="宋体" w:eastAsia="宋体" w:cs="宋体"/>
                <w:sz w:val="18"/>
                <w:szCs w:val="18"/>
                <w:lang w:eastAsia="zh-CN"/>
              </w:rPr>
              <w:t>1.强化理论学习，提高理论水平和政治觉悟。2.坚持统筹发展和安全，开创社会和谐稳定新局面。3.全面贯彻经济发展措施，打造优质营商环境4.治理增进民生福祉，满足群众生活新期待。</w:t>
            </w:r>
          </w:p>
        </w:tc>
      </w:tr>
      <w:tr w14:paraId="77F06BA8">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6EAB17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57CEE68">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4FC9E7A">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479EF555">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7E5079FC">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965EDDA">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3D88384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4A4B3D1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D08DFD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6D849E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D56F195">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FF1144F">
            <w:pPr>
              <w:jc w:val="center"/>
              <w:rPr>
                <w:rFonts w:hint="eastAsia" w:ascii="宋体" w:hAnsi="宋体" w:eastAsia="宋体" w:cs="宋体"/>
                <w:sz w:val="18"/>
                <w:szCs w:val="18"/>
              </w:rPr>
            </w:pPr>
            <w:r>
              <w:rPr>
                <w:rFonts w:hint="eastAsia" w:ascii="宋体" w:hAnsi="宋体" w:eastAsia="宋体" w:cs="宋体"/>
                <w:sz w:val="18"/>
                <w:szCs w:val="18"/>
              </w:rPr>
              <w:t>流动人口清查人次</w:t>
            </w:r>
          </w:p>
        </w:tc>
        <w:tc>
          <w:tcPr>
            <w:tcW w:w="1276" w:type="dxa"/>
            <w:tcBorders>
              <w:top w:val="nil"/>
              <w:left w:val="nil"/>
              <w:bottom w:val="single" w:color="auto" w:sz="4" w:space="0"/>
              <w:right w:val="single" w:color="auto" w:sz="4" w:space="0"/>
            </w:tcBorders>
            <w:noWrap/>
            <w:vAlign w:val="center"/>
          </w:tcPr>
          <w:p w14:paraId="15A5FBF4">
            <w:pPr>
              <w:jc w:val="center"/>
              <w:rPr>
                <w:rFonts w:hint="eastAsia" w:ascii="宋体" w:hAnsi="宋体" w:eastAsia="宋体" w:cs="宋体"/>
                <w:sz w:val="18"/>
                <w:szCs w:val="18"/>
              </w:rPr>
            </w:pPr>
            <w:r>
              <w:rPr>
                <w:rFonts w:hint="eastAsia" w:ascii="宋体" w:hAnsi="宋体" w:eastAsia="宋体" w:cs="宋体"/>
                <w:sz w:val="18"/>
                <w:szCs w:val="18"/>
              </w:rPr>
              <w:t>&gt;=8000人</w:t>
            </w:r>
          </w:p>
        </w:tc>
        <w:tc>
          <w:tcPr>
            <w:tcW w:w="1701" w:type="dxa"/>
            <w:tcBorders>
              <w:top w:val="nil"/>
              <w:left w:val="nil"/>
              <w:bottom w:val="single" w:color="auto" w:sz="4" w:space="0"/>
              <w:right w:val="single" w:color="auto" w:sz="4" w:space="0"/>
            </w:tcBorders>
            <w:noWrap/>
            <w:vAlign w:val="center"/>
          </w:tcPr>
          <w:p w14:paraId="42E21C13">
            <w:pPr>
              <w:rPr>
                <w:rFonts w:hint="eastAsia" w:ascii="宋体" w:hAnsi="宋体" w:eastAsia="宋体" w:cs="宋体"/>
                <w:sz w:val="18"/>
                <w:szCs w:val="18"/>
                <w:lang w:eastAsia="zh-CN"/>
              </w:rPr>
            </w:pPr>
            <w:r>
              <w:rPr>
                <w:rFonts w:hint="eastAsia" w:ascii="宋体" w:hAnsi="宋体" w:eastAsia="宋体" w:cs="宋体"/>
                <w:sz w:val="18"/>
                <w:szCs w:val="18"/>
                <w:lang w:eastAsia="zh-CN"/>
              </w:rPr>
              <w:t>西路街道2023年工作总结和2024年工作重点</w:t>
            </w:r>
          </w:p>
        </w:tc>
        <w:tc>
          <w:tcPr>
            <w:tcW w:w="1134" w:type="dxa"/>
            <w:tcBorders>
              <w:top w:val="nil"/>
              <w:left w:val="nil"/>
              <w:bottom w:val="single" w:color="auto" w:sz="4" w:space="0"/>
              <w:right w:val="single" w:color="auto" w:sz="4" w:space="0"/>
            </w:tcBorders>
            <w:noWrap/>
            <w:vAlign w:val="center"/>
          </w:tcPr>
          <w:p w14:paraId="2FCACBD3">
            <w:pPr>
              <w:jc w:val="center"/>
              <w:rPr>
                <w:rFonts w:hint="eastAsia" w:ascii="宋体" w:hAnsi="宋体" w:eastAsia="宋体" w:cs="宋体"/>
                <w:sz w:val="18"/>
                <w:szCs w:val="18"/>
              </w:rPr>
            </w:pPr>
            <w:r>
              <w:rPr>
                <w:rFonts w:hint="eastAsia" w:ascii="宋体" w:hAnsi="宋体" w:eastAsia="宋体" w:cs="宋体"/>
                <w:sz w:val="18"/>
                <w:szCs w:val="18"/>
              </w:rPr>
              <w:t>5600人</w:t>
            </w:r>
          </w:p>
        </w:tc>
        <w:tc>
          <w:tcPr>
            <w:tcW w:w="992" w:type="dxa"/>
            <w:tcBorders>
              <w:top w:val="nil"/>
              <w:left w:val="nil"/>
              <w:bottom w:val="single" w:color="auto" w:sz="4" w:space="0"/>
              <w:right w:val="single" w:color="auto" w:sz="4" w:space="0"/>
            </w:tcBorders>
            <w:noWrap/>
            <w:vAlign w:val="center"/>
          </w:tcPr>
          <w:p w14:paraId="2FD1B14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65AEB18">
            <w:pPr>
              <w:jc w:val="center"/>
              <w:rPr>
                <w:rFonts w:hint="eastAsia" w:ascii="宋体" w:hAnsi="宋体" w:eastAsia="宋体" w:cs="宋体"/>
                <w:sz w:val="18"/>
                <w:szCs w:val="18"/>
              </w:rPr>
            </w:pPr>
            <w:r>
              <w:rPr>
                <w:rFonts w:hint="eastAsia" w:ascii="宋体" w:hAnsi="宋体" w:eastAsia="宋体" w:cs="宋体"/>
                <w:sz w:val="18"/>
                <w:szCs w:val="18"/>
              </w:rPr>
              <w:t>21</w:t>
            </w:r>
          </w:p>
        </w:tc>
      </w:tr>
      <w:tr w14:paraId="3B5E9B3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4ACA56F">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6FF4B0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2DCBA3A">
            <w:pPr>
              <w:jc w:val="center"/>
              <w:rPr>
                <w:rFonts w:hint="eastAsia" w:ascii="宋体" w:hAnsi="宋体" w:eastAsia="宋体" w:cs="宋体"/>
                <w:sz w:val="18"/>
                <w:szCs w:val="18"/>
              </w:rPr>
            </w:pPr>
            <w:r>
              <w:rPr>
                <w:rFonts w:hint="eastAsia" w:ascii="宋体" w:hAnsi="宋体" w:eastAsia="宋体" w:cs="宋体"/>
                <w:sz w:val="18"/>
                <w:szCs w:val="18"/>
              </w:rPr>
              <w:t>封闭式小区管理网</w:t>
            </w:r>
          </w:p>
        </w:tc>
        <w:tc>
          <w:tcPr>
            <w:tcW w:w="1276" w:type="dxa"/>
            <w:tcBorders>
              <w:top w:val="nil"/>
              <w:left w:val="nil"/>
              <w:bottom w:val="single" w:color="auto" w:sz="4" w:space="0"/>
              <w:right w:val="single" w:color="auto" w:sz="4" w:space="0"/>
            </w:tcBorders>
            <w:noWrap/>
            <w:vAlign w:val="center"/>
          </w:tcPr>
          <w:p w14:paraId="70FE5CBF">
            <w:pPr>
              <w:jc w:val="center"/>
              <w:rPr>
                <w:rFonts w:hint="eastAsia" w:ascii="宋体" w:hAnsi="宋体" w:eastAsia="宋体" w:cs="宋体"/>
                <w:sz w:val="18"/>
                <w:szCs w:val="18"/>
              </w:rPr>
            </w:pPr>
            <w:r>
              <w:rPr>
                <w:rFonts w:hint="eastAsia" w:ascii="宋体" w:hAnsi="宋体" w:eastAsia="宋体" w:cs="宋体"/>
                <w:sz w:val="18"/>
                <w:szCs w:val="18"/>
              </w:rPr>
              <w:t>=78个</w:t>
            </w:r>
          </w:p>
        </w:tc>
        <w:tc>
          <w:tcPr>
            <w:tcW w:w="1701" w:type="dxa"/>
            <w:tcBorders>
              <w:top w:val="nil"/>
              <w:left w:val="nil"/>
              <w:bottom w:val="single" w:color="auto" w:sz="4" w:space="0"/>
              <w:right w:val="single" w:color="auto" w:sz="4" w:space="0"/>
            </w:tcBorders>
            <w:noWrap/>
            <w:vAlign w:val="center"/>
          </w:tcPr>
          <w:p w14:paraId="791AA1A6">
            <w:pPr>
              <w:rPr>
                <w:rFonts w:hint="eastAsia" w:ascii="宋体" w:hAnsi="宋体" w:eastAsia="宋体" w:cs="宋体"/>
                <w:sz w:val="18"/>
                <w:szCs w:val="18"/>
                <w:lang w:eastAsia="zh-CN"/>
              </w:rPr>
            </w:pPr>
            <w:r>
              <w:rPr>
                <w:rFonts w:hint="eastAsia" w:ascii="宋体" w:hAnsi="宋体" w:eastAsia="宋体" w:cs="宋体"/>
                <w:sz w:val="18"/>
                <w:szCs w:val="18"/>
                <w:lang w:eastAsia="zh-CN"/>
              </w:rPr>
              <w:t>西路街道2023年工作总结和2024年工作重点</w:t>
            </w:r>
          </w:p>
        </w:tc>
        <w:tc>
          <w:tcPr>
            <w:tcW w:w="1134" w:type="dxa"/>
            <w:tcBorders>
              <w:top w:val="nil"/>
              <w:left w:val="nil"/>
              <w:bottom w:val="single" w:color="auto" w:sz="4" w:space="0"/>
              <w:right w:val="single" w:color="auto" w:sz="4" w:space="0"/>
            </w:tcBorders>
            <w:noWrap/>
            <w:vAlign w:val="center"/>
          </w:tcPr>
          <w:p w14:paraId="2589345F">
            <w:pPr>
              <w:jc w:val="center"/>
              <w:rPr>
                <w:rFonts w:hint="eastAsia" w:ascii="宋体" w:hAnsi="宋体" w:eastAsia="宋体" w:cs="宋体"/>
                <w:sz w:val="18"/>
                <w:szCs w:val="18"/>
              </w:rPr>
            </w:pPr>
            <w:r>
              <w:rPr>
                <w:rFonts w:hint="eastAsia" w:ascii="宋体" w:hAnsi="宋体" w:eastAsia="宋体" w:cs="宋体"/>
                <w:sz w:val="18"/>
                <w:szCs w:val="18"/>
              </w:rPr>
              <w:t>67个</w:t>
            </w:r>
          </w:p>
        </w:tc>
        <w:tc>
          <w:tcPr>
            <w:tcW w:w="992" w:type="dxa"/>
            <w:tcBorders>
              <w:top w:val="nil"/>
              <w:left w:val="nil"/>
              <w:bottom w:val="single" w:color="auto" w:sz="4" w:space="0"/>
              <w:right w:val="single" w:color="auto" w:sz="4" w:space="0"/>
            </w:tcBorders>
            <w:noWrap/>
            <w:vAlign w:val="center"/>
          </w:tcPr>
          <w:p w14:paraId="787276D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577D1011">
            <w:pPr>
              <w:jc w:val="center"/>
              <w:rPr>
                <w:rFonts w:hint="eastAsia" w:ascii="宋体" w:hAnsi="宋体" w:eastAsia="宋体" w:cs="宋体"/>
                <w:sz w:val="18"/>
                <w:szCs w:val="18"/>
              </w:rPr>
            </w:pPr>
            <w:r>
              <w:rPr>
                <w:rFonts w:hint="eastAsia" w:ascii="宋体" w:hAnsi="宋体" w:eastAsia="宋体" w:cs="宋体"/>
                <w:sz w:val="18"/>
                <w:szCs w:val="18"/>
              </w:rPr>
              <w:t>25.8</w:t>
            </w:r>
          </w:p>
        </w:tc>
      </w:tr>
      <w:tr w14:paraId="7B93CE41">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59773C1">
            <w:pPr>
              <w:jc w:val="center"/>
              <w:rPr>
                <w:rFonts w:hint="eastAsia" w:ascii="宋体" w:hAnsi="宋体" w:eastAsia="宋体" w:cs="宋体"/>
                <w:sz w:val="18"/>
                <w:szCs w:val="18"/>
              </w:rPr>
            </w:pPr>
            <w:r>
              <w:rPr>
                <w:rFonts w:hint="eastAsia" w:ascii="宋体" w:hAnsi="宋体" w:eastAsia="宋体" w:cs="宋体"/>
                <w:sz w:val="18"/>
                <w:szCs w:val="18"/>
              </w:rPr>
              <w:t>社会效益</w:t>
            </w:r>
          </w:p>
        </w:tc>
        <w:tc>
          <w:tcPr>
            <w:tcW w:w="1417" w:type="dxa"/>
            <w:tcBorders>
              <w:top w:val="single" w:color="auto" w:sz="4" w:space="0"/>
              <w:left w:val="nil"/>
              <w:bottom w:val="single" w:color="auto" w:sz="4" w:space="0"/>
              <w:right w:val="single" w:color="auto" w:sz="4" w:space="0"/>
            </w:tcBorders>
            <w:noWrap/>
            <w:vAlign w:val="center"/>
          </w:tcPr>
          <w:p w14:paraId="29174789">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single" w:color="auto" w:sz="4" w:space="0"/>
              <w:left w:val="nil"/>
              <w:bottom w:val="single" w:color="auto" w:sz="4" w:space="0"/>
              <w:right w:val="single" w:color="auto" w:sz="4" w:space="0"/>
            </w:tcBorders>
            <w:noWrap/>
            <w:vAlign w:val="center"/>
          </w:tcPr>
          <w:p w14:paraId="53A3111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物业监管部门专项问题处理率</w:t>
            </w:r>
          </w:p>
        </w:tc>
        <w:tc>
          <w:tcPr>
            <w:tcW w:w="1276" w:type="dxa"/>
            <w:tcBorders>
              <w:top w:val="single" w:color="auto" w:sz="4" w:space="0"/>
              <w:left w:val="nil"/>
              <w:bottom w:val="single" w:color="auto" w:sz="4" w:space="0"/>
              <w:right w:val="single" w:color="auto" w:sz="4" w:space="0"/>
            </w:tcBorders>
            <w:noWrap/>
            <w:vAlign w:val="center"/>
          </w:tcPr>
          <w:p w14:paraId="032041E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single" w:color="auto" w:sz="4" w:space="0"/>
              <w:left w:val="nil"/>
              <w:bottom w:val="single" w:color="auto" w:sz="4" w:space="0"/>
              <w:right w:val="single" w:color="auto" w:sz="4" w:space="0"/>
            </w:tcBorders>
            <w:noWrap/>
            <w:vAlign w:val="center"/>
          </w:tcPr>
          <w:p w14:paraId="5477535D">
            <w:pPr>
              <w:rPr>
                <w:rFonts w:hint="eastAsia" w:ascii="宋体" w:hAnsi="宋体" w:eastAsia="宋体" w:cs="宋体"/>
                <w:sz w:val="18"/>
                <w:szCs w:val="18"/>
                <w:lang w:eastAsia="zh-CN"/>
              </w:rPr>
            </w:pPr>
            <w:r>
              <w:rPr>
                <w:rFonts w:hint="eastAsia" w:ascii="宋体" w:hAnsi="宋体" w:eastAsia="宋体" w:cs="宋体"/>
                <w:sz w:val="18"/>
                <w:szCs w:val="18"/>
                <w:lang w:eastAsia="zh-CN"/>
              </w:rPr>
              <w:t>西路街道2023年工作总结和2024年工作重点</w:t>
            </w:r>
          </w:p>
        </w:tc>
        <w:tc>
          <w:tcPr>
            <w:tcW w:w="1134" w:type="dxa"/>
            <w:tcBorders>
              <w:top w:val="single" w:color="auto" w:sz="4" w:space="0"/>
              <w:left w:val="nil"/>
              <w:bottom w:val="single" w:color="auto" w:sz="4" w:space="0"/>
              <w:right w:val="single" w:color="auto" w:sz="4" w:space="0"/>
            </w:tcBorders>
            <w:noWrap/>
            <w:vAlign w:val="center"/>
          </w:tcPr>
          <w:p w14:paraId="1CD65B6A">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single" w:color="auto" w:sz="4" w:space="0"/>
              <w:left w:val="nil"/>
              <w:bottom w:val="single" w:color="auto" w:sz="4" w:space="0"/>
              <w:right w:val="single" w:color="auto" w:sz="4" w:space="0"/>
            </w:tcBorders>
            <w:noWrap/>
            <w:vAlign w:val="center"/>
          </w:tcPr>
          <w:p w14:paraId="1E168A3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11D567D9">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3B5638E">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350CEB7">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7CF6FCA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45F54F10">
            <w:pPr>
              <w:jc w:val="center"/>
              <w:rPr>
                <w:rFonts w:hint="eastAsia" w:ascii="宋体" w:hAnsi="宋体" w:eastAsia="宋体" w:cs="宋体"/>
                <w:sz w:val="18"/>
                <w:szCs w:val="18"/>
              </w:rPr>
            </w:pPr>
            <w:r>
              <w:rPr>
                <w:rFonts w:hint="eastAsia" w:ascii="宋体" w:hAnsi="宋体" w:eastAsia="宋体" w:cs="宋体"/>
                <w:sz w:val="18"/>
                <w:szCs w:val="18"/>
              </w:rPr>
              <w:t>86.6</w:t>
            </w:r>
          </w:p>
        </w:tc>
      </w:tr>
      <w:bookmarkEnd w:id="7"/>
    </w:tbl>
    <w:p w14:paraId="2FC3E895">
      <w:pPr>
        <w:rPr>
          <w:rFonts w:hint="eastAsia" w:ascii="宋体" w:hAnsi="宋体" w:eastAsia="宋体" w:cs="宋体"/>
          <w:b/>
          <w:bCs/>
          <w:sz w:val="18"/>
          <w:szCs w:val="18"/>
          <w:lang w:eastAsia="zh-CN"/>
        </w:rPr>
      </w:pPr>
    </w:p>
    <w:p w14:paraId="643BE29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3EE57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21D1152">
      <w:pPr>
        <w:rPr>
          <w:rFonts w:hint="eastAsia"/>
          <w:lang w:eastAsia="zh-CN"/>
        </w:rPr>
      </w:pPr>
      <w:r>
        <w:rPr>
          <w:sz w:val="0"/>
          <w:szCs w:val="0"/>
          <w:lang w:eastAsia="zh-CN"/>
        </w:rPr>
        <w:br w:type="page"/>
      </w:r>
    </w:p>
    <w:p w14:paraId="722CD2C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AE76A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F4075B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37F49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FD80E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6053B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77A23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799D8C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857E7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89B6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6C4CB9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91696A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E3F471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72FEE6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258C1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80E91DC">
      <w:pPr>
        <w:rPr>
          <w:rFonts w:hint="eastAsia"/>
          <w:lang w:eastAsia="zh-CN"/>
        </w:rPr>
      </w:pPr>
      <w:r>
        <w:rPr>
          <w:sz w:val="0"/>
          <w:szCs w:val="0"/>
          <w:lang w:eastAsia="zh-CN"/>
        </w:rPr>
        <w:br w:type="page"/>
      </w:r>
    </w:p>
    <w:p w14:paraId="7190FFF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77298F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C87DE3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54FD7DE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439899A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5BD41C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42490E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787E21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9E187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D8A314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6164A6"/>
    <w:rsid w:val="002C2AD2"/>
    <w:rsid w:val="006164A6"/>
    <w:rsid w:val="006C3D23"/>
    <w:rsid w:val="00837869"/>
    <w:rsid w:val="0084713E"/>
    <w:rsid w:val="00A95194"/>
    <w:rsid w:val="00C54779"/>
    <w:rsid w:val="00D5377D"/>
    <w:rsid w:val="00FB29C4"/>
    <w:rsid w:val="0446005E"/>
    <w:rsid w:val="69037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6286</Words>
  <Characters>7045</Characters>
  <Lines>225</Lines>
  <Paragraphs>201</Paragraphs>
  <TotalTime>0</TotalTime>
  <ScaleCrop>false</ScaleCrop>
  <LinksUpToDate>false</LinksUpToDate>
  <CharactersWithSpaces>7055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2025-09-29T03:36:00Z</dcterms:created>
  <dc:creator>回上.LAPTOP-7R4U860U</dc:creator>
  <cp:lastModifiedBy>局外人.</cp:lastModifiedBy>
  <dcterms:modified xsi:type="dcterms:W3CDTF">2025-11-20T03:54:00Z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eyJoZGlkIjoiYzI4NzYwZWZkM2I0OTdlMTA3M2NkMmFjZWIyMDVmNjUiLCJ1c2VySWQiOiIxMjM2MzIxMjUwIn0=</vt:lpwstr>
  </property>
  <property fmtid="{D5CDD505-2E9C-101B-9397-08002B2CF9AE}" pid="4" name="ICV">
    <vt:lpwstr>4945EABB143A4BB8B8AA0E2190AD8927_12</vt:lpwstr>
  </property>
</Properties>
</file>