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4A714">
      <w:pPr>
        <w:spacing w:after="0" w:line="240" w:lineRule="auto"/>
        <w:rPr>
          <w:rFonts w:hint="eastAsia" w:ascii="宋体" w:eastAsia="宋体"/>
          <w:sz w:val="32"/>
          <w:szCs w:val="32"/>
        </w:rPr>
      </w:pPr>
    </w:p>
    <w:p w14:paraId="324A62FD">
      <w:pPr>
        <w:spacing w:after="0" w:line="240" w:lineRule="auto"/>
        <w:rPr>
          <w:rFonts w:hint="eastAsia" w:ascii="宋体" w:eastAsia="宋体"/>
          <w:sz w:val="44"/>
          <w:szCs w:val="44"/>
        </w:rPr>
      </w:pPr>
    </w:p>
    <w:p w14:paraId="6AC44AA4">
      <w:pPr>
        <w:spacing w:after="0" w:line="240" w:lineRule="auto"/>
        <w:rPr>
          <w:rFonts w:hint="eastAsia" w:ascii="宋体" w:eastAsia="宋体"/>
          <w:sz w:val="44"/>
          <w:szCs w:val="44"/>
        </w:rPr>
      </w:pPr>
    </w:p>
    <w:p w14:paraId="07706167">
      <w:pPr>
        <w:spacing w:after="0" w:line="240" w:lineRule="auto"/>
        <w:rPr>
          <w:rFonts w:hint="eastAsia" w:ascii="宋体" w:eastAsia="宋体"/>
          <w:sz w:val="44"/>
          <w:szCs w:val="44"/>
        </w:rPr>
      </w:pPr>
    </w:p>
    <w:p w14:paraId="7D556E94">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乌鲁木齐市米东区商务局</w:t>
      </w:r>
    </w:p>
    <w:p w14:paraId="51800C84">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86CFB65">
      <w:pPr>
        <w:rPr>
          <w:rFonts w:hint="eastAsia"/>
          <w:lang w:eastAsia="zh-CN"/>
        </w:rPr>
      </w:pPr>
      <w:r>
        <w:rPr>
          <w:sz w:val="0"/>
          <w:szCs w:val="0"/>
          <w:lang w:eastAsia="zh-CN"/>
        </w:rPr>
        <w:br w:type="page"/>
      </w:r>
    </w:p>
    <w:p w14:paraId="47F52A8E">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236E73C3">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F5BC213">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E31429E">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2D5A0EF">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88BBC2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3BD0685">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5AFEF9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9863995">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D5BF3E6">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BA8B88A">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2BC54E3">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E113846">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5A8849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CF25C74">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8D1CDAC">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3CBF8F5">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31A8EB2">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7CE10546">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F943AA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499F10D">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0C17343">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86FAEA1">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F8B0F6F">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4DBF0F6">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4B7ECD4">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F054439">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8173C4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E70A6D7">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2BD7CA4">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A638734">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746B7D3">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F06DCA3">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54B41E5">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332B9827">
      <w:pPr>
        <w:rPr>
          <w:rFonts w:hint="eastAsia"/>
          <w:lang w:eastAsia="zh-CN"/>
        </w:rPr>
      </w:pPr>
      <w:r>
        <w:rPr>
          <w:sz w:val="0"/>
          <w:szCs w:val="0"/>
          <w:lang w:eastAsia="zh-CN"/>
        </w:rPr>
        <w:br w:type="page"/>
      </w:r>
    </w:p>
    <w:p w14:paraId="2A78DF3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7A18330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030577D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1、宣传贯彻执行国家、自治区及本市有关商贸、流通方面的方针、政策及法律法规和规章。</w:t>
      </w:r>
    </w:p>
    <w:p w14:paraId="4D14425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2、负责受理商务领域举报投诉并提供相关咨询服务。</w:t>
      </w:r>
    </w:p>
    <w:p w14:paraId="27A6E70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3、负责对成品油经营企业经营行为、再生资源回收经营活动、报废汽车回收活动进行日常监管。</w:t>
      </w:r>
    </w:p>
    <w:p w14:paraId="4D2D2CE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4、负责对酒类、洗染、餐饮、美容美发、人像摄影、沐浴、住宿、家电维修服务、家庭服务机构从业行为进行日常监管。</w:t>
      </w:r>
    </w:p>
    <w:p w14:paraId="3213512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5、负责商贸批发市场、肉菜流通追溯监督管理工作。</w:t>
      </w:r>
    </w:p>
    <w:p w14:paraId="3303E4F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6、负责开展大中型商场、超市安全生产监督管理工作。</w:t>
      </w:r>
    </w:p>
    <w:p w14:paraId="4A74AA0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7、社区蔬菜副食品直销点的选址建设，以及日常监管和协调服务。</w:t>
      </w:r>
    </w:p>
    <w:p w14:paraId="4FCCFB2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8、储备肉菜投放的组织实施。</w:t>
      </w:r>
    </w:p>
    <w:p w14:paraId="34DF0D9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9、亚欧博览会、厦投会、津恰会的参展工作。</w:t>
      </w:r>
    </w:p>
    <w:p w14:paraId="0D6A323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10、商贸流通领域服务业提档升级的组织实施。</w:t>
      </w:r>
    </w:p>
    <w:p w14:paraId="3E14408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29FBE31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乌鲁木齐市米东区商务局2024年度，实有人数12人，其中：在职人员9人，减少6人；离休人员0人，较上年无变化；退休人员3人，减少3人。</w:t>
      </w:r>
    </w:p>
    <w:p w14:paraId="3F42D83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乌鲁木齐市米东区商务局无下属预算单位，下设5个</w:t>
      </w:r>
      <w:r>
        <w:rPr>
          <w:rFonts w:hint="eastAsia" w:ascii="仿宋_GB2312" w:eastAsia="仿宋_GB2312"/>
          <w:sz w:val="32"/>
          <w:szCs w:val="32"/>
          <w:lang w:eastAsia="zh-CN"/>
        </w:rPr>
        <w:t>科室</w:t>
      </w:r>
      <w:r>
        <w:rPr>
          <w:rFonts w:ascii="仿宋_GB2312" w:eastAsia="仿宋_GB2312"/>
          <w:sz w:val="32"/>
          <w:szCs w:val="32"/>
          <w:lang w:eastAsia="zh-CN"/>
        </w:rPr>
        <w:t>，分别是：党政办、综合业务科、蔬菜直销点管理科、商品流通科、财务室。</w:t>
      </w:r>
    </w:p>
    <w:p w14:paraId="026DBC68">
      <w:pPr>
        <w:rPr>
          <w:rFonts w:hint="eastAsia"/>
          <w:lang w:eastAsia="zh-CN"/>
        </w:rPr>
      </w:pPr>
      <w:r>
        <w:rPr>
          <w:sz w:val="0"/>
          <w:szCs w:val="0"/>
          <w:lang w:eastAsia="zh-CN"/>
        </w:rPr>
        <w:br w:type="page"/>
      </w:r>
    </w:p>
    <w:p w14:paraId="46E1900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565E9FB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7219A5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2024年度收入总计678.84万元，其中：本年收入合计653.76万元，使用非财政拨款结余（含专用结余）0.00万元，年初结转和结余25.08万元。</w:t>
      </w:r>
    </w:p>
    <w:p w14:paraId="2F2B3FF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2024年度支出总计678.84万元，其中：本年支出合计643.89万元，结余分配0.00万元，年末结转和结余34.95万元。</w:t>
      </w:r>
    </w:p>
    <w:p w14:paraId="2942D03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收入支出总体与上年相比，增加360.50万元，增长113.24%，主要原因是：</w:t>
      </w:r>
      <w:r>
        <w:rPr>
          <w:rFonts w:hint="eastAsia" w:ascii="仿宋_GB2312" w:eastAsia="仿宋_GB2312"/>
          <w:sz w:val="32"/>
          <w:szCs w:val="32"/>
          <w:lang w:eastAsia="zh-CN"/>
        </w:rPr>
        <w:t>本年单位增加自贸区投资服务中心租用办公场地经费、米东区功能区块领导小组办公室专项经费及促销售宣传活动经费等</w:t>
      </w:r>
      <w:r>
        <w:rPr>
          <w:rFonts w:ascii="仿宋_GB2312" w:eastAsia="仿宋_GB2312"/>
          <w:sz w:val="32"/>
          <w:szCs w:val="32"/>
          <w:lang w:eastAsia="zh-CN"/>
        </w:rPr>
        <w:t>。</w:t>
      </w:r>
    </w:p>
    <w:p w14:paraId="03397DE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4F9FF72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本年收入653.76万元，其中：财政拨款收入653.73万元,占100.00%；上级补助收入0.00万元,占0.00%；事业收入0.00万元，占0.00%；经营收入0.00万元,占0.00%；附属单位上缴收入0.00万元，占0.00%；其他收入0.03万元，占0.00%。</w:t>
      </w:r>
    </w:p>
    <w:p w14:paraId="46D9BD7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A47038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本年支出643.89万元，其中：基本支出188.77万元，占29.32%；项目支出455.11万元，占70.68%；上缴上级支出0.00万元，占0.00%；经营支出0.00万元，占0.00%；对附属单位补助支出0.00万元，占0.00%。</w:t>
      </w:r>
    </w:p>
    <w:p w14:paraId="015E545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AD562D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2024年度财政拨款收入总计678.81万元，其中：年初财政拨款结转和结余25.08万元，本年财政拨款收入653.73万元。财政拨款支出总计678.81万元，其中：年末财政拨款结转和结余34.92万元，本年财政拨款支出643.89万元。</w:t>
      </w:r>
    </w:p>
    <w:p w14:paraId="073DD3E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财政拨款收入支出总体与上年相比，增加363.27万元，增长115.13%，主要原因是：</w:t>
      </w:r>
      <w:r>
        <w:rPr>
          <w:rFonts w:hint="eastAsia" w:ascii="仿宋_GB2312" w:eastAsia="仿宋_GB2312"/>
          <w:sz w:val="32"/>
          <w:szCs w:val="32"/>
          <w:lang w:eastAsia="zh-CN"/>
        </w:rPr>
        <w:t>本年单位增加自贸区投资服务中心租用办公场地经费、米东区功能区块领导小组办公室专项经费及促销售宣传活动经费等</w:t>
      </w:r>
      <w:r>
        <w:rPr>
          <w:rFonts w:ascii="仿宋_GB2312" w:eastAsia="仿宋_GB2312"/>
          <w:sz w:val="32"/>
          <w:szCs w:val="32"/>
          <w:lang w:eastAsia="zh-CN"/>
        </w:rPr>
        <w:t>。与年初预算相比，年初预算数207.39万元，决算数678.81万元，预决算差异率227.31%，主要原因是：</w:t>
      </w:r>
      <w:r>
        <w:rPr>
          <w:rFonts w:hint="eastAsia" w:ascii="仿宋_GB2312" w:eastAsia="仿宋_GB2312"/>
          <w:sz w:val="32"/>
          <w:szCs w:val="32"/>
          <w:lang w:eastAsia="zh-CN"/>
        </w:rPr>
        <w:t>年中追加自贸区投资服务中心租用办公场地经费、米东区功能区块领导小组办公室专项经费及促销售宣传活动经费等</w:t>
      </w:r>
      <w:r>
        <w:rPr>
          <w:rFonts w:ascii="仿宋_GB2312" w:eastAsia="仿宋_GB2312"/>
          <w:sz w:val="32"/>
          <w:szCs w:val="32"/>
          <w:lang w:eastAsia="zh-CN"/>
        </w:rPr>
        <w:t>。</w:t>
      </w:r>
    </w:p>
    <w:p w14:paraId="69F65B2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2B13EBC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3648219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2024年度一般公共预算财政拨款支出643.89万元，占本年支出合计的100.00%。与上年相比，增加371.95万元，增长136.78%，主要原因是：</w:t>
      </w:r>
      <w:r>
        <w:rPr>
          <w:rFonts w:hint="eastAsia" w:ascii="仿宋_GB2312" w:eastAsia="仿宋_GB2312"/>
          <w:sz w:val="32"/>
          <w:szCs w:val="32"/>
          <w:lang w:eastAsia="zh-CN"/>
        </w:rPr>
        <w:t>本年单位增加自贸区投资服务中心租用办公场地经费、米东区功能区块领导小组办公室专项经费及促销售宣传活动经费等</w:t>
      </w:r>
      <w:r>
        <w:rPr>
          <w:rFonts w:ascii="仿宋_GB2312" w:eastAsia="仿宋_GB2312"/>
          <w:sz w:val="32"/>
          <w:szCs w:val="32"/>
          <w:lang w:eastAsia="zh-CN"/>
        </w:rPr>
        <w:t>。与年初预算相比，年初预算数207.39万元，决算数643.89万元，预决算差异率210.47%，主要原因是：</w:t>
      </w:r>
      <w:r>
        <w:rPr>
          <w:rFonts w:hint="eastAsia" w:ascii="仿宋_GB2312" w:eastAsia="仿宋_GB2312"/>
          <w:sz w:val="32"/>
          <w:szCs w:val="32"/>
          <w:lang w:eastAsia="zh-CN"/>
        </w:rPr>
        <w:t>年中追加自贸区投资服务中心租用办公场地经费、米东区功能区块领导小组办公室专项经费及促销售宣传活动经费等</w:t>
      </w:r>
      <w:r>
        <w:rPr>
          <w:rFonts w:ascii="仿宋_GB2312" w:eastAsia="仿宋_GB2312"/>
          <w:sz w:val="32"/>
          <w:szCs w:val="32"/>
          <w:lang w:eastAsia="zh-CN"/>
        </w:rPr>
        <w:t>。</w:t>
      </w:r>
    </w:p>
    <w:p w14:paraId="083D1C2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2B6D176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社会保障和就业支出（类）22.73万元，占3.53%。</w:t>
      </w:r>
    </w:p>
    <w:p w14:paraId="13267B3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粮油物资储备支出（类）605.16万元，占93.98%。</w:t>
      </w:r>
    </w:p>
    <w:p w14:paraId="4652CA4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其他支出（类）16.00万元，占2.48%。</w:t>
      </w:r>
    </w:p>
    <w:p w14:paraId="7127981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17031D2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1、社会保障和就业支出（类）行政事业单位养老支出（款）机关事业单位基本养老保险缴费支出（项）：支出决算数为22.73万元，比上年决算增加1.63万元，增长7.73%，主要原因是：</w:t>
      </w:r>
      <w:r>
        <w:rPr>
          <w:rFonts w:hint="eastAsia" w:ascii="仿宋_GB2312" w:eastAsia="仿宋_GB2312"/>
          <w:sz w:val="32"/>
          <w:szCs w:val="32"/>
          <w:lang w:eastAsia="zh-CN"/>
        </w:rPr>
        <w:t>社保缴费基数调增，人员养老保险缴费增加。</w:t>
      </w:r>
    </w:p>
    <w:p w14:paraId="6D811BE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2、粮油物资储备支出（类）粮油物资事务（款）行政运行（项）：支出决算数为101.56万元，比上年决算减少26.12万元，下降20.46%，主要原因是：</w:t>
      </w:r>
      <w:r>
        <w:rPr>
          <w:rFonts w:hint="eastAsia" w:ascii="仿宋_GB2312" w:eastAsia="仿宋_GB2312"/>
          <w:sz w:val="32"/>
          <w:szCs w:val="32"/>
          <w:lang w:eastAsia="zh-CN"/>
        </w:rPr>
        <w:t>单位人员减少，人员工资、津补贴等人员经费较上年减少。</w:t>
      </w:r>
    </w:p>
    <w:p w14:paraId="0D177CF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3、粮油物资储备支出（类）粮油物资事务（款）一般行政管理事务（项）：支出决算数为439.11万元，比上年决算增加417.85万元，增长1,965.43%，主要原因是：</w:t>
      </w:r>
      <w:r>
        <w:rPr>
          <w:rFonts w:hint="eastAsia" w:ascii="仿宋_GB2312" w:eastAsia="仿宋_GB2312"/>
          <w:sz w:val="32"/>
          <w:szCs w:val="32"/>
          <w:lang w:eastAsia="zh-CN"/>
        </w:rPr>
        <w:t>本年增加自贸区投资服务中心租用办公场地经费、米东区功能区块领导小组办公室专项经费及促销售宣传活动经费等项目经费。</w:t>
      </w:r>
    </w:p>
    <w:p w14:paraId="59224E9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4、粮油物资储备支出（类）粮油物资事务（款）事业运行（项）：支出决算数为64.48万元，比上年决算减少37.43万元，下降36.73%，主要原因是：</w:t>
      </w:r>
      <w:r>
        <w:rPr>
          <w:rFonts w:hint="eastAsia" w:ascii="仿宋_GB2312" w:eastAsia="仿宋_GB2312"/>
          <w:sz w:val="32"/>
          <w:szCs w:val="32"/>
          <w:lang w:eastAsia="zh-CN"/>
        </w:rPr>
        <w:t>单位人员减少，人员工资、津补贴等人员经费较上年减少。</w:t>
      </w:r>
    </w:p>
    <w:p w14:paraId="142D296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5、其他支出（类）其他支出（款）其他支出（项）：支出决算数为16.00万元，比上年决算增加16.00万元，增长100.00%，主要原因是：</w:t>
      </w:r>
      <w:r>
        <w:rPr>
          <w:rFonts w:hint="eastAsia" w:ascii="仿宋_GB2312" w:eastAsia="仿宋_GB2312"/>
          <w:sz w:val="32"/>
          <w:szCs w:val="32"/>
          <w:lang w:eastAsia="zh-CN"/>
        </w:rPr>
        <w:t>本年单位增加边境贸易转移支付资金。</w:t>
      </w:r>
    </w:p>
    <w:p w14:paraId="23994F1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4B7D2CC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188.77万元，其中：人员经费182.36万元，包括：基本工资、津贴补贴、绩效工资、机关事业单位基本养老保险缴费、职工基本医疗保险缴费、公务员医疗补助缴费、其他社会保障缴费和住房公积金。</w:t>
      </w:r>
    </w:p>
    <w:p w14:paraId="1C2BCA4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公用经费6.41万元，包括：办公费和工会经费。</w:t>
      </w:r>
    </w:p>
    <w:p w14:paraId="56FCB70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80747B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A56F0B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45DE0B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082C1D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13525A0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43847"/>
      <w:r>
        <w:rPr>
          <w:rFonts w:hint="eastAsia" w:ascii="仿宋_GB2312" w:eastAsia="仿宋_GB2312"/>
          <w:sz w:val="32"/>
          <w:szCs w:val="32"/>
          <w:lang w:eastAsia="zh-CN"/>
        </w:rPr>
        <w:t>我</w:t>
      </w:r>
      <w:bookmarkStart w:id="1" w:name="_Hlk209026967"/>
      <w:r>
        <w:rPr>
          <w:rFonts w:hint="eastAsia" w:ascii="仿宋_GB2312" w:eastAsia="仿宋_GB2312"/>
          <w:sz w:val="32"/>
          <w:szCs w:val="32"/>
          <w:lang w:eastAsia="zh-CN"/>
        </w:rPr>
        <w:t>单位上年度与本年度均无此项经费</w:t>
      </w:r>
      <w:bookmarkEnd w:id="0"/>
      <w:bookmarkEnd w:id="1"/>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59537B2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72A7859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2"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2"/>
      <w:r>
        <w:rPr>
          <w:rFonts w:ascii="仿宋_GB2312" w:eastAsia="仿宋_GB2312"/>
          <w:sz w:val="32"/>
          <w:szCs w:val="32"/>
          <w:lang w:eastAsia="zh-CN"/>
        </w:rPr>
        <w:t>。单位全年安排的因公出国（境）团组0个，因公出国（境）0人次。</w:t>
      </w:r>
    </w:p>
    <w:p w14:paraId="1FBDD61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40356"/>
      <w:r>
        <w:rPr>
          <w:rFonts w:hint="eastAsia" w:ascii="仿宋_GB2312" w:eastAsia="仿宋_GB2312"/>
          <w:sz w:val="32"/>
          <w:szCs w:val="32"/>
          <w:lang w:eastAsia="zh-CN"/>
        </w:rPr>
        <w:t>单位本年无</w:t>
      </w:r>
      <w:r>
        <w:rPr>
          <w:rFonts w:ascii="仿宋_GB2312" w:eastAsia="仿宋_GB2312"/>
          <w:sz w:val="32"/>
          <w:szCs w:val="32"/>
          <w:lang w:eastAsia="zh-CN"/>
        </w:rPr>
        <w:t>公务用车</w:t>
      </w:r>
      <w:bookmarkStart w:id="9" w:name="_GoBack"/>
      <w:bookmarkEnd w:id="9"/>
      <w:r>
        <w:rPr>
          <w:rFonts w:ascii="仿宋_GB2312" w:eastAsia="仿宋_GB2312"/>
          <w:sz w:val="32"/>
          <w:szCs w:val="32"/>
          <w:lang w:eastAsia="zh-CN"/>
        </w:rPr>
        <w:t>运行维护费</w:t>
      </w:r>
      <w:bookmarkEnd w:id="3"/>
      <w:r>
        <w:rPr>
          <w:rFonts w:ascii="仿宋_GB2312" w:eastAsia="仿宋_GB2312"/>
          <w:sz w:val="32"/>
          <w:szCs w:val="32"/>
          <w:lang w:eastAsia="zh-CN"/>
        </w:rPr>
        <w:t>。公务用车购置数0辆，公务用车保有量0辆。国有资产占用情况中固定资产车辆0辆，与公务用车保有量差异原因是：</w:t>
      </w:r>
      <w:bookmarkStart w:id="4" w:name="_Hlk207143898"/>
      <w:r>
        <w:rPr>
          <w:rFonts w:hint="eastAsia" w:ascii="仿宋_GB2312" w:eastAsia="仿宋_GB2312"/>
          <w:sz w:val="32"/>
          <w:szCs w:val="32"/>
          <w:lang w:eastAsia="zh-CN"/>
        </w:rPr>
        <w:t>本单位固定资产车辆与公务用车保有量一致无差异</w:t>
      </w:r>
      <w:bookmarkEnd w:id="4"/>
      <w:r>
        <w:rPr>
          <w:rFonts w:ascii="仿宋_GB2312" w:eastAsia="仿宋_GB2312"/>
          <w:sz w:val="32"/>
          <w:szCs w:val="32"/>
          <w:lang w:eastAsia="zh-CN"/>
        </w:rPr>
        <w:t>。</w:t>
      </w:r>
    </w:p>
    <w:p w14:paraId="50CA11B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40433"/>
      <w:r>
        <w:rPr>
          <w:rFonts w:hint="eastAsia" w:ascii="仿宋_GB2312" w:eastAsia="仿宋_GB2312"/>
          <w:sz w:val="32"/>
          <w:szCs w:val="32"/>
          <w:lang w:eastAsia="zh-CN"/>
        </w:rPr>
        <w:t>单</w:t>
      </w:r>
      <w:bookmarkStart w:id="6"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5"/>
      <w:bookmarkEnd w:id="6"/>
      <w:r>
        <w:rPr>
          <w:rFonts w:ascii="仿宋_GB2312" w:eastAsia="仿宋_GB2312"/>
          <w:sz w:val="32"/>
          <w:szCs w:val="32"/>
          <w:lang w:eastAsia="zh-CN"/>
        </w:rPr>
        <w:t>。单位全年安排的国内公务接待0批次，0人次。</w:t>
      </w:r>
    </w:p>
    <w:p w14:paraId="73171EA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7" w:name="_Hlk207142995"/>
      <w:r>
        <w:rPr>
          <w:rFonts w:hint="eastAsia" w:ascii="仿宋_GB2312" w:eastAsia="仿宋_GB2312"/>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900DAB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0D29E4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7B0EEBC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2024年度乌鲁木齐市米东区商务局单位（行政单位和参照公务员法管理事业单位）机关运行经费支出6.41万元，比上年减少4.47万元，下降41.08%，主要原因是：</w:t>
      </w:r>
      <w:r>
        <w:rPr>
          <w:rFonts w:hint="eastAsia" w:ascii="仿宋_GB2312" w:eastAsia="仿宋_GB2312"/>
          <w:sz w:val="32"/>
          <w:szCs w:val="32"/>
          <w:lang w:eastAsia="zh-CN"/>
        </w:rPr>
        <w:t>本年单位办公经费及工会经费等较上年减少</w:t>
      </w:r>
      <w:r>
        <w:rPr>
          <w:rFonts w:ascii="仿宋_GB2312" w:eastAsia="仿宋_GB2312"/>
          <w:sz w:val="32"/>
          <w:szCs w:val="32"/>
          <w:lang w:eastAsia="zh-CN"/>
        </w:rPr>
        <w:t>。</w:t>
      </w:r>
    </w:p>
    <w:p w14:paraId="0678E16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666CF73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7D5543B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4B14711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6A42770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单位无其他用车</w:t>
      </w:r>
      <w:r>
        <w:rPr>
          <w:rFonts w:ascii="仿宋_GB2312" w:eastAsia="仿宋_GB2312"/>
          <w:sz w:val="32"/>
          <w:szCs w:val="32"/>
          <w:lang w:eastAsia="zh-CN"/>
        </w:rPr>
        <w:t>;单价100万元（含）以上设备（不含车辆）0台（套）。</w:t>
      </w:r>
    </w:p>
    <w:p w14:paraId="12DE6B2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79C1251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678.80</w:t>
      </w:r>
      <w:r>
        <w:rPr>
          <w:rFonts w:ascii="仿宋_GB2312" w:eastAsia="仿宋_GB2312"/>
          <w:sz w:val="32"/>
          <w:szCs w:val="32"/>
          <w:lang w:eastAsia="zh-CN"/>
        </w:rPr>
        <w:t>万元，实际执行总额</w:t>
      </w:r>
      <w:r>
        <w:rPr>
          <w:rFonts w:hint="eastAsia" w:ascii="仿宋_GB2312" w:eastAsia="仿宋_GB2312"/>
          <w:sz w:val="32"/>
          <w:szCs w:val="32"/>
          <w:lang w:eastAsia="zh-CN"/>
        </w:rPr>
        <w:t>643.90</w:t>
      </w:r>
      <w:r>
        <w:rPr>
          <w:rFonts w:ascii="仿宋_GB2312" w:eastAsia="仿宋_GB2312"/>
          <w:sz w:val="32"/>
          <w:szCs w:val="32"/>
          <w:lang w:eastAsia="zh-CN"/>
        </w:rPr>
        <w:t>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w:t>
      </w:r>
      <w:r>
        <w:rPr>
          <w:rFonts w:hint="eastAsia" w:ascii="仿宋_GB2312" w:eastAsia="仿宋_GB2312"/>
          <w:sz w:val="32"/>
          <w:szCs w:val="32"/>
          <w:lang w:eastAsia="zh-CN"/>
        </w:rPr>
        <w:t>33.14</w:t>
      </w:r>
      <w:r>
        <w:rPr>
          <w:rFonts w:ascii="仿宋_GB2312" w:eastAsia="仿宋_GB2312"/>
          <w:sz w:val="32"/>
          <w:szCs w:val="32"/>
          <w:lang w:eastAsia="zh-CN"/>
        </w:rPr>
        <w:t>万元，全年执行数</w:t>
      </w:r>
      <w:r>
        <w:rPr>
          <w:rFonts w:hint="eastAsia" w:ascii="仿宋_GB2312" w:eastAsia="仿宋_GB2312"/>
          <w:sz w:val="32"/>
          <w:szCs w:val="32"/>
          <w:lang w:eastAsia="zh-CN"/>
        </w:rPr>
        <w:t>30.79</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ascii="仿宋_GB2312" w:eastAsia="仿宋_GB2312"/>
          <w:sz w:val="32"/>
          <w:szCs w:val="32"/>
          <w:lang w:eastAsia="zh-CN"/>
        </w:rPr>
        <w:t>。具体附部门整体支出绩效自评表，项目支出绩效自评表和部门评价报告。</w:t>
      </w:r>
    </w:p>
    <w:p w14:paraId="18C1C63E">
      <w:pPr>
        <w:rPr>
          <w:rFonts w:hint="eastAsia" w:ascii="宋体" w:hAnsi="宋体" w:eastAsia="宋体" w:cs="宋体"/>
          <w:b/>
          <w:bCs/>
          <w:sz w:val="18"/>
          <w:szCs w:val="18"/>
        </w:rPr>
      </w:pPr>
      <w:bookmarkStart w:id="8" w:name="_Hlk174962300"/>
    </w:p>
    <w:p w14:paraId="5CDEFF08">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71EAACD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38C93D22">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52F4E91A">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89F6B2E">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乌鲁木齐市米东区商务局</w:t>
            </w:r>
          </w:p>
        </w:tc>
        <w:tc>
          <w:tcPr>
            <w:tcW w:w="284" w:type="dxa"/>
            <w:tcBorders>
              <w:top w:val="nil"/>
              <w:left w:val="nil"/>
              <w:bottom w:val="nil"/>
              <w:right w:val="nil"/>
            </w:tcBorders>
            <w:noWrap/>
            <w:vAlign w:val="center"/>
          </w:tcPr>
          <w:p w14:paraId="36DF8A4B">
            <w:pPr>
              <w:rPr>
                <w:rFonts w:hint="eastAsia" w:ascii="宋体" w:hAnsi="宋体" w:eastAsia="宋体" w:cs="宋体"/>
                <w:b/>
                <w:bCs/>
                <w:sz w:val="18"/>
                <w:szCs w:val="18"/>
                <w:lang w:eastAsia="zh-CN"/>
              </w:rPr>
            </w:pPr>
          </w:p>
        </w:tc>
      </w:tr>
      <w:tr w14:paraId="54AC5FD7">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B3B0BAF">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433BF33E">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DEF73FA">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16413196">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5E181365">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5CACE39B">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6FA489F2">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164D048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23B43D9C">
            <w:pPr>
              <w:jc w:val="center"/>
              <w:rPr>
                <w:rFonts w:hint="eastAsia" w:ascii="宋体" w:hAnsi="宋体" w:eastAsia="宋体" w:cs="宋体"/>
                <w:b/>
                <w:bCs/>
                <w:sz w:val="18"/>
                <w:szCs w:val="18"/>
              </w:rPr>
            </w:pPr>
          </w:p>
        </w:tc>
      </w:tr>
      <w:tr w14:paraId="73C16B57">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3E5909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8E92116">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32A72B39">
            <w:pPr>
              <w:jc w:val="center"/>
              <w:rPr>
                <w:rFonts w:hint="eastAsia" w:ascii="宋体" w:hAnsi="宋体" w:eastAsia="宋体" w:cs="宋体"/>
                <w:sz w:val="18"/>
                <w:szCs w:val="18"/>
              </w:rPr>
            </w:pPr>
            <w:r>
              <w:rPr>
                <w:rFonts w:hint="eastAsia" w:ascii="宋体" w:hAnsi="宋体" w:eastAsia="宋体" w:cs="宋体"/>
                <w:sz w:val="18"/>
                <w:szCs w:val="18"/>
              </w:rPr>
              <w:t>207.39</w:t>
            </w:r>
          </w:p>
        </w:tc>
        <w:tc>
          <w:tcPr>
            <w:tcW w:w="1276" w:type="dxa"/>
            <w:tcBorders>
              <w:top w:val="nil"/>
              <w:left w:val="nil"/>
              <w:bottom w:val="single" w:color="auto" w:sz="4" w:space="0"/>
              <w:right w:val="single" w:color="auto" w:sz="4" w:space="0"/>
            </w:tcBorders>
            <w:vAlign w:val="center"/>
          </w:tcPr>
          <w:p w14:paraId="52320891">
            <w:pPr>
              <w:jc w:val="center"/>
              <w:rPr>
                <w:rFonts w:hint="eastAsia" w:ascii="宋体" w:hAnsi="宋体" w:eastAsia="宋体" w:cs="宋体"/>
                <w:sz w:val="18"/>
                <w:szCs w:val="18"/>
              </w:rPr>
            </w:pPr>
            <w:r>
              <w:rPr>
                <w:rFonts w:hint="eastAsia" w:ascii="宋体" w:hAnsi="宋体" w:eastAsia="宋体" w:cs="宋体"/>
                <w:sz w:val="18"/>
                <w:szCs w:val="18"/>
              </w:rPr>
              <w:t>678.80</w:t>
            </w:r>
          </w:p>
        </w:tc>
        <w:tc>
          <w:tcPr>
            <w:tcW w:w="1701" w:type="dxa"/>
            <w:tcBorders>
              <w:top w:val="nil"/>
              <w:left w:val="nil"/>
              <w:bottom w:val="single" w:color="auto" w:sz="4" w:space="0"/>
              <w:right w:val="single" w:color="auto" w:sz="4" w:space="0"/>
            </w:tcBorders>
            <w:vAlign w:val="center"/>
          </w:tcPr>
          <w:p w14:paraId="647F7ADD">
            <w:pPr>
              <w:jc w:val="center"/>
              <w:rPr>
                <w:rFonts w:hint="eastAsia" w:ascii="宋体" w:hAnsi="宋体" w:eastAsia="宋体" w:cs="宋体"/>
                <w:sz w:val="18"/>
                <w:szCs w:val="18"/>
              </w:rPr>
            </w:pPr>
            <w:r>
              <w:rPr>
                <w:rFonts w:hint="eastAsia" w:ascii="宋体" w:hAnsi="宋体" w:eastAsia="宋体" w:cs="宋体"/>
                <w:sz w:val="18"/>
                <w:szCs w:val="18"/>
              </w:rPr>
              <w:t>643.90</w:t>
            </w:r>
          </w:p>
        </w:tc>
        <w:tc>
          <w:tcPr>
            <w:tcW w:w="1134" w:type="dxa"/>
            <w:tcBorders>
              <w:top w:val="nil"/>
              <w:left w:val="nil"/>
              <w:bottom w:val="single" w:color="auto" w:sz="4" w:space="0"/>
              <w:right w:val="single" w:color="auto" w:sz="4" w:space="0"/>
            </w:tcBorders>
            <w:vAlign w:val="center"/>
          </w:tcPr>
          <w:p w14:paraId="09996879">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5D49AAEB">
            <w:pPr>
              <w:jc w:val="center"/>
              <w:rPr>
                <w:rFonts w:hint="eastAsia" w:ascii="宋体" w:hAnsi="宋体" w:eastAsia="宋体" w:cs="宋体"/>
                <w:sz w:val="18"/>
                <w:szCs w:val="18"/>
              </w:rPr>
            </w:pPr>
            <w:r>
              <w:rPr>
                <w:rFonts w:hint="eastAsia" w:ascii="宋体" w:hAnsi="宋体" w:eastAsia="宋体" w:cs="宋体"/>
                <w:sz w:val="18"/>
                <w:szCs w:val="18"/>
              </w:rPr>
              <w:t>94.86%</w:t>
            </w:r>
          </w:p>
        </w:tc>
        <w:tc>
          <w:tcPr>
            <w:tcW w:w="720" w:type="dxa"/>
            <w:tcBorders>
              <w:top w:val="nil"/>
              <w:left w:val="nil"/>
              <w:bottom w:val="single" w:color="auto" w:sz="4" w:space="0"/>
              <w:right w:val="single" w:color="auto" w:sz="4" w:space="0"/>
            </w:tcBorders>
            <w:vAlign w:val="center"/>
          </w:tcPr>
          <w:p w14:paraId="6E2EE5B7">
            <w:pPr>
              <w:jc w:val="center"/>
              <w:rPr>
                <w:rFonts w:hint="eastAsia" w:ascii="宋体" w:hAnsi="宋体" w:eastAsia="宋体" w:cs="宋体"/>
                <w:sz w:val="18"/>
                <w:szCs w:val="18"/>
              </w:rPr>
            </w:pPr>
            <w:r>
              <w:rPr>
                <w:rFonts w:hint="eastAsia" w:ascii="宋体" w:hAnsi="宋体" w:eastAsia="宋体" w:cs="宋体"/>
                <w:sz w:val="18"/>
                <w:szCs w:val="18"/>
              </w:rPr>
              <w:t>9.48</w:t>
            </w:r>
          </w:p>
        </w:tc>
        <w:tc>
          <w:tcPr>
            <w:tcW w:w="284" w:type="dxa"/>
            <w:tcBorders>
              <w:top w:val="nil"/>
              <w:left w:val="nil"/>
              <w:bottom w:val="nil"/>
              <w:right w:val="nil"/>
            </w:tcBorders>
            <w:noWrap/>
            <w:vAlign w:val="center"/>
          </w:tcPr>
          <w:p w14:paraId="182F9059">
            <w:pPr>
              <w:jc w:val="center"/>
              <w:rPr>
                <w:rFonts w:hint="eastAsia" w:ascii="宋体" w:hAnsi="宋体" w:eastAsia="宋体" w:cs="宋体"/>
                <w:b/>
                <w:bCs/>
                <w:sz w:val="18"/>
                <w:szCs w:val="18"/>
              </w:rPr>
            </w:pPr>
          </w:p>
        </w:tc>
      </w:tr>
      <w:tr w14:paraId="0007F92E">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E3FCD9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0BFADD1">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647C041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04B5C60B">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4C7B45C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302FA19B">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2E577C65">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D4BF44C">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15E7FE00">
            <w:pPr>
              <w:jc w:val="center"/>
              <w:rPr>
                <w:rFonts w:hint="eastAsia" w:ascii="宋体" w:hAnsi="宋体" w:eastAsia="宋体" w:cs="宋体"/>
                <w:sz w:val="18"/>
                <w:szCs w:val="18"/>
              </w:rPr>
            </w:pPr>
          </w:p>
        </w:tc>
      </w:tr>
      <w:tr w14:paraId="087EF7DC">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CEF0F8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A32D81B">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5B9937CF">
            <w:pPr>
              <w:jc w:val="center"/>
              <w:rPr>
                <w:rFonts w:hint="eastAsia" w:ascii="宋体" w:hAnsi="宋体" w:eastAsia="宋体" w:cs="宋体"/>
                <w:sz w:val="18"/>
                <w:szCs w:val="18"/>
              </w:rPr>
            </w:pPr>
            <w:r>
              <w:rPr>
                <w:rFonts w:hint="eastAsia" w:ascii="宋体" w:hAnsi="宋体" w:eastAsia="宋体" w:cs="宋体"/>
                <w:sz w:val="18"/>
                <w:szCs w:val="18"/>
              </w:rPr>
              <w:t>207.39</w:t>
            </w:r>
          </w:p>
        </w:tc>
        <w:tc>
          <w:tcPr>
            <w:tcW w:w="1276" w:type="dxa"/>
            <w:tcBorders>
              <w:top w:val="nil"/>
              <w:left w:val="nil"/>
              <w:bottom w:val="single" w:color="auto" w:sz="4" w:space="0"/>
              <w:right w:val="single" w:color="auto" w:sz="4" w:space="0"/>
            </w:tcBorders>
            <w:vAlign w:val="center"/>
          </w:tcPr>
          <w:p w14:paraId="1FFEDC4A">
            <w:pPr>
              <w:jc w:val="center"/>
              <w:rPr>
                <w:rFonts w:hint="eastAsia" w:ascii="宋体" w:hAnsi="宋体" w:eastAsia="宋体" w:cs="宋体"/>
                <w:sz w:val="18"/>
                <w:szCs w:val="18"/>
              </w:rPr>
            </w:pPr>
            <w:r>
              <w:rPr>
                <w:rFonts w:hint="eastAsia" w:ascii="宋体" w:hAnsi="宋体" w:eastAsia="宋体" w:cs="宋体"/>
                <w:sz w:val="18"/>
                <w:szCs w:val="18"/>
              </w:rPr>
              <w:t>678.80</w:t>
            </w:r>
          </w:p>
        </w:tc>
        <w:tc>
          <w:tcPr>
            <w:tcW w:w="1701" w:type="dxa"/>
            <w:tcBorders>
              <w:top w:val="nil"/>
              <w:left w:val="nil"/>
              <w:bottom w:val="single" w:color="auto" w:sz="4" w:space="0"/>
              <w:right w:val="single" w:color="auto" w:sz="4" w:space="0"/>
            </w:tcBorders>
            <w:vAlign w:val="center"/>
          </w:tcPr>
          <w:p w14:paraId="0F55BF6E">
            <w:pPr>
              <w:jc w:val="center"/>
              <w:rPr>
                <w:rFonts w:hint="eastAsia" w:ascii="宋体" w:hAnsi="宋体" w:eastAsia="宋体" w:cs="宋体"/>
                <w:sz w:val="18"/>
                <w:szCs w:val="18"/>
              </w:rPr>
            </w:pPr>
            <w:r>
              <w:rPr>
                <w:rFonts w:hint="eastAsia" w:ascii="宋体" w:hAnsi="宋体" w:eastAsia="宋体" w:cs="宋体"/>
                <w:sz w:val="18"/>
                <w:szCs w:val="18"/>
              </w:rPr>
              <w:t>643.90</w:t>
            </w:r>
          </w:p>
        </w:tc>
        <w:tc>
          <w:tcPr>
            <w:tcW w:w="1134" w:type="dxa"/>
            <w:tcBorders>
              <w:top w:val="nil"/>
              <w:left w:val="nil"/>
              <w:bottom w:val="single" w:color="auto" w:sz="4" w:space="0"/>
              <w:right w:val="single" w:color="auto" w:sz="4" w:space="0"/>
            </w:tcBorders>
            <w:vAlign w:val="center"/>
          </w:tcPr>
          <w:p w14:paraId="679D8971">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21AEB3E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63793EF">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5D32FF74">
            <w:pPr>
              <w:jc w:val="center"/>
              <w:rPr>
                <w:rFonts w:hint="eastAsia" w:ascii="宋体" w:hAnsi="宋体" w:eastAsia="宋体" w:cs="宋体"/>
                <w:sz w:val="18"/>
                <w:szCs w:val="18"/>
              </w:rPr>
            </w:pPr>
          </w:p>
        </w:tc>
      </w:tr>
      <w:tr w14:paraId="375AB1BB">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9F769E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3A742A5">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72B4B1D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1916A52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14C97C64">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0B5D1E9">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2A42995C">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58021D5C">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642D4270">
            <w:pPr>
              <w:jc w:val="center"/>
              <w:rPr>
                <w:rFonts w:hint="eastAsia" w:ascii="宋体" w:hAnsi="宋体" w:eastAsia="宋体" w:cs="宋体"/>
                <w:sz w:val="18"/>
                <w:szCs w:val="18"/>
              </w:rPr>
            </w:pPr>
          </w:p>
        </w:tc>
      </w:tr>
      <w:tr w14:paraId="5AFFF882">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D61341E">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05192CEE">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31DD6B9F">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16767F57">
            <w:pPr>
              <w:rPr>
                <w:rFonts w:hint="eastAsia" w:ascii="宋体" w:hAnsi="宋体" w:eastAsia="宋体" w:cs="宋体"/>
                <w:b/>
                <w:bCs/>
                <w:sz w:val="18"/>
                <w:szCs w:val="18"/>
              </w:rPr>
            </w:pPr>
          </w:p>
        </w:tc>
      </w:tr>
      <w:tr w14:paraId="5A4D07F2">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8ED6D24">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3780D6B8">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局将坚持以习近平新时代中国特色社会主义思想为指导，全面贯彻落实党的二十大精神，坚持稳中求进工作总基调，完整准确全面贯彻新发展理念，积极服务和融入新发展格局，更好统筹国内国际两个大局，统筹疫情防控和经济社会发展，统筹发展和安全，紧贴民生推动高质量发展，不懈推进重点任务，推动米东区经济发展取得新成效。（一）突出重点，持续聚力促消费。一是优化发展夜间消费和商圈建设，2024年创建1个夜间经济示范区，形成夜间消费聚集效应。培育壮大智能、体验、定制等新型消费，发展信用消费，促进预付消费。围绕“一区三圈多点”总体空间布局，全面促进商圈改造升级，提升活跃2个商圈（米古里商圈、奥体中心商圈），新建培育1个商圈（米东吾悦广场商圈），米东吾悦商圈、米古里商圈等商圈初具规模。二是持续巩固限上社会消费品零售企业根基，扩大限上消费品社会消费品零售企业规模，力争2023-2025年限上社会消费品零售额年均增长7%以上。挖掘壮大首店首发经济，2024年引进首店品牌超20家。三是深入实施消费领域创新驱动发展，推动技术、管理、商业模式等各类创新，推动互联网和各类消费业态紧密融合，支持发展直播电商、即时零售（美团、滴滴打车、自动售货机）等新模式新业态，依托新疆哎呦喂食品有限公司、天极云仓、华凌农牧科技开发有限公司等电商龙头企业日常性开展直播带货，带动辖区传统零售企业开展线上直播。四是积极扩大多领域消费。支持天汇汽车城、通汇二手车市场、新龙河二手车交易市场等企业开展汽车全生命周期服务，拓展汽车租赁、改装、二手车交易、维修保养等后市场业务，推动全车型一站式服务，促进汽车更新消费。积极扩大新能源汽车消费政策，支持新能源汽车购买使用，构建高质量充电基础设施体系，加快换电模式推广应用，有效满足居民出行充换电需求。落实延续新能源汽车车辆购置税减免政策，2024年开展汽车进超市、进商场、进乡镇等“六进”活动15场，创新拓展汽车消费场景。依托我家电器和5家大型超市年均打造家电、家居、美食等惠民消费节5场，激发消费市场活力。推广智能家电、集成家电、功能化家具等产品，提升家居智能化绿色化水平。（二）稳中求进，培育外贸新优势。开拓新兴经济体和发展中国家市场，支持13家外贸企业大力发展进出口加工贸易、市场采购贸易、服务贸易，积极培育外贸龙头企业5家，2024年外贸进出口额达到8.5亿元，实现外贸进出口数据稳步增长。（三）加强谋划，招引投资精项目。加快推进里巷商业街区项目、东凯综合物流园项目等2个新建项目如期开工，引进社会投资1.6亿元，在确保安全生产前提下加快施工进度，抢抓市场机遇，完整准确地完成项目建设工作。做好米东国际五金机电市场建设项目、乌鲁木齐环鹏有限公司后峡加油站异地搬迁建设项目、新疆便民服务中心智慧菜篮子项目、天瑞达加气制氢站项目等4个储备项目服务工作，配合区招商服务局实现项目落地投产。（四）稳定秩序，确保安全固根本。结合商务系统实际，统筹兼顾、突出重点，对全区商贸领域等人员密集场所进行安全生产监管。重点监管大型商场、超市、社区蔬菜直销点等。发现存在重大事故隐患的，要进行重点监管检查，增加检查频次，督促限期整改到位。同时根据职责法定原则，认真履行安全生产综合监管职责，联合多部门开展专项检查和整治，有效解决安全生产薄弱环节和突出问题，做到已查明安全事故隐患的责令整改率、到期复查率100%。（五）完善体系，绿色消费扩影响。打造形成以社区回收站点为支点、分拣（拆解）加工中心为骨干、集散市场为核心、回收利用龙头企业为纽带的再生资源回收利用体系，积极帮助指导回收建设工作，按照回收站点行业标准《再生资源绿色分拣中心建设管理规范》的要求继续开展再生资源回收站点建设，2024年在现有基础上再建设10个标准规范化的回收站点。活跃二手车市场交易，完善报废机动车回收利用体系，深入推进绿色智能“家电下乡”和“以旧换新”活动，促进绿色智能家电消费，积极申报创建绿色饭店、绿色餐饮企业。</w:t>
            </w:r>
          </w:p>
        </w:tc>
        <w:tc>
          <w:tcPr>
            <w:tcW w:w="4547" w:type="dxa"/>
            <w:gridSpan w:val="4"/>
            <w:tcBorders>
              <w:top w:val="single" w:color="auto" w:sz="4" w:space="0"/>
              <w:left w:val="nil"/>
              <w:bottom w:val="single" w:color="auto" w:sz="4" w:space="0"/>
              <w:right w:val="single" w:color="auto" w:sz="4" w:space="0"/>
            </w:tcBorders>
          </w:tcPr>
          <w:p w14:paraId="64BA261C">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在区委、区政府的正确领导下，米东区商务局坚持以习近平新时代中国特色社会主义思想为指导，全面贯彻落实党的二十大和二十届二中、三中全会精神，贯彻落实中央经济工作会议精神，团结奋斗，守正创新，迎难而上，真抓实干，为全区改革发展稳定事业做出贡献。一、两项经济指标完成情况1.限上社会消费品零售额。全年实现限上社会消费品零售额67.46亿元，实现社会消费品零售总额（全口径）100.32亿元。2.外贸进出口总额。全年完成外贸进出口总额10.1亿元，同比增长21.7%，增速位列全市第一军团。二、多措并举提振消费，刺激经济增长。一是优化消费环境，激活消费潜力，积极把握节日消费热点，在春节等重要时间节点，精心指导大中型商超、商圈开展让利促销活动75场次，吸引消费者约63.6万人次，实现营业额约7900万余元。二是开展线上宣传。积极申报米东区商务局微信公众号，加大消费政策和活动宣传力度，通过各级媒体宣传报道30余次，利用人员密集场所LED大屏大力宣传活动政策；组织动员全区机关、企事业单位转发以旧换新宣传海报、视频、明白书等相关政策覆盖43.46万人次。三是开展线下宣传活动。成立宣讲小分队，采取国旗下宣讲、集中宣讲等60余场次。印制各类宣传手册、海报10000余份，在机关单位、小区、商超等人员密集地张贴，对限上企业和各类活动进行大力宣传。三、、落实汽车、家电、电动自行车、家装厨卫“以旧换新”政策。组织汽车、家电、电动自行车展销进机关、进小区、进企业等活动，加大力度实施以旧换新政策。2024年车辆报废换新644台，零售额8810.99万元；汽车置换5180余辆，零售额7.77亿元；家电置换5159台，零售额2866.27万元；置换电动自行车420台，销售额92.15万元；置换厨卫4037件，零售额2043.7万余元。四、完成零售餐饮企业入库纳统。积极走访企业，安排专人分类对接限上企业包联跟踪服务，对接市监局、税务局摸排全区企业（个体）经营情况，通过电话询问、实地走访梳理出拟入库企业名单。月度入库8家企业，年度入库52家企业、7家个体。五、进一步加快特色美食街区的建设和发展，增强特色餐饮业集聚和辐射力。组织米古里西域水游城特色美食一条街、米东区吾悦广场特色美食街区申报并荣获“乌鲁木齐市级特色美食街区”；北园香饭店、乌鲁木齐市米东区贵军烧鹅红嘴雁2家企业获自治区级“新疆老字号”，北园香饭店、贵军烧鹅红嘴雁、马宁大盘鸡私房菜等5家企业荣获市级“乌鲁木齐餐饮老字号”，极大提升了餐饮品牌影响力和知名度。六、持续加大对外开放。一是积极组织双钱（昆仑）轮胎、纳贸斯捷申报《2024年度中央外经贸发展专项资金》，补贴62.6万元。组织3家重点外贸企业申报边境地区转移支付资金补贴16万元。二是召开9场外贸专题研讨交流会，帮助21家工业企业对接外贸综合服务资源，鼓励外贸企业提升国际化服务能力，新培育服务外包企业4家。三是积极拓展二手车出口业务。指导广汇二手车市场获得二手车出口资质，开通吉尔吉斯斯坦、哈萨克斯坦、乌兹别克斯坦业务，全年出口车辆18台，价值270万元人民币。七、强化交流协作，借力平台强展会。一是精心做好2024年第八届亚欧博览会的筹备和组展工作，组织辖区16家企业布展参展，展示名优特色产品40多种，达成意向合同金额10万，签约项目3个。二是动员企业参加国外经贸活动。组织新疆金大禹环境科技有限公司等33家企业赴吉尔吉斯斯坦、乌兹别克斯坦、塔吉克斯坦等国家开展经贸交流活动，共达成合作意向3个，意向金额1970万元。三是组织企业参加国内展会活动。组织哎呦喂食品有限公司、新疆清泉绿洲科技有限公司等44家企业参加国内展会5场次，为企业拓宽销售渠道，提高品牌影响力。八、优化服务稳项目。树立大抓项目、抓大项目的理念，全力推进商贸领域项目建设。圆满完成2024年固定资产投资目标任务6亿元。3个续建项目（米东区技工学校改扩建项目、技工学校实训车间建设项目、东凯综合物流园一期项目）完成投资0.34亿元。2个新建项目（星龙创新科技园、德源加油加气站）完成投资2.56亿元。新疆警察学院（新疆公安警察培训基地）宿舍楼加固改造项目完成投资0.54亿元。九、坚持问题导向，抓实安全生产工作。一是组织全局干部职工学习习近平总书记关于安全生产重要论述30余次。开展570多场次防灾减灾应急疏散活动，员工防灾减灾意识进一步加强。二是与22家商贸重点企业签订安全生产责任书，层层压实责任。全年累计出动检查小组30组130多人次，共检查出各类安全隐患问题73件（立查立改58件、限期整改15件），现已全部整改到位，整改率100%。三是依法依规做好成品油零售企业的资质审查，开展加油站证照检查38家次，办理加油站法人变更审核4家，规范成品油经营企业的经营行为。四是认真落实食品安全责任。强化日常和重大节假日安全监督，开展督查指导30余次，开展形式多样的食品安全和反食品浪费宣传活动，切实做好行业领域食品安全工作。十、聚焦民生实事，全力以赴保供稳价。一是米东区现有89家直销点，全年销售蔬菜12000吨，销售牛羊肉200余吨。二是督促运营企业严格落实巡店制度，常态化开展走访抽查工作，全年出动10余人次，检查出20项问题，已全部整改完毕。三是着力解决民生诉求。全年处理直销点投诉问题17起，有效解决了居民群众反映“买菜难”、直销点服务不到位等问题诉求。</w:t>
            </w:r>
          </w:p>
        </w:tc>
        <w:tc>
          <w:tcPr>
            <w:tcW w:w="284" w:type="dxa"/>
            <w:tcBorders>
              <w:top w:val="nil"/>
              <w:left w:val="nil"/>
              <w:bottom w:val="nil"/>
              <w:right w:val="nil"/>
            </w:tcBorders>
            <w:noWrap/>
            <w:vAlign w:val="center"/>
          </w:tcPr>
          <w:p w14:paraId="5454F522">
            <w:pPr>
              <w:rPr>
                <w:rFonts w:hint="eastAsia" w:ascii="宋体" w:hAnsi="宋体" w:eastAsia="宋体" w:cs="宋体"/>
                <w:sz w:val="18"/>
                <w:szCs w:val="18"/>
                <w:lang w:eastAsia="zh-CN"/>
              </w:rPr>
            </w:pPr>
          </w:p>
        </w:tc>
      </w:tr>
      <w:tr w14:paraId="47B1DBB6">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836ACA6">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48A3F0F">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06A20BBA">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11A899EB">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0C257A75">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14D782D1">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2AC25B2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7D2EB43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3C56B4B">
            <w:pPr>
              <w:rPr>
                <w:rFonts w:hint="eastAsia" w:ascii="宋体" w:hAnsi="宋体" w:eastAsia="宋体" w:cs="宋体"/>
                <w:b/>
                <w:bCs/>
                <w:sz w:val="18"/>
                <w:szCs w:val="18"/>
              </w:rPr>
            </w:pPr>
          </w:p>
        </w:tc>
      </w:tr>
      <w:tr w14:paraId="1631FEF4">
        <w:tblPrEx>
          <w:tblCellMar>
            <w:top w:w="0" w:type="dxa"/>
            <w:left w:w="108" w:type="dxa"/>
            <w:bottom w:w="0" w:type="dxa"/>
            <w:right w:w="108" w:type="dxa"/>
          </w:tblCellMar>
        </w:tblPrEx>
        <w:trPr>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D46A931">
            <w:pPr>
              <w:jc w:val="center"/>
              <w:rPr>
                <w:rFonts w:hint="eastAsia" w:ascii="宋体" w:hAnsi="宋体" w:eastAsia="宋体" w:cs="宋体"/>
                <w:sz w:val="18"/>
                <w:szCs w:val="18"/>
              </w:rPr>
            </w:pPr>
            <w:r>
              <w:rPr>
                <w:rFonts w:hint="eastAsia" w:ascii="宋体" w:hAnsi="宋体" w:eastAsia="宋体" w:cs="宋体"/>
                <w:sz w:val="18"/>
                <w:szCs w:val="18"/>
              </w:rPr>
              <w:t>运行成本</w:t>
            </w:r>
          </w:p>
        </w:tc>
        <w:tc>
          <w:tcPr>
            <w:tcW w:w="1417" w:type="dxa"/>
            <w:tcBorders>
              <w:top w:val="nil"/>
              <w:left w:val="nil"/>
              <w:bottom w:val="single" w:color="auto" w:sz="4" w:space="0"/>
              <w:right w:val="single" w:color="auto" w:sz="4" w:space="0"/>
            </w:tcBorders>
            <w:noWrap/>
            <w:vAlign w:val="center"/>
          </w:tcPr>
          <w:p w14:paraId="6AD568A2">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181BF2A9">
            <w:pPr>
              <w:jc w:val="center"/>
              <w:rPr>
                <w:rFonts w:hint="eastAsia" w:ascii="宋体" w:hAnsi="宋体" w:eastAsia="宋体" w:cs="宋体"/>
                <w:sz w:val="18"/>
                <w:szCs w:val="18"/>
              </w:rPr>
            </w:pPr>
            <w:r>
              <w:rPr>
                <w:rFonts w:hint="eastAsia" w:ascii="宋体" w:hAnsi="宋体" w:eastAsia="宋体" w:cs="宋体"/>
                <w:sz w:val="18"/>
                <w:szCs w:val="18"/>
                <w:lang w:eastAsia="zh-CN"/>
              </w:rPr>
              <w:t>“三公”经费</w:t>
            </w:r>
            <w:r>
              <w:rPr>
                <w:rFonts w:hint="eastAsia" w:ascii="宋体" w:hAnsi="宋体" w:eastAsia="宋体" w:cs="宋体"/>
                <w:sz w:val="18"/>
                <w:szCs w:val="18"/>
              </w:rPr>
              <w:t>控制率</w:t>
            </w:r>
          </w:p>
        </w:tc>
        <w:tc>
          <w:tcPr>
            <w:tcW w:w="1276" w:type="dxa"/>
            <w:tcBorders>
              <w:top w:val="nil"/>
              <w:left w:val="nil"/>
              <w:bottom w:val="single" w:color="auto" w:sz="4" w:space="0"/>
              <w:right w:val="single" w:color="auto" w:sz="4" w:space="0"/>
            </w:tcBorders>
            <w:noWrap/>
            <w:vAlign w:val="center"/>
          </w:tcPr>
          <w:p w14:paraId="0338EEC7">
            <w:pPr>
              <w:jc w:val="center"/>
              <w:rPr>
                <w:rFonts w:hint="eastAsia" w:ascii="宋体" w:hAnsi="宋体" w:eastAsia="宋体" w:cs="宋体"/>
                <w:sz w:val="18"/>
                <w:szCs w:val="18"/>
              </w:rPr>
            </w:pPr>
            <w:r>
              <w:rPr>
                <w:rFonts w:hint="eastAsia" w:ascii="宋体" w:hAnsi="宋体" w:eastAsia="宋体" w:cs="宋体"/>
                <w:sz w:val="18"/>
                <w:szCs w:val="18"/>
              </w:rPr>
              <w:t>&lt;=100%</w:t>
            </w:r>
          </w:p>
        </w:tc>
        <w:tc>
          <w:tcPr>
            <w:tcW w:w="1701" w:type="dxa"/>
            <w:tcBorders>
              <w:top w:val="nil"/>
              <w:left w:val="nil"/>
              <w:bottom w:val="single" w:color="auto" w:sz="4" w:space="0"/>
              <w:right w:val="single" w:color="auto" w:sz="4" w:space="0"/>
            </w:tcBorders>
            <w:noWrap/>
            <w:vAlign w:val="center"/>
          </w:tcPr>
          <w:p w14:paraId="3A2CF04E">
            <w:pPr>
              <w:rPr>
                <w:rFonts w:hint="eastAsia" w:ascii="宋体" w:hAnsi="宋体" w:eastAsia="宋体" w:cs="宋体"/>
                <w:sz w:val="18"/>
                <w:szCs w:val="18"/>
                <w:lang w:eastAsia="zh-CN"/>
              </w:rPr>
            </w:pPr>
            <w:r>
              <w:rPr>
                <w:rFonts w:hint="eastAsia" w:ascii="宋体" w:hAnsi="宋体" w:eastAsia="宋体" w:cs="宋体"/>
                <w:sz w:val="18"/>
                <w:szCs w:val="18"/>
                <w:lang w:eastAsia="zh-CN"/>
              </w:rPr>
              <w:t>关于加强“三公”经费管理严控一般性支出的通知</w:t>
            </w:r>
          </w:p>
        </w:tc>
        <w:tc>
          <w:tcPr>
            <w:tcW w:w="1134" w:type="dxa"/>
            <w:tcBorders>
              <w:top w:val="nil"/>
              <w:left w:val="nil"/>
              <w:bottom w:val="single" w:color="auto" w:sz="4" w:space="0"/>
              <w:right w:val="single" w:color="auto" w:sz="4" w:space="0"/>
            </w:tcBorders>
            <w:noWrap/>
            <w:vAlign w:val="center"/>
          </w:tcPr>
          <w:p w14:paraId="690BBA06">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nil"/>
              <w:left w:val="nil"/>
              <w:bottom w:val="single" w:color="auto" w:sz="4" w:space="0"/>
              <w:right w:val="single" w:color="auto" w:sz="4" w:space="0"/>
            </w:tcBorders>
            <w:noWrap/>
            <w:vAlign w:val="center"/>
          </w:tcPr>
          <w:p w14:paraId="01EC7949">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67F597B8">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53CA6282">
            <w:pPr>
              <w:jc w:val="center"/>
              <w:rPr>
                <w:rFonts w:hint="eastAsia" w:ascii="宋体" w:hAnsi="宋体" w:eastAsia="宋体" w:cs="宋体"/>
                <w:sz w:val="18"/>
                <w:szCs w:val="18"/>
              </w:rPr>
            </w:pPr>
          </w:p>
        </w:tc>
      </w:tr>
      <w:tr w14:paraId="6CAC10FB">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70E956F">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5877F0B">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5A2199EB">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建设再生资源回收站点个数</w:t>
            </w:r>
          </w:p>
        </w:tc>
        <w:tc>
          <w:tcPr>
            <w:tcW w:w="1276" w:type="dxa"/>
            <w:tcBorders>
              <w:top w:val="nil"/>
              <w:left w:val="nil"/>
              <w:bottom w:val="single" w:color="auto" w:sz="4" w:space="0"/>
              <w:right w:val="single" w:color="auto" w:sz="4" w:space="0"/>
            </w:tcBorders>
            <w:noWrap/>
            <w:vAlign w:val="center"/>
          </w:tcPr>
          <w:p w14:paraId="561AACCE">
            <w:pPr>
              <w:jc w:val="center"/>
              <w:rPr>
                <w:rFonts w:hint="eastAsia" w:ascii="宋体" w:hAnsi="宋体" w:eastAsia="宋体" w:cs="宋体"/>
                <w:sz w:val="18"/>
                <w:szCs w:val="18"/>
              </w:rPr>
            </w:pPr>
            <w:r>
              <w:rPr>
                <w:rFonts w:hint="eastAsia" w:ascii="宋体" w:hAnsi="宋体" w:eastAsia="宋体" w:cs="宋体"/>
                <w:sz w:val="18"/>
                <w:szCs w:val="18"/>
              </w:rPr>
              <w:t>&gt;=10个</w:t>
            </w:r>
          </w:p>
        </w:tc>
        <w:tc>
          <w:tcPr>
            <w:tcW w:w="1701" w:type="dxa"/>
            <w:tcBorders>
              <w:top w:val="nil"/>
              <w:left w:val="nil"/>
              <w:bottom w:val="single" w:color="auto" w:sz="4" w:space="0"/>
              <w:right w:val="single" w:color="auto" w:sz="4" w:space="0"/>
            </w:tcBorders>
            <w:noWrap/>
            <w:vAlign w:val="center"/>
          </w:tcPr>
          <w:p w14:paraId="58642BE8">
            <w:pPr>
              <w:rPr>
                <w:rFonts w:hint="eastAsia" w:ascii="宋体" w:hAnsi="宋体" w:eastAsia="宋体" w:cs="宋体"/>
                <w:sz w:val="18"/>
                <w:szCs w:val="18"/>
                <w:lang w:eastAsia="zh-CN"/>
              </w:rPr>
            </w:pPr>
            <w:r>
              <w:rPr>
                <w:rFonts w:hint="eastAsia" w:ascii="宋体" w:hAnsi="宋体" w:eastAsia="宋体" w:cs="宋体"/>
                <w:sz w:val="18"/>
                <w:szCs w:val="18"/>
                <w:lang w:eastAsia="zh-CN"/>
              </w:rPr>
              <w:t>关于印发乌鲁木齐市再生资源回收利用体系建设三年行动方案的通知</w:t>
            </w:r>
          </w:p>
        </w:tc>
        <w:tc>
          <w:tcPr>
            <w:tcW w:w="1134" w:type="dxa"/>
            <w:tcBorders>
              <w:top w:val="nil"/>
              <w:left w:val="nil"/>
              <w:bottom w:val="single" w:color="auto" w:sz="4" w:space="0"/>
              <w:right w:val="single" w:color="auto" w:sz="4" w:space="0"/>
            </w:tcBorders>
            <w:noWrap/>
            <w:vAlign w:val="center"/>
          </w:tcPr>
          <w:p w14:paraId="15F551A7">
            <w:pPr>
              <w:jc w:val="center"/>
              <w:rPr>
                <w:rFonts w:hint="eastAsia" w:ascii="宋体" w:hAnsi="宋体" w:eastAsia="宋体" w:cs="宋体"/>
                <w:sz w:val="18"/>
                <w:szCs w:val="18"/>
              </w:rPr>
            </w:pPr>
            <w:r>
              <w:rPr>
                <w:rFonts w:hint="eastAsia" w:ascii="宋体" w:hAnsi="宋体" w:eastAsia="宋体" w:cs="宋体"/>
                <w:sz w:val="18"/>
                <w:szCs w:val="18"/>
              </w:rPr>
              <w:t>18个</w:t>
            </w:r>
          </w:p>
        </w:tc>
        <w:tc>
          <w:tcPr>
            <w:tcW w:w="992" w:type="dxa"/>
            <w:tcBorders>
              <w:top w:val="nil"/>
              <w:left w:val="nil"/>
              <w:bottom w:val="single" w:color="auto" w:sz="4" w:space="0"/>
              <w:right w:val="single" w:color="auto" w:sz="4" w:space="0"/>
            </w:tcBorders>
            <w:noWrap/>
            <w:vAlign w:val="center"/>
          </w:tcPr>
          <w:p w14:paraId="7F4A3C7F">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5DFFC341">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37F27CD7">
            <w:pPr>
              <w:jc w:val="center"/>
              <w:rPr>
                <w:rFonts w:hint="eastAsia" w:ascii="宋体" w:hAnsi="宋体" w:eastAsia="宋体" w:cs="宋体"/>
                <w:sz w:val="18"/>
                <w:szCs w:val="18"/>
              </w:rPr>
            </w:pPr>
          </w:p>
        </w:tc>
      </w:tr>
      <w:tr w14:paraId="3D43B791">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01454F6">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470C2ADF">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38D58E1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打造一刻钟便民生活圈个数</w:t>
            </w:r>
          </w:p>
        </w:tc>
        <w:tc>
          <w:tcPr>
            <w:tcW w:w="1276" w:type="dxa"/>
            <w:tcBorders>
              <w:top w:val="single" w:color="auto" w:sz="4" w:space="0"/>
              <w:left w:val="nil"/>
              <w:bottom w:val="single" w:color="auto" w:sz="4" w:space="0"/>
              <w:right w:val="single" w:color="auto" w:sz="4" w:space="0"/>
            </w:tcBorders>
            <w:noWrap/>
            <w:vAlign w:val="center"/>
          </w:tcPr>
          <w:p w14:paraId="73B9FE52">
            <w:pPr>
              <w:jc w:val="center"/>
              <w:rPr>
                <w:rFonts w:hint="eastAsia" w:ascii="宋体" w:hAnsi="宋体" w:eastAsia="宋体" w:cs="宋体"/>
                <w:sz w:val="18"/>
                <w:szCs w:val="18"/>
              </w:rPr>
            </w:pPr>
            <w:r>
              <w:rPr>
                <w:rFonts w:hint="eastAsia" w:ascii="宋体" w:hAnsi="宋体" w:eastAsia="宋体" w:cs="宋体"/>
                <w:sz w:val="18"/>
                <w:szCs w:val="18"/>
              </w:rPr>
              <w:t>&gt;=2个</w:t>
            </w:r>
          </w:p>
        </w:tc>
        <w:tc>
          <w:tcPr>
            <w:tcW w:w="1701" w:type="dxa"/>
            <w:tcBorders>
              <w:top w:val="single" w:color="auto" w:sz="4" w:space="0"/>
              <w:left w:val="nil"/>
              <w:bottom w:val="single" w:color="auto" w:sz="4" w:space="0"/>
              <w:right w:val="single" w:color="auto" w:sz="4" w:space="0"/>
            </w:tcBorders>
            <w:noWrap/>
            <w:vAlign w:val="center"/>
          </w:tcPr>
          <w:p w14:paraId="415E7F6F">
            <w:pPr>
              <w:rPr>
                <w:rFonts w:hint="eastAsia" w:ascii="宋体" w:hAnsi="宋体" w:eastAsia="宋体" w:cs="宋体"/>
                <w:sz w:val="18"/>
                <w:szCs w:val="18"/>
                <w:lang w:eastAsia="zh-CN"/>
              </w:rPr>
            </w:pPr>
            <w:r>
              <w:rPr>
                <w:rFonts w:hint="eastAsia" w:ascii="宋体" w:hAnsi="宋体" w:eastAsia="宋体" w:cs="宋体"/>
                <w:sz w:val="18"/>
                <w:szCs w:val="18"/>
                <w:lang w:eastAsia="zh-CN"/>
              </w:rPr>
              <w:t>关于做好2024年城市一刻钟便民生活圈建设工作的通知</w:t>
            </w:r>
          </w:p>
        </w:tc>
        <w:tc>
          <w:tcPr>
            <w:tcW w:w="1134" w:type="dxa"/>
            <w:tcBorders>
              <w:top w:val="single" w:color="auto" w:sz="4" w:space="0"/>
              <w:left w:val="nil"/>
              <w:bottom w:val="single" w:color="auto" w:sz="4" w:space="0"/>
              <w:right w:val="single" w:color="auto" w:sz="4" w:space="0"/>
            </w:tcBorders>
            <w:noWrap/>
            <w:vAlign w:val="center"/>
          </w:tcPr>
          <w:p w14:paraId="614B91AD">
            <w:pPr>
              <w:jc w:val="center"/>
              <w:rPr>
                <w:rFonts w:hint="eastAsia" w:ascii="宋体" w:hAnsi="宋体" w:eastAsia="宋体" w:cs="宋体"/>
                <w:sz w:val="18"/>
                <w:szCs w:val="18"/>
              </w:rPr>
            </w:pPr>
            <w:r>
              <w:rPr>
                <w:rFonts w:hint="eastAsia" w:ascii="宋体" w:hAnsi="宋体" w:eastAsia="宋体" w:cs="宋体"/>
                <w:sz w:val="18"/>
                <w:szCs w:val="18"/>
              </w:rPr>
              <w:t>2个</w:t>
            </w:r>
          </w:p>
        </w:tc>
        <w:tc>
          <w:tcPr>
            <w:tcW w:w="992" w:type="dxa"/>
            <w:tcBorders>
              <w:top w:val="single" w:color="auto" w:sz="4" w:space="0"/>
              <w:left w:val="nil"/>
              <w:bottom w:val="single" w:color="auto" w:sz="4" w:space="0"/>
              <w:right w:val="single" w:color="auto" w:sz="4" w:space="0"/>
            </w:tcBorders>
            <w:noWrap/>
            <w:vAlign w:val="center"/>
          </w:tcPr>
          <w:p w14:paraId="2B207736">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178A1289">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26F5C2ED">
            <w:pPr>
              <w:jc w:val="center"/>
              <w:rPr>
                <w:rFonts w:hint="eastAsia" w:ascii="宋体" w:hAnsi="宋体" w:eastAsia="宋体" w:cs="宋体"/>
                <w:sz w:val="18"/>
                <w:szCs w:val="18"/>
              </w:rPr>
            </w:pPr>
          </w:p>
        </w:tc>
      </w:tr>
      <w:tr w14:paraId="704E369B">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69E61BBA">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3BC2978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333C9BB2">
            <w:pPr>
              <w:jc w:val="center"/>
              <w:rPr>
                <w:rFonts w:hint="eastAsia" w:ascii="宋体" w:hAnsi="宋体" w:eastAsia="宋体" w:cs="宋体"/>
                <w:sz w:val="18"/>
                <w:szCs w:val="18"/>
              </w:rPr>
            </w:pPr>
            <w:r>
              <w:rPr>
                <w:rFonts w:hint="eastAsia" w:ascii="宋体" w:hAnsi="宋体" w:eastAsia="宋体" w:cs="宋体"/>
                <w:sz w:val="18"/>
                <w:szCs w:val="18"/>
              </w:rPr>
              <w:t>99.48</w:t>
            </w:r>
          </w:p>
        </w:tc>
        <w:tc>
          <w:tcPr>
            <w:tcW w:w="284" w:type="dxa"/>
            <w:tcBorders>
              <w:top w:val="nil"/>
              <w:left w:val="nil"/>
              <w:bottom w:val="nil"/>
              <w:right w:val="nil"/>
            </w:tcBorders>
            <w:noWrap/>
            <w:vAlign w:val="center"/>
          </w:tcPr>
          <w:p w14:paraId="372DBA3B">
            <w:pPr>
              <w:jc w:val="center"/>
              <w:rPr>
                <w:rFonts w:hint="eastAsia" w:ascii="宋体" w:hAnsi="宋体" w:eastAsia="宋体" w:cs="宋体"/>
                <w:sz w:val="18"/>
                <w:szCs w:val="18"/>
              </w:rPr>
            </w:pPr>
          </w:p>
        </w:tc>
      </w:tr>
    </w:tbl>
    <w:p w14:paraId="0391DBF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DB0256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695C9D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99729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722A16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促销宣传活动制作海报、版面等专项经费</w:t>
            </w:r>
          </w:p>
        </w:tc>
      </w:tr>
      <w:tr w14:paraId="76E1270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B6C77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4B3126C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乌鲁木齐市米东区商务局</w:t>
            </w:r>
          </w:p>
        </w:tc>
        <w:tc>
          <w:tcPr>
            <w:tcW w:w="1275" w:type="dxa"/>
            <w:gridSpan w:val="2"/>
            <w:tcBorders>
              <w:top w:val="nil"/>
              <w:left w:val="nil"/>
              <w:bottom w:val="single" w:color="auto" w:sz="4" w:space="0"/>
              <w:right w:val="single" w:color="000000" w:sz="4" w:space="0"/>
            </w:tcBorders>
            <w:vAlign w:val="center"/>
          </w:tcPr>
          <w:p w14:paraId="37AA038D">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10570ED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乌鲁木齐市米东区商务局</w:t>
            </w:r>
          </w:p>
        </w:tc>
      </w:tr>
      <w:tr w14:paraId="4EC4B3DF">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6A3C2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435B9D58">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2CB010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797B04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7F6D25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9473B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CCC8D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2E4CAE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CA9300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B3552D1">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7B70F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44E78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125" w:type="dxa"/>
            <w:tcBorders>
              <w:top w:val="nil"/>
              <w:left w:val="nil"/>
              <w:bottom w:val="single" w:color="auto" w:sz="4" w:space="0"/>
              <w:right w:val="single" w:color="auto" w:sz="4" w:space="0"/>
            </w:tcBorders>
            <w:noWrap/>
            <w:vAlign w:val="center"/>
          </w:tcPr>
          <w:p w14:paraId="00E409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275" w:type="dxa"/>
            <w:gridSpan w:val="2"/>
            <w:tcBorders>
              <w:top w:val="single" w:color="auto" w:sz="4" w:space="0"/>
              <w:left w:val="nil"/>
              <w:bottom w:val="single" w:color="auto" w:sz="4" w:space="0"/>
              <w:right w:val="single" w:color="000000" w:sz="4" w:space="0"/>
            </w:tcBorders>
            <w:noWrap/>
            <w:vAlign w:val="center"/>
          </w:tcPr>
          <w:p w14:paraId="475378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6.51</w:t>
            </w:r>
          </w:p>
        </w:tc>
        <w:tc>
          <w:tcPr>
            <w:tcW w:w="1134" w:type="dxa"/>
            <w:gridSpan w:val="2"/>
            <w:tcBorders>
              <w:top w:val="single" w:color="auto" w:sz="4" w:space="0"/>
              <w:left w:val="nil"/>
              <w:bottom w:val="single" w:color="auto" w:sz="4" w:space="0"/>
              <w:right w:val="single" w:color="auto" w:sz="4" w:space="0"/>
            </w:tcBorders>
            <w:vAlign w:val="center"/>
          </w:tcPr>
          <w:p w14:paraId="684C4E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526191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73.98%</w:t>
            </w:r>
          </w:p>
        </w:tc>
        <w:tc>
          <w:tcPr>
            <w:tcW w:w="1275" w:type="dxa"/>
            <w:tcBorders>
              <w:top w:val="nil"/>
              <w:left w:val="nil"/>
              <w:bottom w:val="single" w:color="auto" w:sz="4" w:space="0"/>
              <w:right w:val="single" w:color="auto" w:sz="4" w:space="0"/>
            </w:tcBorders>
            <w:vAlign w:val="center"/>
          </w:tcPr>
          <w:p w14:paraId="042864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7.40分</w:t>
            </w:r>
          </w:p>
        </w:tc>
      </w:tr>
      <w:tr w14:paraId="73AC7AD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1A57270">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6323F4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757AD1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125" w:type="dxa"/>
            <w:tcBorders>
              <w:top w:val="nil"/>
              <w:left w:val="nil"/>
              <w:bottom w:val="single" w:color="auto" w:sz="4" w:space="0"/>
              <w:right w:val="single" w:color="auto" w:sz="4" w:space="0"/>
            </w:tcBorders>
            <w:noWrap/>
            <w:vAlign w:val="center"/>
          </w:tcPr>
          <w:p w14:paraId="03BD2C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275" w:type="dxa"/>
            <w:gridSpan w:val="2"/>
            <w:tcBorders>
              <w:top w:val="single" w:color="auto" w:sz="4" w:space="0"/>
              <w:left w:val="nil"/>
              <w:bottom w:val="single" w:color="auto" w:sz="4" w:space="0"/>
              <w:right w:val="single" w:color="000000" w:sz="4" w:space="0"/>
            </w:tcBorders>
            <w:noWrap/>
            <w:vAlign w:val="center"/>
          </w:tcPr>
          <w:p w14:paraId="0B5592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6.51</w:t>
            </w:r>
          </w:p>
        </w:tc>
        <w:tc>
          <w:tcPr>
            <w:tcW w:w="1134" w:type="dxa"/>
            <w:gridSpan w:val="2"/>
            <w:tcBorders>
              <w:top w:val="single" w:color="auto" w:sz="4" w:space="0"/>
              <w:left w:val="nil"/>
              <w:bottom w:val="single" w:color="auto" w:sz="4" w:space="0"/>
              <w:right w:val="single" w:color="auto" w:sz="4" w:space="0"/>
            </w:tcBorders>
            <w:vAlign w:val="center"/>
          </w:tcPr>
          <w:p w14:paraId="6CE78F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A890B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468191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4ECD01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AF25D9B">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EFDDD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6C30C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26F98C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4EA27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4AE693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AAEBA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C3E81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6825527">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7BF7DA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E993D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07E8BC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3AB39EC">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1096F44">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71FE631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制作“双十一”促销活动宣传海报、“以旧换新”广告制作、宣传手册、宣传彩页、拟举办“滑轮霹雳舞大赛”及特色美食嘉年华等活动。</w:t>
            </w:r>
          </w:p>
        </w:tc>
        <w:tc>
          <w:tcPr>
            <w:tcW w:w="4677" w:type="dxa"/>
            <w:gridSpan w:val="7"/>
            <w:tcBorders>
              <w:top w:val="single" w:color="auto" w:sz="4" w:space="0"/>
              <w:left w:val="nil"/>
              <w:bottom w:val="single" w:color="auto" w:sz="4" w:space="0"/>
              <w:right w:val="single" w:color="000000" w:sz="4" w:space="0"/>
            </w:tcBorders>
          </w:tcPr>
          <w:p w14:paraId="472C259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商务局积极申报微信公众号，加大消费政策和活动宣传力度，通过各级媒体宣传报道30余次，利用人员密集场所LED大屏大力宣传活动政策；组织动员全区机关、企事业单位转发以旧换新宣传海报、视频、明白书等相关政策覆盖43.46万人次；开展线下宣传活动。成立宣讲小分队，采取国旗下宣讲、集中宣讲等60余场次；印制各类宣传手册、海报3000余份，在机关单位、小区、商超等人员密集地张贴，对限上企业和各类活动进行大力宣传；在上沙河立交桥处制作路牌、广告扇费用总计65103元。</w:t>
            </w:r>
          </w:p>
        </w:tc>
      </w:tr>
      <w:tr w14:paraId="7AE251BB">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5AD9D652">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1FFDB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7F93F9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6AE1A6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6DB3BB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23212D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AE7EE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3EB7EE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313C8C6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B0A7226">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576673BC">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1072D66E">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2098F95A">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7A2BECC">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297E6E6E">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725F2F06">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489BFACE">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2F193F8">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28C6507C">
            <w:pPr>
              <w:rPr>
                <w:rFonts w:hint="eastAsia" w:ascii="宋体" w:hAnsi="宋体" w:eastAsia="宋体" w:cs="宋体"/>
                <w:color w:val="000000"/>
                <w:sz w:val="18"/>
                <w:szCs w:val="18"/>
                <w:lang w:eastAsia="zh-CN"/>
              </w:rPr>
            </w:pPr>
          </w:p>
        </w:tc>
      </w:tr>
      <w:tr w14:paraId="343B3435">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AC9F21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705A72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58EECB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5C043671">
            <w:pPr>
              <w:rPr>
                <w:rFonts w:hint="eastAsia" w:ascii="宋体" w:hAnsi="宋体" w:eastAsia="宋体" w:cs="宋体"/>
                <w:color w:val="000000"/>
                <w:sz w:val="18"/>
                <w:szCs w:val="18"/>
              </w:rPr>
            </w:pPr>
            <w:r>
              <w:rPr>
                <w:rFonts w:hint="eastAsia" w:ascii="宋体" w:hAnsi="宋体" w:eastAsia="宋体" w:cs="宋体"/>
                <w:color w:val="000000"/>
                <w:sz w:val="18"/>
                <w:szCs w:val="18"/>
              </w:rPr>
              <w:t>宣传手册制作数量</w:t>
            </w:r>
          </w:p>
        </w:tc>
        <w:tc>
          <w:tcPr>
            <w:tcW w:w="1125" w:type="dxa"/>
            <w:tcBorders>
              <w:top w:val="nil"/>
              <w:left w:val="nil"/>
              <w:bottom w:val="single" w:color="auto" w:sz="4" w:space="0"/>
              <w:right w:val="single" w:color="auto" w:sz="4" w:space="0"/>
            </w:tcBorders>
            <w:vAlign w:val="center"/>
          </w:tcPr>
          <w:p w14:paraId="28A972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&gt;=3000个</w:t>
            </w:r>
          </w:p>
        </w:tc>
        <w:tc>
          <w:tcPr>
            <w:tcW w:w="1229" w:type="dxa"/>
            <w:tcBorders>
              <w:top w:val="nil"/>
              <w:left w:val="nil"/>
              <w:bottom w:val="single" w:color="auto" w:sz="4" w:space="0"/>
              <w:right w:val="single" w:color="auto" w:sz="4" w:space="0"/>
            </w:tcBorders>
            <w:vAlign w:val="center"/>
          </w:tcPr>
          <w:p w14:paraId="07A615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3000个</w:t>
            </w:r>
          </w:p>
        </w:tc>
        <w:tc>
          <w:tcPr>
            <w:tcW w:w="755" w:type="dxa"/>
            <w:gridSpan w:val="2"/>
            <w:tcBorders>
              <w:top w:val="single" w:color="auto" w:sz="4" w:space="0"/>
              <w:left w:val="nil"/>
              <w:bottom w:val="single" w:color="auto" w:sz="4" w:space="0"/>
              <w:right w:val="single" w:color="000000" w:sz="4" w:space="0"/>
            </w:tcBorders>
            <w:vAlign w:val="center"/>
          </w:tcPr>
          <w:p w14:paraId="09A46E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4302E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76CCE82">
            <w:pPr>
              <w:jc w:val="center"/>
              <w:rPr>
                <w:rFonts w:hint="eastAsia" w:ascii="宋体" w:hAnsi="宋体" w:eastAsia="宋体" w:cs="宋体"/>
                <w:color w:val="000000"/>
                <w:sz w:val="18"/>
                <w:szCs w:val="18"/>
              </w:rPr>
            </w:pPr>
          </w:p>
        </w:tc>
      </w:tr>
      <w:tr w14:paraId="11062F5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E4EAD11">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0B5260E3">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725B93AB">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E3CF198">
            <w:pPr>
              <w:rPr>
                <w:rFonts w:hint="eastAsia" w:ascii="宋体" w:hAnsi="宋体" w:eastAsia="宋体" w:cs="宋体"/>
                <w:color w:val="000000"/>
                <w:sz w:val="18"/>
                <w:szCs w:val="18"/>
              </w:rPr>
            </w:pPr>
            <w:r>
              <w:rPr>
                <w:rFonts w:hint="eastAsia" w:ascii="宋体" w:hAnsi="宋体" w:eastAsia="宋体" w:cs="宋体"/>
                <w:color w:val="000000"/>
                <w:sz w:val="18"/>
                <w:szCs w:val="18"/>
              </w:rPr>
              <w:t>路牌广告制作数量</w:t>
            </w:r>
          </w:p>
        </w:tc>
        <w:tc>
          <w:tcPr>
            <w:tcW w:w="1125" w:type="dxa"/>
            <w:tcBorders>
              <w:top w:val="nil"/>
              <w:left w:val="nil"/>
              <w:bottom w:val="single" w:color="auto" w:sz="4" w:space="0"/>
              <w:right w:val="single" w:color="auto" w:sz="4" w:space="0"/>
            </w:tcBorders>
            <w:vAlign w:val="center"/>
          </w:tcPr>
          <w:p w14:paraId="430D32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&gt;=1个</w:t>
            </w:r>
          </w:p>
        </w:tc>
        <w:tc>
          <w:tcPr>
            <w:tcW w:w="1229" w:type="dxa"/>
            <w:tcBorders>
              <w:top w:val="nil"/>
              <w:left w:val="nil"/>
              <w:bottom w:val="single" w:color="auto" w:sz="4" w:space="0"/>
              <w:right w:val="single" w:color="auto" w:sz="4" w:space="0"/>
            </w:tcBorders>
            <w:vAlign w:val="center"/>
          </w:tcPr>
          <w:p w14:paraId="6C537F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55" w:type="dxa"/>
            <w:gridSpan w:val="2"/>
            <w:tcBorders>
              <w:top w:val="single" w:color="auto" w:sz="4" w:space="0"/>
              <w:left w:val="nil"/>
              <w:bottom w:val="single" w:color="auto" w:sz="4" w:space="0"/>
              <w:right w:val="single" w:color="000000" w:sz="4" w:space="0"/>
            </w:tcBorders>
            <w:vAlign w:val="center"/>
          </w:tcPr>
          <w:p w14:paraId="5A53C7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B1205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D729D37">
            <w:pPr>
              <w:jc w:val="center"/>
              <w:rPr>
                <w:rFonts w:hint="eastAsia" w:ascii="宋体" w:hAnsi="宋体" w:eastAsia="宋体" w:cs="宋体"/>
                <w:color w:val="000000"/>
                <w:sz w:val="18"/>
                <w:szCs w:val="18"/>
              </w:rPr>
            </w:pPr>
          </w:p>
        </w:tc>
      </w:tr>
      <w:tr w14:paraId="55745DF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55390DF">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1E99A8B">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59DAB7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6ACCDB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路牌广告制作张贴验收合格率</w:t>
            </w:r>
          </w:p>
        </w:tc>
        <w:tc>
          <w:tcPr>
            <w:tcW w:w="1125" w:type="dxa"/>
            <w:tcBorders>
              <w:top w:val="nil"/>
              <w:left w:val="nil"/>
              <w:bottom w:val="single" w:color="auto" w:sz="4" w:space="0"/>
              <w:right w:val="single" w:color="auto" w:sz="4" w:space="0"/>
            </w:tcBorders>
            <w:vAlign w:val="center"/>
          </w:tcPr>
          <w:p w14:paraId="1E5D43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1229" w:type="dxa"/>
            <w:tcBorders>
              <w:top w:val="nil"/>
              <w:left w:val="nil"/>
              <w:bottom w:val="single" w:color="auto" w:sz="4" w:space="0"/>
              <w:right w:val="single" w:color="auto" w:sz="4" w:space="0"/>
            </w:tcBorders>
            <w:vAlign w:val="center"/>
          </w:tcPr>
          <w:p w14:paraId="7AEA7A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072B7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BFEB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6B5BF3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制定目标值基于保守预测及基本历史数据</w:t>
            </w:r>
          </w:p>
        </w:tc>
      </w:tr>
      <w:tr w14:paraId="128FCC8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C44C7A8">
            <w:pPr>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25AC6175">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61238EDB">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C2C6118">
            <w:pPr>
              <w:rPr>
                <w:rFonts w:hint="eastAsia" w:ascii="宋体" w:hAnsi="宋体" w:eastAsia="宋体" w:cs="宋体"/>
                <w:color w:val="000000"/>
                <w:sz w:val="18"/>
                <w:szCs w:val="18"/>
              </w:rPr>
            </w:pPr>
            <w:r>
              <w:rPr>
                <w:rFonts w:hint="eastAsia" w:ascii="宋体" w:hAnsi="宋体" w:eastAsia="宋体" w:cs="宋体"/>
                <w:color w:val="000000"/>
                <w:sz w:val="18"/>
                <w:szCs w:val="18"/>
              </w:rPr>
              <w:t>宣传手册验收合格率</w:t>
            </w:r>
          </w:p>
        </w:tc>
        <w:tc>
          <w:tcPr>
            <w:tcW w:w="1125" w:type="dxa"/>
            <w:tcBorders>
              <w:top w:val="nil"/>
              <w:left w:val="nil"/>
              <w:bottom w:val="single" w:color="auto" w:sz="4" w:space="0"/>
              <w:right w:val="single" w:color="auto" w:sz="4" w:space="0"/>
            </w:tcBorders>
            <w:vAlign w:val="center"/>
          </w:tcPr>
          <w:p w14:paraId="3D95A1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304F2B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84CB8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2499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CA7F5D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制定目标值基于保守预测及基本历史数据</w:t>
            </w:r>
          </w:p>
        </w:tc>
      </w:tr>
      <w:tr w14:paraId="4DBA399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1A6BF3F">
            <w:pPr>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6503AA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589FB0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0146014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制作道路广告、广告扇</w:t>
            </w:r>
          </w:p>
        </w:tc>
        <w:tc>
          <w:tcPr>
            <w:tcW w:w="1125" w:type="dxa"/>
            <w:tcBorders>
              <w:top w:val="nil"/>
              <w:left w:val="nil"/>
              <w:bottom w:val="single" w:color="auto" w:sz="4" w:space="0"/>
              <w:right w:val="single" w:color="auto" w:sz="4" w:space="0"/>
            </w:tcBorders>
            <w:vAlign w:val="center"/>
          </w:tcPr>
          <w:p w14:paraId="75AB96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&lt;=3.80万元</w:t>
            </w:r>
          </w:p>
        </w:tc>
        <w:tc>
          <w:tcPr>
            <w:tcW w:w="1229" w:type="dxa"/>
            <w:tcBorders>
              <w:top w:val="nil"/>
              <w:left w:val="nil"/>
              <w:bottom w:val="single" w:color="auto" w:sz="4" w:space="0"/>
              <w:right w:val="single" w:color="auto" w:sz="4" w:space="0"/>
            </w:tcBorders>
            <w:vAlign w:val="center"/>
          </w:tcPr>
          <w:p w14:paraId="52B1C0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1.85万元</w:t>
            </w:r>
          </w:p>
        </w:tc>
        <w:tc>
          <w:tcPr>
            <w:tcW w:w="755" w:type="dxa"/>
            <w:gridSpan w:val="2"/>
            <w:tcBorders>
              <w:top w:val="single" w:color="auto" w:sz="4" w:space="0"/>
              <w:left w:val="nil"/>
              <w:bottom w:val="single" w:color="auto" w:sz="4" w:space="0"/>
              <w:right w:val="single" w:color="000000" w:sz="4" w:space="0"/>
            </w:tcBorders>
            <w:vAlign w:val="center"/>
          </w:tcPr>
          <w:p w14:paraId="08319F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2BA03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5356D97">
            <w:pPr>
              <w:jc w:val="center"/>
              <w:rPr>
                <w:rFonts w:hint="eastAsia" w:ascii="宋体" w:hAnsi="宋体" w:eastAsia="宋体" w:cs="宋体"/>
                <w:color w:val="000000"/>
                <w:sz w:val="18"/>
                <w:szCs w:val="18"/>
              </w:rPr>
            </w:pPr>
          </w:p>
        </w:tc>
      </w:tr>
      <w:tr w14:paraId="14E4EEE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C40E3E5">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6073BA4E">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52BF34C0">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C57919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制作以旧换新宣传海报、宣传彩页</w:t>
            </w:r>
          </w:p>
        </w:tc>
        <w:tc>
          <w:tcPr>
            <w:tcW w:w="1125" w:type="dxa"/>
            <w:tcBorders>
              <w:top w:val="nil"/>
              <w:left w:val="nil"/>
              <w:bottom w:val="single" w:color="auto" w:sz="4" w:space="0"/>
              <w:right w:val="single" w:color="auto" w:sz="4" w:space="0"/>
            </w:tcBorders>
            <w:vAlign w:val="center"/>
          </w:tcPr>
          <w:p w14:paraId="167991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&lt;=5万元</w:t>
            </w:r>
          </w:p>
        </w:tc>
        <w:tc>
          <w:tcPr>
            <w:tcW w:w="1229" w:type="dxa"/>
            <w:tcBorders>
              <w:top w:val="nil"/>
              <w:left w:val="nil"/>
              <w:bottom w:val="single" w:color="auto" w:sz="4" w:space="0"/>
              <w:right w:val="single" w:color="auto" w:sz="4" w:space="0"/>
            </w:tcBorders>
            <w:vAlign w:val="center"/>
          </w:tcPr>
          <w:p w14:paraId="50C9B2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4.66万元</w:t>
            </w:r>
          </w:p>
        </w:tc>
        <w:tc>
          <w:tcPr>
            <w:tcW w:w="755" w:type="dxa"/>
            <w:gridSpan w:val="2"/>
            <w:tcBorders>
              <w:top w:val="single" w:color="auto" w:sz="4" w:space="0"/>
              <w:left w:val="nil"/>
              <w:bottom w:val="single" w:color="auto" w:sz="4" w:space="0"/>
              <w:right w:val="single" w:color="000000" w:sz="4" w:space="0"/>
            </w:tcBorders>
            <w:vAlign w:val="center"/>
          </w:tcPr>
          <w:p w14:paraId="64E45B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795CF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9588B4E">
            <w:pPr>
              <w:jc w:val="center"/>
              <w:rPr>
                <w:rFonts w:hint="eastAsia" w:ascii="宋体" w:hAnsi="宋体" w:eastAsia="宋体" w:cs="宋体"/>
                <w:color w:val="000000"/>
                <w:sz w:val="18"/>
                <w:szCs w:val="18"/>
              </w:rPr>
            </w:pPr>
          </w:p>
        </w:tc>
      </w:tr>
      <w:tr w14:paraId="349ABC2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DACE26A">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5C76CA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54469A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339A9CE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促进米东区居民消费，提高米东区社消零增长</w:t>
            </w:r>
          </w:p>
        </w:tc>
        <w:tc>
          <w:tcPr>
            <w:tcW w:w="1125" w:type="dxa"/>
            <w:tcBorders>
              <w:top w:val="nil"/>
              <w:left w:val="nil"/>
              <w:bottom w:val="single" w:color="auto" w:sz="4" w:space="0"/>
              <w:right w:val="single" w:color="auto" w:sz="4" w:space="0"/>
            </w:tcBorders>
            <w:vAlign w:val="center"/>
          </w:tcPr>
          <w:p w14:paraId="4D82C3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2C9307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F90B9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0E196E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00B82CC9">
            <w:pPr>
              <w:jc w:val="center"/>
              <w:rPr>
                <w:rFonts w:hint="eastAsia" w:ascii="宋体" w:hAnsi="宋体" w:eastAsia="宋体" w:cs="宋体"/>
                <w:color w:val="000000"/>
                <w:sz w:val="18"/>
                <w:szCs w:val="18"/>
              </w:rPr>
            </w:pPr>
          </w:p>
        </w:tc>
      </w:tr>
      <w:tr w14:paraId="16BB459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F306F7F">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03225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4EE3F6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A765E4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居民知晓“以旧换新”等宣传活动的满意度</w:t>
            </w:r>
          </w:p>
        </w:tc>
        <w:tc>
          <w:tcPr>
            <w:tcW w:w="1125" w:type="dxa"/>
            <w:tcBorders>
              <w:top w:val="nil"/>
              <w:left w:val="nil"/>
              <w:bottom w:val="single" w:color="auto" w:sz="4" w:space="0"/>
              <w:right w:val="single" w:color="auto" w:sz="4" w:space="0"/>
            </w:tcBorders>
            <w:vAlign w:val="center"/>
          </w:tcPr>
          <w:p w14:paraId="4A0CC3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66B23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755" w:type="dxa"/>
            <w:gridSpan w:val="2"/>
            <w:tcBorders>
              <w:top w:val="single" w:color="auto" w:sz="4" w:space="0"/>
              <w:left w:val="nil"/>
              <w:bottom w:val="single" w:color="auto" w:sz="4" w:space="0"/>
              <w:right w:val="single" w:color="000000" w:sz="4" w:space="0"/>
            </w:tcBorders>
            <w:vAlign w:val="center"/>
          </w:tcPr>
          <w:p w14:paraId="5F1F67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2C358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B2A7445">
            <w:pPr>
              <w:jc w:val="center"/>
              <w:rPr>
                <w:rFonts w:hint="eastAsia" w:ascii="宋体" w:hAnsi="宋体" w:eastAsia="宋体" w:cs="宋体"/>
                <w:color w:val="000000"/>
                <w:sz w:val="18"/>
                <w:szCs w:val="18"/>
              </w:rPr>
            </w:pPr>
          </w:p>
        </w:tc>
      </w:tr>
      <w:tr w14:paraId="67569EDF">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296AB4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7D951D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5C933A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97.40分</w:t>
            </w:r>
          </w:p>
        </w:tc>
        <w:tc>
          <w:tcPr>
            <w:tcW w:w="1984" w:type="dxa"/>
            <w:gridSpan w:val="2"/>
            <w:tcBorders>
              <w:top w:val="single" w:color="auto" w:sz="4" w:space="0"/>
              <w:left w:val="nil"/>
              <w:bottom w:val="single" w:color="auto" w:sz="4" w:space="0"/>
              <w:right w:val="single" w:color="auto" w:sz="4" w:space="0"/>
            </w:tcBorders>
            <w:vAlign w:val="center"/>
          </w:tcPr>
          <w:p w14:paraId="174258D5">
            <w:pPr>
              <w:jc w:val="center"/>
              <w:rPr>
                <w:rFonts w:hint="eastAsia" w:ascii="宋体" w:hAnsi="宋体" w:eastAsia="宋体" w:cs="宋体"/>
                <w:b/>
                <w:bCs/>
                <w:color w:val="000000"/>
                <w:sz w:val="18"/>
                <w:szCs w:val="18"/>
              </w:rPr>
            </w:pPr>
          </w:p>
        </w:tc>
      </w:tr>
    </w:tbl>
    <w:p w14:paraId="0119B36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bookmarkEnd w:id="8"/>
      <w:r>
        <w:rPr>
          <w:rFonts w:hint="eastAsia" w:ascii="宋体" w:hAnsi="宋体" w:eastAsia="宋体" w:cs="宋体"/>
          <w:b/>
          <w:bCs/>
          <w:sz w:val="28"/>
          <w:szCs w:val="28"/>
        </w:rPr>
        <w:t>项目支出绩效自评表</w:t>
      </w:r>
    </w:p>
    <w:p w14:paraId="5203F02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79E350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C1FCB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AD1A46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米东功能区块领导小组办公室专项经费</w:t>
            </w:r>
          </w:p>
        </w:tc>
      </w:tr>
      <w:tr w14:paraId="5045313A">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B652D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38AA1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米东区商务局</w:t>
            </w:r>
          </w:p>
        </w:tc>
        <w:tc>
          <w:tcPr>
            <w:tcW w:w="1275" w:type="dxa"/>
            <w:gridSpan w:val="2"/>
            <w:tcBorders>
              <w:top w:val="nil"/>
              <w:left w:val="nil"/>
              <w:bottom w:val="single" w:color="auto" w:sz="4" w:space="0"/>
              <w:right w:val="single" w:color="000000" w:sz="4" w:space="0"/>
            </w:tcBorders>
            <w:vAlign w:val="center"/>
          </w:tcPr>
          <w:p w14:paraId="0872EA13">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3B8AA0B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乌鲁木齐市米东区商务局</w:t>
            </w:r>
          </w:p>
        </w:tc>
      </w:tr>
      <w:tr w14:paraId="38F29288">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097E4B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4D198D2C">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6849B0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DFD08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1F4AA5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DBE48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7F6D3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3321F6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9724B0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CEC4BD7">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02648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77ABD4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8.34</w:t>
            </w:r>
          </w:p>
        </w:tc>
        <w:tc>
          <w:tcPr>
            <w:tcW w:w="1125" w:type="dxa"/>
            <w:tcBorders>
              <w:top w:val="nil"/>
              <w:left w:val="nil"/>
              <w:bottom w:val="single" w:color="auto" w:sz="4" w:space="0"/>
              <w:right w:val="single" w:color="auto" w:sz="4" w:space="0"/>
            </w:tcBorders>
            <w:noWrap/>
            <w:vAlign w:val="center"/>
          </w:tcPr>
          <w:p w14:paraId="160C5F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8.34</w:t>
            </w:r>
          </w:p>
        </w:tc>
        <w:tc>
          <w:tcPr>
            <w:tcW w:w="1275" w:type="dxa"/>
            <w:gridSpan w:val="2"/>
            <w:tcBorders>
              <w:top w:val="single" w:color="auto" w:sz="4" w:space="0"/>
              <w:left w:val="nil"/>
              <w:bottom w:val="single" w:color="auto" w:sz="4" w:space="0"/>
              <w:right w:val="single" w:color="000000" w:sz="4" w:space="0"/>
            </w:tcBorders>
            <w:noWrap/>
            <w:vAlign w:val="center"/>
          </w:tcPr>
          <w:p w14:paraId="73BF3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8.28</w:t>
            </w:r>
          </w:p>
        </w:tc>
        <w:tc>
          <w:tcPr>
            <w:tcW w:w="1134" w:type="dxa"/>
            <w:gridSpan w:val="2"/>
            <w:tcBorders>
              <w:top w:val="single" w:color="auto" w:sz="4" w:space="0"/>
              <w:left w:val="nil"/>
              <w:bottom w:val="single" w:color="auto" w:sz="4" w:space="0"/>
              <w:right w:val="single" w:color="auto" w:sz="4" w:space="0"/>
            </w:tcBorders>
            <w:vAlign w:val="center"/>
          </w:tcPr>
          <w:p w14:paraId="09EB54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240609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99.28%</w:t>
            </w:r>
          </w:p>
        </w:tc>
        <w:tc>
          <w:tcPr>
            <w:tcW w:w="1275" w:type="dxa"/>
            <w:tcBorders>
              <w:top w:val="nil"/>
              <w:left w:val="nil"/>
              <w:bottom w:val="single" w:color="auto" w:sz="4" w:space="0"/>
              <w:right w:val="single" w:color="auto" w:sz="4" w:space="0"/>
            </w:tcBorders>
            <w:vAlign w:val="center"/>
          </w:tcPr>
          <w:p w14:paraId="16997D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9.93分</w:t>
            </w:r>
          </w:p>
        </w:tc>
      </w:tr>
      <w:tr w14:paraId="264DE9B4">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0B576AE">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C96C5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F350C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8.34</w:t>
            </w:r>
          </w:p>
        </w:tc>
        <w:tc>
          <w:tcPr>
            <w:tcW w:w="1125" w:type="dxa"/>
            <w:tcBorders>
              <w:top w:val="nil"/>
              <w:left w:val="nil"/>
              <w:bottom w:val="single" w:color="auto" w:sz="4" w:space="0"/>
              <w:right w:val="single" w:color="auto" w:sz="4" w:space="0"/>
            </w:tcBorders>
            <w:noWrap/>
            <w:vAlign w:val="center"/>
          </w:tcPr>
          <w:p w14:paraId="512172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8.34</w:t>
            </w:r>
          </w:p>
        </w:tc>
        <w:tc>
          <w:tcPr>
            <w:tcW w:w="1275" w:type="dxa"/>
            <w:gridSpan w:val="2"/>
            <w:tcBorders>
              <w:top w:val="single" w:color="auto" w:sz="4" w:space="0"/>
              <w:left w:val="nil"/>
              <w:bottom w:val="single" w:color="auto" w:sz="4" w:space="0"/>
              <w:right w:val="single" w:color="000000" w:sz="4" w:space="0"/>
            </w:tcBorders>
            <w:noWrap/>
            <w:vAlign w:val="center"/>
          </w:tcPr>
          <w:p w14:paraId="0B330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8.28</w:t>
            </w:r>
          </w:p>
        </w:tc>
        <w:tc>
          <w:tcPr>
            <w:tcW w:w="1134" w:type="dxa"/>
            <w:gridSpan w:val="2"/>
            <w:tcBorders>
              <w:top w:val="single" w:color="auto" w:sz="4" w:space="0"/>
              <w:left w:val="nil"/>
              <w:bottom w:val="single" w:color="auto" w:sz="4" w:space="0"/>
              <w:right w:val="single" w:color="auto" w:sz="4" w:space="0"/>
            </w:tcBorders>
            <w:vAlign w:val="center"/>
          </w:tcPr>
          <w:p w14:paraId="40891A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66BFB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3C562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EC3F47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60B655A">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E3BE1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6A4E45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57D6B9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639D3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20B5BB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6DB8F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00D06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0FC8F96">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6E86C9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43F3FE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027C98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3E9D7FF">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41D29CF">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1DD9E38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关于米东功能区块领导小组办公室专项经费的请示》，成立新疆自贸试验区乌鲁木齐片区米东功能区块领导小组办公室。为完成新疆自贸试验区乌鲁木齐片区米东功能区块领导小组办公室的日常工作，需要专项经费维持单位运转。专项经费用于：办公经费5万元，用于支付购买办公用品；出差经费3.344万元，主要用于出差考察培训。</w:t>
            </w:r>
          </w:p>
        </w:tc>
        <w:tc>
          <w:tcPr>
            <w:tcW w:w="4677" w:type="dxa"/>
            <w:gridSpan w:val="7"/>
            <w:tcBorders>
              <w:top w:val="single" w:color="auto" w:sz="4" w:space="0"/>
              <w:left w:val="nil"/>
              <w:bottom w:val="single" w:color="auto" w:sz="4" w:space="0"/>
              <w:right w:val="single" w:color="000000" w:sz="4" w:space="0"/>
            </w:tcBorders>
          </w:tcPr>
          <w:p w14:paraId="4AF9958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专项经费用于:办公经费5万元，用于支付购买打印机及硒鼓、学习书籍、制造文头等各类办公用品，出差经费3.2万元，主要用于自贸办工作人员前往西安、杭州、富蕴县出差考察培训，高质量推进自由贸易试验区米东功能区块建设，确保自贸试验区乌鲁木齐片区米东功能区块领导小组办公室正常运行。</w:t>
            </w:r>
          </w:p>
        </w:tc>
      </w:tr>
      <w:tr w14:paraId="15274246">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1D1032D2">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117A6C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209A4A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A3A18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01D855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635369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120DF6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3CAEAD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4517CA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6491467">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1E262EBB">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39DB715C">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32989D74">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3DD4C79">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7BCB95EB">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C436204">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501400DA">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A719D63">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63AFB1E9">
            <w:pPr>
              <w:rPr>
                <w:rFonts w:hint="eastAsia" w:ascii="宋体" w:hAnsi="宋体" w:eastAsia="宋体" w:cs="宋体"/>
                <w:color w:val="000000"/>
                <w:sz w:val="18"/>
                <w:szCs w:val="18"/>
                <w:lang w:eastAsia="zh-CN"/>
              </w:rPr>
            </w:pPr>
          </w:p>
        </w:tc>
      </w:tr>
      <w:tr w14:paraId="2AA6B9F0">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CA0AEA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B59F4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2517AA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18054853">
            <w:pPr>
              <w:rPr>
                <w:rFonts w:hint="eastAsia" w:ascii="宋体" w:hAnsi="宋体" w:eastAsia="宋体" w:cs="宋体"/>
                <w:color w:val="000000"/>
                <w:sz w:val="18"/>
                <w:szCs w:val="18"/>
              </w:rPr>
            </w:pPr>
            <w:r>
              <w:rPr>
                <w:rFonts w:hint="eastAsia" w:ascii="宋体" w:hAnsi="宋体" w:eastAsia="宋体" w:cs="宋体"/>
                <w:color w:val="000000"/>
                <w:sz w:val="18"/>
                <w:szCs w:val="18"/>
              </w:rPr>
              <w:t>购买办公用品种类</w:t>
            </w:r>
          </w:p>
        </w:tc>
        <w:tc>
          <w:tcPr>
            <w:tcW w:w="1125" w:type="dxa"/>
            <w:tcBorders>
              <w:top w:val="nil"/>
              <w:left w:val="nil"/>
              <w:bottom w:val="single" w:color="auto" w:sz="4" w:space="0"/>
              <w:right w:val="single" w:color="auto" w:sz="4" w:space="0"/>
            </w:tcBorders>
            <w:vAlign w:val="center"/>
          </w:tcPr>
          <w:p w14:paraId="1DB466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&gt;=3种</w:t>
            </w:r>
          </w:p>
        </w:tc>
        <w:tc>
          <w:tcPr>
            <w:tcW w:w="1229" w:type="dxa"/>
            <w:tcBorders>
              <w:top w:val="nil"/>
              <w:left w:val="nil"/>
              <w:bottom w:val="single" w:color="auto" w:sz="4" w:space="0"/>
              <w:right w:val="single" w:color="auto" w:sz="4" w:space="0"/>
            </w:tcBorders>
            <w:vAlign w:val="center"/>
          </w:tcPr>
          <w:p w14:paraId="2CBFC3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6种</w:t>
            </w:r>
          </w:p>
        </w:tc>
        <w:tc>
          <w:tcPr>
            <w:tcW w:w="755" w:type="dxa"/>
            <w:gridSpan w:val="2"/>
            <w:tcBorders>
              <w:top w:val="single" w:color="auto" w:sz="4" w:space="0"/>
              <w:left w:val="nil"/>
              <w:bottom w:val="single" w:color="auto" w:sz="4" w:space="0"/>
              <w:right w:val="single" w:color="000000" w:sz="4" w:space="0"/>
            </w:tcBorders>
            <w:vAlign w:val="center"/>
          </w:tcPr>
          <w:p w14:paraId="53B738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7026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1FDA4C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制定目标基于保守数据，实际办公用品的使用高于预期目标</w:t>
            </w:r>
          </w:p>
        </w:tc>
      </w:tr>
      <w:tr w14:paraId="3F112CC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937F1A5">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523E2F64">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36ACF11C">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3AA9A96">
            <w:pPr>
              <w:rPr>
                <w:rFonts w:hint="eastAsia" w:ascii="宋体" w:hAnsi="宋体" w:eastAsia="宋体" w:cs="宋体"/>
                <w:color w:val="000000"/>
                <w:sz w:val="18"/>
                <w:szCs w:val="18"/>
              </w:rPr>
            </w:pPr>
            <w:r>
              <w:rPr>
                <w:rFonts w:hint="eastAsia" w:ascii="宋体" w:hAnsi="宋体" w:eastAsia="宋体" w:cs="宋体"/>
                <w:color w:val="000000"/>
                <w:sz w:val="18"/>
                <w:szCs w:val="18"/>
              </w:rPr>
              <w:t>出国、国内出差数量</w:t>
            </w:r>
          </w:p>
        </w:tc>
        <w:tc>
          <w:tcPr>
            <w:tcW w:w="1125" w:type="dxa"/>
            <w:tcBorders>
              <w:top w:val="nil"/>
              <w:left w:val="nil"/>
              <w:bottom w:val="single" w:color="auto" w:sz="4" w:space="0"/>
              <w:right w:val="single" w:color="auto" w:sz="4" w:space="0"/>
            </w:tcBorders>
            <w:vAlign w:val="center"/>
          </w:tcPr>
          <w:p w14:paraId="62F937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&gt;=3次</w:t>
            </w:r>
          </w:p>
        </w:tc>
        <w:tc>
          <w:tcPr>
            <w:tcW w:w="1229" w:type="dxa"/>
            <w:tcBorders>
              <w:top w:val="nil"/>
              <w:left w:val="nil"/>
              <w:bottom w:val="single" w:color="auto" w:sz="4" w:space="0"/>
              <w:right w:val="single" w:color="auto" w:sz="4" w:space="0"/>
            </w:tcBorders>
            <w:vAlign w:val="center"/>
          </w:tcPr>
          <w:p w14:paraId="0DC196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6次</w:t>
            </w:r>
          </w:p>
        </w:tc>
        <w:tc>
          <w:tcPr>
            <w:tcW w:w="755" w:type="dxa"/>
            <w:gridSpan w:val="2"/>
            <w:tcBorders>
              <w:top w:val="single" w:color="auto" w:sz="4" w:space="0"/>
              <w:left w:val="nil"/>
              <w:bottom w:val="single" w:color="auto" w:sz="4" w:space="0"/>
              <w:right w:val="single" w:color="000000" w:sz="4" w:space="0"/>
            </w:tcBorders>
            <w:vAlign w:val="center"/>
          </w:tcPr>
          <w:p w14:paraId="56C824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573D19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5E174DD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制定目标基于保守数据，因工作中项目进展不如期顺利，需要更</w:t>
            </w:r>
            <w:r>
              <w:rPr>
                <w:rFonts w:hint="eastAsia" w:ascii="宋体" w:hAnsi="宋体" w:eastAsia="宋体" w:cs="宋体"/>
                <w:color w:val="000000"/>
                <w:sz w:val="18"/>
                <w:szCs w:val="18"/>
                <w:lang w:val="en-US" w:eastAsia="zh-CN"/>
              </w:rPr>
              <w:t>多</w:t>
            </w:r>
            <w:r>
              <w:rPr>
                <w:rFonts w:hint="eastAsia" w:ascii="宋体" w:hAnsi="宋体" w:eastAsia="宋体" w:cs="宋体"/>
                <w:color w:val="000000"/>
                <w:sz w:val="18"/>
                <w:szCs w:val="18"/>
                <w:lang w:eastAsia="zh-CN"/>
              </w:rPr>
              <w:t>考察和学习，导致出差次数增加</w:t>
            </w:r>
          </w:p>
        </w:tc>
      </w:tr>
      <w:tr w14:paraId="41B0E8A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0EFD70A">
            <w:pPr>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5C196110">
            <w:pPr>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54AD99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2D83333">
            <w:pPr>
              <w:rPr>
                <w:rFonts w:hint="eastAsia" w:ascii="宋体" w:hAnsi="宋体" w:eastAsia="宋体" w:cs="宋体"/>
                <w:color w:val="000000"/>
                <w:sz w:val="18"/>
                <w:szCs w:val="18"/>
              </w:rPr>
            </w:pPr>
            <w:r>
              <w:rPr>
                <w:rFonts w:hint="eastAsia" w:ascii="宋体" w:hAnsi="宋体" w:eastAsia="宋体" w:cs="宋体"/>
                <w:color w:val="000000"/>
                <w:sz w:val="18"/>
                <w:szCs w:val="18"/>
              </w:rPr>
              <w:t>办公用品质量合格率</w:t>
            </w:r>
          </w:p>
        </w:tc>
        <w:tc>
          <w:tcPr>
            <w:tcW w:w="1125" w:type="dxa"/>
            <w:tcBorders>
              <w:top w:val="nil"/>
              <w:left w:val="nil"/>
              <w:bottom w:val="single" w:color="auto" w:sz="4" w:space="0"/>
              <w:right w:val="single" w:color="auto" w:sz="4" w:space="0"/>
            </w:tcBorders>
            <w:vAlign w:val="center"/>
          </w:tcPr>
          <w:p w14:paraId="5B30E5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7DDF2F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763DF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1D050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F9EFF3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制定目标基于保守数据，导致合格率高于预期目标</w:t>
            </w:r>
          </w:p>
        </w:tc>
      </w:tr>
      <w:tr w14:paraId="4FA79BB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AD9E6DF">
            <w:pPr>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547AC6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0511FC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1E19248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用于购买办公用品费用</w:t>
            </w:r>
          </w:p>
        </w:tc>
        <w:tc>
          <w:tcPr>
            <w:tcW w:w="1125" w:type="dxa"/>
            <w:tcBorders>
              <w:top w:val="nil"/>
              <w:left w:val="nil"/>
              <w:bottom w:val="single" w:color="auto" w:sz="4" w:space="0"/>
              <w:right w:val="single" w:color="auto" w:sz="4" w:space="0"/>
            </w:tcBorders>
            <w:vAlign w:val="center"/>
          </w:tcPr>
          <w:p w14:paraId="459AB7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&lt;=5万元</w:t>
            </w:r>
          </w:p>
        </w:tc>
        <w:tc>
          <w:tcPr>
            <w:tcW w:w="1229" w:type="dxa"/>
            <w:tcBorders>
              <w:top w:val="nil"/>
              <w:left w:val="nil"/>
              <w:bottom w:val="single" w:color="auto" w:sz="4" w:space="0"/>
              <w:right w:val="single" w:color="auto" w:sz="4" w:space="0"/>
            </w:tcBorders>
            <w:vAlign w:val="center"/>
          </w:tcPr>
          <w:p w14:paraId="5B81FB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4.7862万元</w:t>
            </w:r>
          </w:p>
        </w:tc>
        <w:tc>
          <w:tcPr>
            <w:tcW w:w="755" w:type="dxa"/>
            <w:gridSpan w:val="2"/>
            <w:tcBorders>
              <w:top w:val="single" w:color="auto" w:sz="4" w:space="0"/>
              <w:left w:val="nil"/>
              <w:bottom w:val="single" w:color="auto" w:sz="4" w:space="0"/>
              <w:right w:val="single" w:color="000000" w:sz="4" w:space="0"/>
            </w:tcBorders>
            <w:vAlign w:val="center"/>
          </w:tcPr>
          <w:p w14:paraId="24931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9B1E5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1984" w:type="dxa"/>
            <w:gridSpan w:val="2"/>
            <w:tcBorders>
              <w:top w:val="single" w:color="auto" w:sz="4" w:space="0"/>
              <w:left w:val="nil"/>
              <w:bottom w:val="single" w:color="auto" w:sz="4" w:space="0"/>
              <w:right w:val="single" w:color="auto" w:sz="4" w:space="0"/>
            </w:tcBorders>
            <w:vAlign w:val="center"/>
          </w:tcPr>
          <w:p w14:paraId="78BB974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制定目标高于基础数据。</w:t>
            </w:r>
          </w:p>
        </w:tc>
      </w:tr>
      <w:tr w14:paraId="2839F49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C0CBCED">
            <w:pPr>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3FB8B1F4">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2B8FC02C">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44CC2C5B">
            <w:pPr>
              <w:rPr>
                <w:rFonts w:hint="eastAsia" w:ascii="宋体" w:hAnsi="宋体" w:eastAsia="宋体" w:cs="宋体"/>
                <w:color w:val="000000"/>
                <w:sz w:val="18"/>
                <w:szCs w:val="18"/>
              </w:rPr>
            </w:pPr>
            <w:r>
              <w:rPr>
                <w:rFonts w:hint="eastAsia" w:ascii="宋体" w:hAnsi="宋体" w:eastAsia="宋体" w:cs="宋体"/>
                <w:color w:val="000000"/>
                <w:sz w:val="18"/>
                <w:szCs w:val="18"/>
              </w:rPr>
              <w:t>用于支付差旅费费用</w:t>
            </w:r>
          </w:p>
        </w:tc>
        <w:tc>
          <w:tcPr>
            <w:tcW w:w="1125" w:type="dxa"/>
            <w:tcBorders>
              <w:top w:val="nil"/>
              <w:left w:val="nil"/>
              <w:bottom w:val="single" w:color="auto" w:sz="4" w:space="0"/>
              <w:right w:val="single" w:color="auto" w:sz="4" w:space="0"/>
            </w:tcBorders>
            <w:vAlign w:val="center"/>
          </w:tcPr>
          <w:p w14:paraId="67CE66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&lt;=3.344万元</w:t>
            </w:r>
          </w:p>
        </w:tc>
        <w:tc>
          <w:tcPr>
            <w:tcW w:w="1229" w:type="dxa"/>
            <w:tcBorders>
              <w:top w:val="nil"/>
              <w:left w:val="nil"/>
              <w:bottom w:val="single" w:color="auto" w:sz="4" w:space="0"/>
              <w:right w:val="single" w:color="auto" w:sz="4" w:space="0"/>
            </w:tcBorders>
            <w:vAlign w:val="center"/>
          </w:tcPr>
          <w:p w14:paraId="744940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3.4953万元</w:t>
            </w:r>
          </w:p>
        </w:tc>
        <w:tc>
          <w:tcPr>
            <w:tcW w:w="755" w:type="dxa"/>
            <w:gridSpan w:val="2"/>
            <w:tcBorders>
              <w:top w:val="single" w:color="auto" w:sz="4" w:space="0"/>
              <w:left w:val="nil"/>
              <w:bottom w:val="single" w:color="auto" w:sz="4" w:space="0"/>
              <w:right w:val="single" w:color="000000" w:sz="4" w:space="0"/>
            </w:tcBorders>
            <w:vAlign w:val="center"/>
          </w:tcPr>
          <w:p w14:paraId="393D2D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B1777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1984" w:type="dxa"/>
            <w:gridSpan w:val="2"/>
            <w:tcBorders>
              <w:top w:val="single" w:color="auto" w:sz="4" w:space="0"/>
              <w:left w:val="nil"/>
              <w:bottom w:val="single" w:color="auto" w:sz="4" w:space="0"/>
              <w:right w:val="single" w:color="auto" w:sz="4" w:space="0"/>
            </w:tcBorders>
            <w:vAlign w:val="center"/>
          </w:tcPr>
          <w:p w14:paraId="4E40D50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如如期顺利，需要更考察和学习，导致出差次数增加</w:t>
            </w:r>
          </w:p>
        </w:tc>
      </w:tr>
      <w:tr w14:paraId="361BBE6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26A2145">
            <w:pPr>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4C8B46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160A85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2CA910D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高质量推进自由贸易试验区米东功能区块建设</w:t>
            </w:r>
          </w:p>
        </w:tc>
        <w:tc>
          <w:tcPr>
            <w:tcW w:w="1125" w:type="dxa"/>
            <w:tcBorders>
              <w:top w:val="nil"/>
              <w:left w:val="nil"/>
              <w:bottom w:val="single" w:color="auto" w:sz="4" w:space="0"/>
              <w:right w:val="single" w:color="auto" w:sz="4" w:space="0"/>
            </w:tcBorders>
            <w:vAlign w:val="center"/>
          </w:tcPr>
          <w:p w14:paraId="6CF742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有效推进</w:t>
            </w:r>
          </w:p>
        </w:tc>
        <w:tc>
          <w:tcPr>
            <w:tcW w:w="1229" w:type="dxa"/>
            <w:tcBorders>
              <w:top w:val="nil"/>
              <w:left w:val="nil"/>
              <w:bottom w:val="single" w:color="auto" w:sz="4" w:space="0"/>
              <w:right w:val="single" w:color="auto" w:sz="4" w:space="0"/>
            </w:tcBorders>
            <w:vAlign w:val="center"/>
          </w:tcPr>
          <w:p w14:paraId="64BC05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C3BFC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445B95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08837492">
            <w:pPr>
              <w:jc w:val="center"/>
              <w:rPr>
                <w:rFonts w:hint="eastAsia" w:ascii="宋体" w:hAnsi="宋体" w:eastAsia="宋体" w:cs="宋体"/>
                <w:color w:val="000000"/>
                <w:sz w:val="18"/>
                <w:szCs w:val="18"/>
              </w:rPr>
            </w:pPr>
          </w:p>
        </w:tc>
      </w:tr>
      <w:tr w14:paraId="64D234C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1658768">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F088DE1">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5637B632">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255849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确保自贸试验区乌鲁木齐片区米东功能区块领导小组办公室正常运行</w:t>
            </w:r>
          </w:p>
        </w:tc>
        <w:tc>
          <w:tcPr>
            <w:tcW w:w="1125" w:type="dxa"/>
            <w:tcBorders>
              <w:top w:val="nil"/>
              <w:left w:val="nil"/>
              <w:bottom w:val="single" w:color="auto" w:sz="4" w:space="0"/>
              <w:right w:val="single" w:color="auto" w:sz="4" w:space="0"/>
            </w:tcBorders>
            <w:vAlign w:val="center"/>
          </w:tcPr>
          <w:p w14:paraId="15CD5C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026E99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67FD69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7FB819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54B5FDB0">
            <w:pPr>
              <w:jc w:val="center"/>
              <w:rPr>
                <w:rFonts w:hint="eastAsia" w:ascii="宋体" w:hAnsi="宋体" w:eastAsia="宋体" w:cs="宋体"/>
                <w:color w:val="000000"/>
                <w:sz w:val="18"/>
                <w:szCs w:val="18"/>
              </w:rPr>
            </w:pPr>
          </w:p>
        </w:tc>
      </w:tr>
      <w:tr w14:paraId="7DD76EAB">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F3EDE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59FB0B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0F0392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89.43分</w:t>
            </w:r>
          </w:p>
        </w:tc>
        <w:tc>
          <w:tcPr>
            <w:tcW w:w="1984" w:type="dxa"/>
            <w:gridSpan w:val="2"/>
            <w:tcBorders>
              <w:top w:val="single" w:color="auto" w:sz="4" w:space="0"/>
              <w:left w:val="nil"/>
              <w:bottom w:val="single" w:color="auto" w:sz="4" w:space="0"/>
              <w:right w:val="single" w:color="auto" w:sz="4" w:space="0"/>
            </w:tcBorders>
            <w:vAlign w:val="center"/>
          </w:tcPr>
          <w:p w14:paraId="170D8C98">
            <w:pPr>
              <w:jc w:val="center"/>
              <w:rPr>
                <w:rFonts w:hint="eastAsia" w:ascii="宋体" w:hAnsi="宋体" w:eastAsia="宋体" w:cs="宋体"/>
                <w:b/>
                <w:bCs/>
                <w:color w:val="000000"/>
                <w:sz w:val="18"/>
                <w:szCs w:val="18"/>
              </w:rPr>
            </w:pPr>
          </w:p>
        </w:tc>
      </w:tr>
    </w:tbl>
    <w:p w14:paraId="4CBD92F4">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FBB65C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6CA3256">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33CFD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05DDBDE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边境贸易转移支付资金</w:t>
            </w:r>
          </w:p>
        </w:tc>
      </w:tr>
      <w:tr w14:paraId="12402051">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5F9DF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4E064F1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乌鲁木齐市米东区商务局</w:t>
            </w:r>
          </w:p>
        </w:tc>
        <w:tc>
          <w:tcPr>
            <w:tcW w:w="1275" w:type="dxa"/>
            <w:gridSpan w:val="2"/>
            <w:tcBorders>
              <w:top w:val="nil"/>
              <w:left w:val="nil"/>
              <w:bottom w:val="single" w:color="auto" w:sz="4" w:space="0"/>
              <w:right w:val="single" w:color="000000" w:sz="4" w:space="0"/>
            </w:tcBorders>
            <w:vAlign w:val="center"/>
          </w:tcPr>
          <w:p w14:paraId="63158A2F">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4C6322F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乌鲁木齐市米东区商务局</w:t>
            </w:r>
          </w:p>
        </w:tc>
      </w:tr>
      <w:tr w14:paraId="33521AE4">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41246F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2DDE5A02">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462FBD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308EF2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76FF8E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51895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B3946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3F441E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E8E67E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FDE7E3B">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59DA2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4B78BF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1125" w:type="dxa"/>
            <w:tcBorders>
              <w:top w:val="nil"/>
              <w:left w:val="nil"/>
              <w:bottom w:val="single" w:color="auto" w:sz="4" w:space="0"/>
              <w:right w:val="single" w:color="auto" w:sz="4" w:space="0"/>
            </w:tcBorders>
            <w:noWrap/>
            <w:vAlign w:val="center"/>
          </w:tcPr>
          <w:p w14:paraId="724AA9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1275" w:type="dxa"/>
            <w:gridSpan w:val="2"/>
            <w:tcBorders>
              <w:top w:val="single" w:color="auto" w:sz="4" w:space="0"/>
              <w:left w:val="nil"/>
              <w:bottom w:val="single" w:color="auto" w:sz="4" w:space="0"/>
              <w:right w:val="single" w:color="000000" w:sz="4" w:space="0"/>
            </w:tcBorders>
            <w:noWrap/>
            <w:vAlign w:val="center"/>
          </w:tcPr>
          <w:p w14:paraId="354D5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1134" w:type="dxa"/>
            <w:gridSpan w:val="2"/>
            <w:tcBorders>
              <w:top w:val="single" w:color="auto" w:sz="4" w:space="0"/>
              <w:left w:val="nil"/>
              <w:bottom w:val="single" w:color="auto" w:sz="4" w:space="0"/>
              <w:right w:val="single" w:color="auto" w:sz="4" w:space="0"/>
            </w:tcBorders>
            <w:vAlign w:val="center"/>
          </w:tcPr>
          <w:p w14:paraId="74541B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59A215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3A2A94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08BD748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834FE7C">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4138E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2D46DC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1125" w:type="dxa"/>
            <w:tcBorders>
              <w:top w:val="nil"/>
              <w:left w:val="nil"/>
              <w:bottom w:val="single" w:color="auto" w:sz="4" w:space="0"/>
              <w:right w:val="single" w:color="auto" w:sz="4" w:space="0"/>
            </w:tcBorders>
            <w:noWrap/>
            <w:vAlign w:val="center"/>
          </w:tcPr>
          <w:p w14:paraId="128F24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1275" w:type="dxa"/>
            <w:gridSpan w:val="2"/>
            <w:tcBorders>
              <w:top w:val="single" w:color="auto" w:sz="4" w:space="0"/>
              <w:left w:val="nil"/>
              <w:bottom w:val="single" w:color="auto" w:sz="4" w:space="0"/>
              <w:right w:val="single" w:color="000000" w:sz="4" w:space="0"/>
            </w:tcBorders>
            <w:noWrap/>
            <w:vAlign w:val="center"/>
          </w:tcPr>
          <w:p w14:paraId="1877A3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16.00</w:t>
            </w:r>
          </w:p>
        </w:tc>
        <w:tc>
          <w:tcPr>
            <w:tcW w:w="1134" w:type="dxa"/>
            <w:gridSpan w:val="2"/>
            <w:tcBorders>
              <w:top w:val="single" w:color="auto" w:sz="4" w:space="0"/>
              <w:left w:val="nil"/>
              <w:bottom w:val="single" w:color="auto" w:sz="4" w:space="0"/>
              <w:right w:val="single" w:color="auto" w:sz="4" w:space="0"/>
            </w:tcBorders>
            <w:vAlign w:val="center"/>
          </w:tcPr>
          <w:p w14:paraId="40C777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F4ED6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4E896A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84B7FD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72C8575">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208C3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1544CC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0B6917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59AD78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6EEDB0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2F9D54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41B2E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83D37E7">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537302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E3ECA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49D8AB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440E6B2">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F96486B">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4365373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按照文件要求和标准，筛选符合要求企业，安排贷款贴息，支持米东区外贸企业发展，为企业仓储物流进行补贴。保证相关资金拨付合规合法。</w:t>
            </w:r>
          </w:p>
        </w:tc>
        <w:tc>
          <w:tcPr>
            <w:tcW w:w="4677" w:type="dxa"/>
            <w:gridSpan w:val="7"/>
            <w:tcBorders>
              <w:top w:val="single" w:color="auto" w:sz="4" w:space="0"/>
              <w:left w:val="nil"/>
              <w:bottom w:val="single" w:color="auto" w:sz="4" w:space="0"/>
              <w:right w:val="single" w:color="000000" w:sz="4" w:space="0"/>
            </w:tcBorders>
          </w:tcPr>
          <w:p w14:paraId="1D042D0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2024年支持进出口企业提升运输和仓储能力项目2.5万元，支持进出口企业提升运输和仓储能力项目12.38万元，进出口企业提升运输和仓储能力项目5.58万元，总计16万元。</w:t>
            </w:r>
          </w:p>
        </w:tc>
      </w:tr>
      <w:tr w14:paraId="39B5B1CF">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08DF237E">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36150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77609D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07F12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5FF14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5CC3B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5712B1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033CEB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5317236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26B391E">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0A73340F">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00A0DF79">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36A9C507">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9F86D7F">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3A8D58CF">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B94D577">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77CE0F04">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7231606">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810AA89">
            <w:pPr>
              <w:rPr>
                <w:rFonts w:hint="eastAsia" w:ascii="宋体" w:hAnsi="宋体" w:eastAsia="宋体" w:cs="宋体"/>
                <w:color w:val="000000"/>
                <w:sz w:val="18"/>
                <w:szCs w:val="18"/>
                <w:lang w:eastAsia="zh-CN"/>
              </w:rPr>
            </w:pPr>
          </w:p>
        </w:tc>
      </w:tr>
      <w:tr w14:paraId="3892C2A9">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67AE43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39264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4238B7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14F197F6">
            <w:pPr>
              <w:rPr>
                <w:rFonts w:hint="eastAsia" w:ascii="宋体" w:hAnsi="宋体" w:eastAsia="宋体" w:cs="宋体"/>
                <w:color w:val="000000"/>
                <w:sz w:val="18"/>
                <w:szCs w:val="18"/>
              </w:rPr>
            </w:pPr>
            <w:r>
              <w:rPr>
                <w:rFonts w:hint="eastAsia" w:ascii="宋体" w:hAnsi="宋体" w:eastAsia="宋体" w:cs="宋体"/>
                <w:color w:val="000000"/>
                <w:sz w:val="18"/>
                <w:szCs w:val="18"/>
              </w:rPr>
              <w:t>安排贴息补贴企业数</w:t>
            </w:r>
          </w:p>
        </w:tc>
        <w:tc>
          <w:tcPr>
            <w:tcW w:w="1125" w:type="dxa"/>
            <w:tcBorders>
              <w:top w:val="nil"/>
              <w:left w:val="nil"/>
              <w:bottom w:val="single" w:color="auto" w:sz="4" w:space="0"/>
              <w:right w:val="single" w:color="auto" w:sz="4" w:space="0"/>
            </w:tcBorders>
            <w:vAlign w:val="center"/>
          </w:tcPr>
          <w:p w14:paraId="135F7E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&gt;=1个</w:t>
            </w:r>
          </w:p>
        </w:tc>
        <w:tc>
          <w:tcPr>
            <w:tcW w:w="1229" w:type="dxa"/>
            <w:tcBorders>
              <w:top w:val="nil"/>
              <w:left w:val="nil"/>
              <w:bottom w:val="single" w:color="auto" w:sz="4" w:space="0"/>
              <w:right w:val="single" w:color="auto" w:sz="4" w:space="0"/>
            </w:tcBorders>
            <w:vAlign w:val="center"/>
          </w:tcPr>
          <w:p w14:paraId="5187AE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55" w:type="dxa"/>
            <w:gridSpan w:val="2"/>
            <w:tcBorders>
              <w:top w:val="single" w:color="auto" w:sz="4" w:space="0"/>
              <w:left w:val="nil"/>
              <w:bottom w:val="single" w:color="auto" w:sz="4" w:space="0"/>
              <w:right w:val="single" w:color="000000" w:sz="4" w:space="0"/>
            </w:tcBorders>
            <w:vAlign w:val="center"/>
          </w:tcPr>
          <w:p w14:paraId="5D4A1A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7ED969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75B1944A">
            <w:pPr>
              <w:jc w:val="center"/>
              <w:rPr>
                <w:rFonts w:hint="eastAsia" w:ascii="宋体" w:hAnsi="宋体" w:eastAsia="宋体" w:cs="宋体"/>
                <w:color w:val="000000"/>
                <w:sz w:val="18"/>
                <w:szCs w:val="18"/>
              </w:rPr>
            </w:pPr>
          </w:p>
        </w:tc>
      </w:tr>
      <w:tr w14:paraId="713FC39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14296E6">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2A3D6AA">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026EFA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7699139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支持外贸出口企业个数</w:t>
            </w:r>
          </w:p>
        </w:tc>
        <w:tc>
          <w:tcPr>
            <w:tcW w:w="1125" w:type="dxa"/>
            <w:tcBorders>
              <w:top w:val="nil"/>
              <w:left w:val="nil"/>
              <w:bottom w:val="single" w:color="auto" w:sz="4" w:space="0"/>
              <w:right w:val="single" w:color="auto" w:sz="4" w:space="0"/>
            </w:tcBorders>
            <w:vAlign w:val="center"/>
          </w:tcPr>
          <w:p w14:paraId="699094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&gt;=3个</w:t>
            </w:r>
          </w:p>
        </w:tc>
        <w:tc>
          <w:tcPr>
            <w:tcW w:w="1229" w:type="dxa"/>
            <w:tcBorders>
              <w:top w:val="nil"/>
              <w:left w:val="nil"/>
              <w:bottom w:val="single" w:color="auto" w:sz="4" w:space="0"/>
              <w:right w:val="single" w:color="auto" w:sz="4" w:space="0"/>
            </w:tcBorders>
            <w:vAlign w:val="center"/>
          </w:tcPr>
          <w:p w14:paraId="6A93F4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3个</w:t>
            </w:r>
          </w:p>
        </w:tc>
        <w:tc>
          <w:tcPr>
            <w:tcW w:w="755" w:type="dxa"/>
            <w:gridSpan w:val="2"/>
            <w:tcBorders>
              <w:top w:val="single" w:color="auto" w:sz="4" w:space="0"/>
              <w:left w:val="nil"/>
              <w:bottom w:val="single" w:color="auto" w:sz="4" w:space="0"/>
              <w:right w:val="single" w:color="000000" w:sz="4" w:space="0"/>
            </w:tcBorders>
            <w:vAlign w:val="center"/>
          </w:tcPr>
          <w:p w14:paraId="4928F3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431B24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03550F7C">
            <w:pPr>
              <w:jc w:val="center"/>
              <w:rPr>
                <w:rFonts w:hint="eastAsia" w:ascii="宋体" w:hAnsi="宋体" w:eastAsia="宋体" w:cs="宋体"/>
                <w:color w:val="000000"/>
                <w:sz w:val="18"/>
                <w:szCs w:val="18"/>
              </w:rPr>
            </w:pPr>
          </w:p>
        </w:tc>
      </w:tr>
      <w:tr w14:paraId="76410A1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6404763">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AFF7A5A">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1605C349">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76219345">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资金支付准确率</w:t>
            </w:r>
          </w:p>
        </w:tc>
        <w:tc>
          <w:tcPr>
            <w:tcW w:w="1125" w:type="dxa"/>
            <w:tcBorders>
              <w:top w:val="nil"/>
              <w:left w:val="nil"/>
              <w:bottom w:val="single" w:color="auto" w:sz="4" w:space="0"/>
              <w:right w:val="single" w:color="auto" w:sz="4" w:space="0"/>
            </w:tcBorders>
            <w:vAlign w:val="center"/>
          </w:tcPr>
          <w:p w14:paraId="011BB0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1E4B66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DB41C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1A3C4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2BEA15B">
            <w:pPr>
              <w:jc w:val="center"/>
              <w:rPr>
                <w:rFonts w:hint="eastAsia" w:ascii="宋体" w:hAnsi="宋体" w:eastAsia="宋体" w:cs="宋体"/>
                <w:color w:val="000000"/>
                <w:sz w:val="18"/>
                <w:szCs w:val="18"/>
              </w:rPr>
            </w:pPr>
          </w:p>
        </w:tc>
      </w:tr>
      <w:tr w14:paraId="6182440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82CA24B">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35AE8FF">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71A938A1">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3EE68F6">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资金使用合规性</w:t>
            </w:r>
          </w:p>
        </w:tc>
        <w:tc>
          <w:tcPr>
            <w:tcW w:w="1125" w:type="dxa"/>
            <w:tcBorders>
              <w:top w:val="nil"/>
              <w:left w:val="nil"/>
              <w:bottom w:val="single" w:color="auto" w:sz="4" w:space="0"/>
              <w:right w:val="single" w:color="auto" w:sz="4" w:space="0"/>
            </w:tcBorders>
            <w:vAlign w:val="center"/>
          </w:tcPr>
          <w:p w14:paraId="6C3D4B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067AFF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7AF7E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28FB2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DCFA1E3">
            <w:pPr>
              <w:jc w:val="center"/>
              <w:rPr>
                <w:rFonts w:hint="eastAsia" w:ascii="宋体" w:hAnsi="宋体" w:eastAsia="宋体" w:cs="宋体"/>
                <w:color w:val="000000"/>
                <w:sz w:val="18"/>
                <w:szCs w:val="18"/>
              </w:rPr>
            </w:pPr>
          </w:p>
        </w:tc>
      </w:tr>
      <w:tr w14:paraId="6538D52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D77993A">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03E2F1E">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7CA285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01D797A0">
            <w:pPr>
              <w:rPr>
                <w:rFonts w:hint="eastAsia" w:ascii="宋体" w:hAnsi="宋体" w:eastAsia="宋体" w:cs="宋体"/>
                <w:color w:val="000000"/>
                <w:sz w:val="18"/>
                <w:szCs w:val="18"/>
              </w:rPr>
            </w:pPr>
            <w:r>
              <w:rPr>
                <w:rFonts w:hint="eastAsia" w:ascii="宋体" w:hAnsi="宋体" w:eastAsia="宋体" w:cs="宋体"/>
                <w:color w:val="000000"/>
                <w:sz w:val="18"/>
                <w:szCs w:val="18"/>
              </w:rPr>
              <w:t>支付时限（%）</w:t>
            </w:r>
          </w:p>
        </w:tc>
        <w:tc>
          <w:tcPr>
            <w:tcW w:w="1125" w:type="dxa"/>
            <w:tcBorders>
              <w:top w:val="nil"/>
              <w:left w:val="nil"/>
              <w:bottom w:val="single" w:color="auto" w:sz="4" w:space="0"/>
              <w:right w:val="single" w:color="auto" w:sz="4" w:space="0"/>
            </w:tcBorders>
            <w:vAlign w:val="center"/>
          </w:tcPr>
          <w:p w14:paraId="46E07C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&lt;=12个月</w:t>
            </w:r>
          </w:p>
        </w:tc>
        <w:tc>
          <w:tcPr>
            <w:tcW w:w="1229" w:type="dxa"/>
            <w:tcBorders>
              <w:top w:val="nil"/>
              <w:left w:val="nil"/>
              <w:bottom w:val="single" w:color="auto" w:sz="4" w:space="0"/>
              <w:right w:val="single" w:color="auto" w:sz="4" w:space="0"/>
            </w:tcBorders>
            <w:vAlign w:val="center"/>
          </w:tcPr>
          <w:p w14:paraId="2D0DE2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2个月</w:t>
            </w:r>
          </w:p>
        </w:tc>
        <w:tc>
          <w:tcPr>
            <w:tcW w:w="755" w:type="dxa"/>
            <w:gridSpan w:val="2"/>
            <w:tcBorders>
              <w:top w:val="single" w:color="auto" w:sz="4" w:space="0"/>
              <w:left w:val="nil"/>
              <w:bottom w:val="single" w:color="auto" w:sz="4" w:space="0"/>
              <w:right w:val="single" w:color="000000" w:sz="4" w:space="0"/>
            </w:tcBorders>
            <w:vAlign w:val="center"/>
          </w:tcPr>
          <w:p w14:paraId="08C3C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8C54D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440CE58">
            <w:pPr>
              <w:jc w:val="center"/>
              <w:rPr>
                <w:rFonts w:hint="eastAsia" w:ascii="宋体" w:hAnsi="宋体" w:eastAsia="宋体" w:cs="宋体"/>
                <w:color w:val="000000"/>
                <w:sz w:val="18"/>
                <w:szCs w:val="18"/>
              </w:rPr>
            </w:pPr>
          </w:p>
        </w:tc>
      </w:tr>
      <w:tr w14:paraId="7AD534D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056AC3C">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81A5C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166BD5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41F7D94C">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1125" w:type="dxa"/>
            <w:tcBorders>
              <w:top w:val="nil"/>
              <w:left w:val="nil"/>
              <w:bottom w:val="single" w:color="auto" w:sz="4" w:space="0"/>
              <w:right w:val="single" w:color="auto" w:sz="4" w:space="0"/>
            </w:tcBorders>
            <w:vAlign w:val="center"/>
          </w:tcPr>
          <w:p w14:paraId="5C580E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39417D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0797F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7015B6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0C00193F">
            <w:pPr>
              <w:jc w:val="center"/>
              <w:rPr>
                <w:rFonts w:hint="eastAsia" w:ascii="宋体" w:hAnsi="宋体" w:eastAsia="宋体" w:cs="宋体"/>
                <w:color w:val="000000"/>
                <w:sz w:val="18"/>
                <w:szCs w:val="18"/>
              </w:rPr>
            </w:pPr>
          </w:p>
        </w:tc>
      </w:tr>
      <w:tr w14:paraId="249D888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059FE37">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77A6E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2EF1F5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376E86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支持企业发展，提升企业物流仓储能力</w:t>
            </w:r>
          </w:p>
        </w:tc>
        <w:tc>
          <w:tcPr>
            <w:tcW w:w="1125" w:type="dxa"/>
            <w:tcBorders>
              <w:top w:val="nil"/>
              <w:left w:val="nil"/>
              <w:bottom w:val="single" w:color="auto" w:sz="4" w:space="0"/>
              <w:right w:val="single" w:color="auto" w:sz="4" w:space="0"/>
            </w:tcBorders>
            <w:vAlign w:val="center"/>
          </w:tcPr>
          <w:p w14:paraId="53BF0D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1229" w:type="dxa"/>
            <w:tcBorders>
              <w:top w:val="nil"/>
              <w:left w:val="nil"/>
              <w:bottom w:val="single" w:color="auto" w:sz="4" w:space="0"/>
              <w:right w:val="single" w:color="auto" w:sz="4" w:space="0"/>
            </w:tcBorders>
            <w:vAlign w:val="center"/>
          </w:tcPr>
          <w:p w14:paraId="6383AB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完全达到有效提升</w:t>
            </w:r>
          </w:p>
        </w:tc>
        <w:tc>
          <w:tcPr>
            <w:tcW w:w="755" w:type="dxa"/>
            <w:gridSpan w:val="2"/>
            <w:tcBorders>
              <w:top w:val="single" w:color="auto" w:sz="4" w:space="0"/>
              <w:left w:val="nil"/>
              <w:bottom w:val="single" w:color="auto" w:sz="4" w:space="0"/>
              <w:right w:val="single" w:color="000000" w:sz="4" w:space="0"/>
            </w:tcBorders>
            <w:vAlign w:val="center"/>
          </w:tcPr>
          <w:p w14:paraId="4D5A33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1884A3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3718239">
            <w:pPr>
              <w:jc w:val="center"/>
              <w:rPr>
                <w:rFonts w:hint="eastAsia" w:ascii="宋体" w:hAnsi="宋体" w:eastAsia="宋体" w:cs="宋体"/>
                <w:color w:val="000000"/>
                <w:sz w:val="18"/>
                <w:szCs w:val="18"/>
              </w:rPr>
            </w:pPr>
          </w:p>
        </w:tc>
      </w:tr>
      <w:tr w14:paraId="30F2DE5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A8B188D">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5539C8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24DE98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0A95BC8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外贸进出口项目单位满意度</w:t>
            </w:r>
          </w:p>
        </w:tc>
        <w:tc>
          <w:tcPr>
            <w:tcW w:w="1125" w:type="dxa"/>
            <w:tcBorders>
              <w:top w:val="nil"/>
              <w:left w:val="nil"/>
              <w:bottom w:val="single" w:color="auto" w:sz="4" w:space="0"/>
              <w:right w:val="single" w:color="auto" w:sz="4" w:space="0"/>
            </w:tcBorders>
            <w:vAlign w:val="center"/>
          </w:tcPr>
          <w:p w14:paraId="2D6DB6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64F096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755" w:type="dxa"/>
            <w:gridSpan w:val="2"/>
            <w:tcBorders>
              <w:top w:val="single" w:color="auto" w:sz="4" w:space="0"/>
              <w:left w:val="nil"/>
              <w:bottom w:val="single" w:color="auto" w:sz="4" w:space="0"/>
              <w:right w:val="single" w:color="000000" w:sz="4" w:space="0"/>
            </w:tcBorders>
            <w:vAlign w:val="center"/>
          </w:tcPr>
          <w:p w14:paraId="7CCACB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AEDB1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BCF0B57">
            <w:pPr>
              <w:jc w:val="center"/>
              <w:rPr>
                <w:rFonts w:hint="eastAsia" w:ascii="宋体" w:hAnsi="宋体" w:eastAsia="宋体" w:cs="宋体"/>
                <w:color w:val="000000"/>
                <w:sz w:val="18"/>
                <w:szCs w:val="18"/>
              </w:rPr>
            </w:pPr>
          </w:p>
        </w:tc>
      </w:tr>
      <w:tr w14:paraId="3693C479">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047E8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11A3C2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52657C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1A728638">
            <w:pPr>
              <w:jc w:val="center"/>
              <w:rPr>
                <w:rFonts w:hint="eastAsia" w:ascii="宋体" w:hAnsi="宋体" w:eastAsia="宋体" w:cs="宋体"/>
                <w:b/>
                <w:bCs/>
                <w:color w:val="000000"/>
                <w:sz w:val="18"/>
                <w:szCs w:val="18"/>
              </w:rPr>
            </w:pPr>
          </w:p>
        </w:tc>
      </w:tr>
    </w:tbl>
    <w:p w14:paraId="3258EE7C">
      <w:pPr>
        <w:spacing w:after="0" w:line="240" w:lineRule="auto"/>
        <w:ind w:firstLine="640" w:firstLineChars="200"/>
        <w:jc w:val="both"/>
        <w:rPr>
          <w:rFonts w:hint="eastAsia" w:ascii="仿宋_GB2312" w:eastAsia="仿宋_GB2312"/>
          <w:sz w:val="32"/>
          <w:szCs w:val="32"/>
          <w:lang w:eastAsia="zh-CN"/>
        </w:rPr>
      </w:pPr>
    </w:p>
    <w:p w14:paraId="01B985A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5483F0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7FA73C65">
      <w:pPr>
        <w:spacing w:after="0" w:line="240" w:lineRule="auto"/>
        <w:ind w:firstLine="640" w:firstLineChars="200"/>
        <w:rPr>
          <w:rFonts w:ascii="仿宋_GB2312" w:eastAsia="仿宋_GB2312"/>
          <w:sz w:val="32"/>
          <w:szCs w:val="32"/>
          <w:lang w:eastAsia="zh-CN"/>
        </w:rPr>
      </w:pPr>
    </w:p>
    <w:p w14:paraId="4DC4F6C3">
      <w:pPr>
        <w:rPr>
          <w:rFonts w:hint="eastAsia"/>
          <w:lang w:eastAsia="zh-CN"/>
        </w:rPr>
      </w:pPr>
      <w:r>
        <w:rPr>
          <w:sz w:val="0"/>
          <w:szCs w:val="0"/>
          <w:lang w:eastAsia="zh-CN"/>
        </w:rPr>
        <w:br w:type="page"/>
      </w:r>
    </w:p>
    <w:p w14:paraId="183B6B4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A8F9E3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2B4B35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951D06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2B4BC3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AA43CD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9BE5E1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72D7B3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6DCD06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34276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BD8A3C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10F47A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23CCD6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19FB17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67268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E3DD7CC">
      <w:pPr>
        <w:rPr>
          <w:rFonts w:hint="eastAsia"/>
          <w:lang w:eastAsia="zh-CN"/>
        </w:rPr>
      </w:pPr>
      <w:r>
        <w:rPr>
          <w:sz w:val="0"/>
          <w:szCs w:val="0"/>
          <w:lang w:eastAsia="zh-CN"/>
        </w:rPr>
        <w:br w:type="page"/>
      </w:r>
    </w:p>
    <w:p w14:paraId="758C5CE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4D5528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6CADC1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F69D47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A08B3F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AED09A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29866B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BA88D6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C44D6D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F2178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258E5"/>
    <w:rsid w:val="000258E5"/>
    <w:rsid w:val="003A643D"/>
    <w:rsid w:val="007233D7"/>
    <w:rsid w:val="008779AF"/>
    <w:rsid w:val="009D69D5"/>
    <w:rsid w:val="03D657B2"/>
    <w:rsid w:val="081A45AE"/>
    <w:rsid w:val="0AC16A2B"/>
    <w:rsid w:val="0D5105A1"/>
    <w:rsid w:val="16D2175F"/>
    <w:rsid w:val="4FD56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0">
    <w:name w:val="Title"/>
    <w:basedOn w:val="1"/>
    <w:next w:val="1"/>
    <w:link w:val="22"/>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563C1" w:themeColor="hyperlink"/>
      <w:u w:val="single"/>
    </w:rPr>
  </w:style>
  <w:style w:type="character" w:customStyle="1" w:styleId="16">
    <w:name w:val="页眉 字符"/>
    <w:basedOn w:val="13"/>
    <w:link w:val="8"/>
    <w:qFormat/>
    <w:uiPriority w:val="99"/>
  </w:style>
  <w:style w:type="character" w:customStyle="1" w:styleId="17">
    <w:name w:val="标题 1 字符"/>
    <w:basedOn w:val="13"/>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4472C4" w:themeColor="accent1"/>
      <w:sz w:val="26"/>
      <w:szCs w:val="26"/>
    </w:rPr>
  </w:style>
  <w:style w:type="character" w:customStyle="1" w:styleId="19">
    <w:name w:val="标题 3 字符"/>
    <w:basedOn w:val="13"/>
    <w:link w:val="4"/>
    <w:qFormat/>
    <w:uiPriority w:val="9"/>
    <w:rPr>
      <w:rFonts w:asciiTheme="majorHAnsi" w:hAnsiTheme="majorHAnsi" w:eastAsiaTheme="majorEastAsia" w:cstheme="majorBidi"/>
      <w:b/>
      <w:bCs/>
      <w:color w:val="4472C4" w:themeColor="accent1"/>
    </w:rPr>
  </w:style>
  <w:style w:type="character" w:customStyle="1" w:styleId="20">
    <w:name w:val="标题 4 字符"/>
    <w:basedOn w:val="13"/>
    <w:link w:val="5"/>
    <w:qFormat/>
    <w:uiPriority w:val="9"/>
    <w:rPr>
      <w:rFonts w:asciiTheme="majorHAnsi" w:hAnsiTheme="majorHAnsi" w:eastAsiaTheme="majorEastAsia" w:cstheme="majorBidi"/>
      <w:b/>
      <w:bCs/>
      <w:i/>
      <w:iCs/>
      <w:color w:val="4472C4"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4472C4" w:themeColor="accent1"/>
      <w:spacing w:val="15"/>
      <w:sz w:val="24"/>
      <w:szCs w:val="24"/>
    </w:rPr>
  </w:style>
  <w:style w:type="character" w:customStyle="1" w:styleId="22">
    <w:name w:val="标题 字符"/>
    <w:basedOn w:val="13"/>
    <w:link w:val="10"/>
    <w:qFormat/>
    <w:uiPriority w:val="10"/>
    <w:rPr>
      <w:rFonts w:asciiTheme="majorHAnsi" w:hAnsiTheme="majorHAnsi" w:eastAsiaTheme="majorEastAsia" w:cstheme="majorBidi"/>
      <w:color w:val="323E4F"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11526</Words>
  <Characters>12667</Characters>
  <Lines>1001</Lines>
  <Paragraphs>743</Paragraphs>
  <TotalTime>24</TotalTime>
  <ScaleCrop>false</ScaleCrop>
  <LinksUpToDate>false</LinksUpToDate>
  <CharactersWithSpaces>12677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2025-10-13T03:19:00Z</dcterms:created>
  <dc:creator>华为</dc:creator>
  <cp:lastModifiedBy>局外人.</cp:lastModifiedBy>
  <dcterms:modified xsi:type="dcterms:W3CDTF">2025-11-20T04:10:28Z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2052-12.1.0.23125</vt:lpwstr>
  </property>
  <property fmtid="{D5CDD505-2E9C-101B-9397-08002B2CF9AE}" pid="4" name="ICV">
    <vt:lpwstr>C63277CAD0B542C5B173F60BDD64FE3E_12</vt:lpwstr>
  </property>
</Properties>
</file>