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25C89">
      <w:pPr>
        <w:spacing w:after="0" w:line="240" w:lineRule="auto"/>
        <w:rPr>
          <w:rFonts w:ascii="宋体" w:eastAsia="宋体"/>
          <w:sz w:val="32"/>
          <w:szCs w:val="32"/>
        </w:rPr>
      </w:pPr>
    </w:p>
    <w:p w14:paraId="3634AD04">
      <w:pPr>
        <w:spacing w:after="0" w:line="240" w:lineRule="auto"/>
        <w:rPr>
          <w:rFonts w:ascii="宋体" w:eastAsia="宋体"/>
          <w:sz w:val="44"/>
          <w:szCs w:val="44"/>
        </w:rPr>
      </w:pPr>
    </w:p>
    <w:p w14:paraId="1DDE439A">
      <w:pPr>
        <w:spacing w:after="0" w:line="240" w:lineRule="auto"/>
        <w:rPr>
          <w:rFonts w:ascii="宋体" w:eastAsia="宋体"/>
          <w:sz w:val="44"/>
          <w:szCs w:val="44"/>
        </w:rPr>
      </w:pPr>
    </w:p>
    <w:p w14:paraId="72D439EB">
      <w:pPr>
        <w:spacing w:after="0" w:line="240" w:lineRule="auto"/>
        <w:rPr>
          <w:rFonts w:ascii="宋体" w:eastAsia="宋体"/>
          <w:sz w:val="44"/>
          <w:szCs w:val="44"/>
        </w:rPr>
      </w:pPr>
    </w:p>
    <w:p w14:paraId="52BED771">
      <w:pPr>
        <w:spacing w:after="0" w:line="240" w:lineRule="auto"/>
        <w:jc w:val="center"/>
        <w:outlineLvl w:val="0"/>
        <w:rPr>
          <w:rFonts w:ascii="宋体" w:eastAsia="黑体"/>
          <w:sz w:val="44"/>
          <w:szCs w:val="44"/>
          <w:lang w:eastAsia="zh-CN"/>
        </w:rPr>
      </w:pPr>
      <w:r>
        <w:rPr>
          <w:rFonts w:ascii="宋体" w:eastAsia="黑体"/>
          <w:sz w:val="44"/>
          <w:szCs w:val="44"/>
          <w:lang w:eastAsia="zh-CN"/>
        </w:rPr>
        <w:t>乌鲁木齐市米东区文化馆</w:t>
      </w:r>
    </w:p>
    <w:p w14:paraId="7E5BF99E">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9840DFF">
      <w:pPr>
        <w:rPr>
          <w:lang w:eastAsia="zh-CN"/>
        </w:rPr>
      </w:pPr>
      <w:r>
        <w:rPr>
          <w:sz w:val="0"/>
          <w:szCs w:val="0"/>
          <w:lang w:eastAsia="zh-CN"/>
        </w:rPr>
        <w:br w:type="page"/>
      </w:r>
    </w:p>
    <w:p w14:paraId="4A19C32E">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5961A9DB">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2BE10DA">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09929F4">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EEB364E">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08F1ED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D9DC82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9159CE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D300323">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5F50D5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50C875C">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CB1B155">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7ECECB7">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741CC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23BD339">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C230686">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6BE3433">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9E54333">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0B4FB7A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C441C2B">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BF94316">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48F75F1">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EAC54F2">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443C32D">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6A3411C">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00585A5">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EE4E6CE">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E773AD7">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F1900F4">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D4668FB">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13644F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9FFB0A2">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1282405">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BFAC69C">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4EA20CA3">
      <w:pPr>
        <w:rPr>
          <w:lang w:eastAsia="zh-CN"/>
        </w:rPr>
      </w:pPr>
      <w:r>
        <w:rPr>
          <w:sz w:val="0"/>
          <w:szCs w:val="0"/>
          <w:lang w:eastAsia="zh-CN"/>
        </w:rPr>
        <w:br w:type="page"/>
      </w:r>
    </w:p>
    <w:p w14:paraId="39CBAB5F">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557A336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4C12D2B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.负责实施</w:t>
      </w:r>
      <w:r>
        <w:rPr>
          <w:rFonts w:hint="eastAsia" w:ascii="仿宋_GB2312" w:eastAsia="仿宋_GB2312"/>
          <w:sz w:val="32"/>
          <w:szCs w:val="32"/>
          <w:lang w:eastAsia="zh-CN"/>
        </w:rPr>
        <w:t>“</w:t>
      </w:r>
      <w:r>
        <w:rPr>
          <w:rFonts w:ascii="仿宋_GB2312" w:eastAsia="仿宋_GB2312"/>
          <w:sz w:val="32"/>
          <w:szCs w:val="32"/>
          <w:lang w:eastAsia="zh-CN"/>
        </w:rPr>
        <w:t>国民艺术教育推进工程</w:t>
      </w:r>
      <w:r>
        <w:rPr>
          <w:rFonts w:hint="eastAsia" w:ascii="仿宋_GB2312" w:eastAsia="仿宋_GB2312"/>
          <w:sz w:val="32"/>
          <w:szCs w:val="32"/>
          <w:lang w:eastAsia="zh-CN"/>
        </w:rPr>
        <w:t>”</w:t>
      </w:r>
      <w:r>
        <w:rPr>
          <w:rFonts w:ascii="仿宋_GB2312" w:eastAsia="仿宋_GB2312"/>
          <w:sz w:val="32"/>
          <w:szCs w:val="32"/>
          <w:lang w:eastAsia="zh-CN"/>
        </w:rPr>
        <w:t>，推进文学、戏剧、音乐、舞蹈、曲艺、雕塑、绘画、工艺品、风俗、技艺等文艺艺术工作的发展。</w:t>
      </w:r>
    </w:p>
    <w:p w14:paraId="092B216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.负责推进文化创新，促进文化交流活动。传播先进文化，普及社会美育，培训群众文艺骨干。保护非物质文化遗产。</w:t>
      </w:r>
    </w:p>
    <w:p w14:paraId="56AC7116">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.负责对节日文艺活动的指导及大型艺术活动的策划。</w:t>
      </w:r>
    </w:p>
    <w:p w14:paraId="307B339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.负责对乡镇、街道文化站的业务指导和对群众艺术团队的组织管理。</w:t>
      </w:r>
    </w:p>
    <w:p w14:paraId="0176A5C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3FC1DA0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乌鲁木齐市米东区文化馆2024年度，实有人数18人，其中：在职人员12人，增加1人；离休人员0人，较上年无变化；退休人员6人，较上年无变化</w:t>
      </w:r>
      <w:r>
        <w:rPr>
          <w:rFonts w:hint="eastAsia" w:ascii="仿宋_GB2312" w:eastAsia="仿宋_GB2312"/>
          <w:sz w:val="32"/>
          <w:szCs w:val="32"/>
          <w:lang w:eastAsia="zh-CN"/>
        </w:rPr>
        <w:t>。</w:t>
      </w:r>
    </w:p>
    <w:p w14:paraId="0AD5C3C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乌鲁木齐市米东区文化馆无下属预算单位，下设4个</w:t>
      </w:r>
      <w:r>
        <w:rPr>
          <w:rFonts w:hint="eastAsia" w:ascii="仿宋_GB2312" w:eastAsia="仿宋_GB2312"/>
          <w:sz w:val="32"/>
          <w:szCs w:val="32"/>
          <w:lang w:eastAsia="zh-CN"/>
        </w:rPr>
        <w:t>科室</w:t>
      </w:r>
      <w:r>
        <w:rPr>
          <w:rFonts w:ascii="仿宋_GB2312" w:eastAsia="仿宋_GB2312"/>
          <w:sz w:val="32"/>
          <w:szCs w:val="32"/>
          <w:lang w:eastAsia="zh-CN"/>
        </w:rPr>
        <w:t>，分别是：财务室、非遗室、书画室、行政办公室。</w:t>
      </w:r>
    </w:p>
    <w:p w14:paraId="45C4F6BF">
      <w:pPr>
        <w:rPr>
          <w:lang w:eastAsia="zh-CN"/>
        </w:rPr>
      </w:pPr>
      <w:r>
        <w:rPr>
          <w:sz w:val="0"/>
          <w:szCs w:val="0"/>
          <w:lang w:eastAsia="zh-CN"/>
        </w:rPr>
        <w:br w:type="page"/>
      </w:r>
    </w:p>
    <w:p w14:paraId="303AD97A">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5CB5D9D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4773C42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2024年度收入总计266.20万元，其中：本年收入合计266.20万元，使用非财政拨款结余（含专用结余）0.00万元，年初结转和结余0.00万元。</w:t>
      </w:r>
    </w:p>
    <w:p w14:paraId="3F3825D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2024年度支出总计266.20万元，其中：本年支出合计266.20万元，结余分配0.00万元，年末结转和结余0.00万元。</w:t>
      </w:r>
    </w:p>
    <w:p w14:paraId="680F981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收入支出总体与上年相比，增加15.09万元，增长6.01%，主要原因是：</w:t>
      </w:r>
      <w:r>
        <w:rPr>
          <w:rFonts w:hint="eastAsia" w:ascii="仿宋_GB2312" w:eastAsia="仿宋_GB2312"/>
          <w:sz w:val="32"/>
          <w:szCs w:val="32"/>
          <w:lang w:eastAsia="zh-CN"/>
        </w:rPr>
        <w:t>单位本年增加自治区非物质文化遗产保护专项资金、中央支持地方公共文化服务体系建设补助资金。</w:t>
      </w:r>
    </w:p>
    <w:p w14:paraId="394BA4E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2601B18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本年收入266.20万元，其中：财政拨款收入266.20万元,占100.00%；上级补助收入0.00万元,占0.00%；事业收入0.00万元，占0.00%；经营收入0.00万元,占0.00%；附属单位上缴收入0.00万元，占0.00%；其他收入0.00万元，占0.00%。</w:t>
      </w:r>
    </w:p>
    <w:p w14:paraId="2A04FED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1CB1FDD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本年支出266.20万元，其中：基本支出213.87万元，占80.34%；项目支出52.33万元，占19.66%；上缴上级支出0.00万元，占0.00%；经营支出0.00万元，占0.00%；对附属单位补助支出0.00万元，占0.00%。</w:t>
      </w:r>
    </w:p>
    <w:p w14:paraId="7363D24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7860DC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2024年度财政拨款收入总计266.20万元，其中：年初财政拨款结转和结余0.00万元，本年财政拨款收入266.20万元。财政拨款支出总计266.20万元，其中：年末财政拨款结转和结余0.00万元，本年财政拨款支出266.20万元。</w:t>
      </w:r>
    </w:p>
    <w:p w14:paraId="4CCCA45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财政拨款收入支出总体与上年相比，增加15.60万元，增长6.23%，主要原因是：</w:t>
      </w:r>
      <w:r>
        <w:rPr>
          <w:rFonts w:hint="eastAsia" w:ascii="仿宋_GB2312" w:eastAsia="仿宋_GB2312"/>
          <w:sz w:val="32"/>
          <w:szCs w:val="32"/>
          <w:lang w:eastAsia="zh-CN"/>
        </w:rPr>
        <w:t>单位本年增加自治区非物质文化遗产保护专项资金、中央支持地方公共文化服务体系建设补助资金。</w:t>
      </w:r>
      <w:r>
        <w:rPr>
          <w:rFonts w:ascii="仿宋_GB2312" w:eastAsia="仿宋_GB2312"/>
          <w:sz w:val="32"/>
          <w:szCs w:val="32"/>
          <w:lang w:eastAsia="zh-CN"/>
        </w:rPr>
        <w:t>与年初预算相比，年初预算数250.01万元，决算数266.20万元，预决算差异率6.48%，主要原因是：</w:t>
      </w:r>
      <w:r>
        <w:rPr>
          <w:rFonts w:hint="eastAsia" w:ascii="仿宋_GB2312" w:eastAsia="仿宋_GB2312"/>
          <w:sz w:val="32"/>
          <w:szCs w:val="32"/>
          <w:lang w:eastAsia="zh-CN"/>
        </w:rPr>
        <w:t>年中追加自治区非物质文化遗产保护专项资金、中央支持地方公共文化服务体系建设补助资金。</w:t>
      </w:r>
    </w:p>
    <w:p w14:paraId="61C8F41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54924CB">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1215650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2024年度一般公共预算财政拨款支出266.20万元，占本年支出合计的100.00%。与上年相比，增加29.45万元，增长12.44%，主要原因是：</w:t>
      </w:r>
      <w:r>
        <w:rPr>
          <w:rFonts w:hint="eastAsia" w:ascii="仿宋_GB2312" w:eastAsia="仿宋_GB2312"/>
          <w:sz w:val="32"/>
          <w:szCs w:val="32"/>
          <w:lang w:eastAsia="zh-CN"/>
        </w:rPr>
        <w:t>单位本年增加自治区非物质文化遗产保护专项资金、中央支持地方公共文化服务体系建设补助资金。</w:t>
      </w:r>
      <w:r>
        <w:rPr>
          <w:rFonts w:ascii="仿宋_GB2312" w:eastAsia="仿宋_GB2312"/>
          <w:sz w:val="32"/>
          <w:szCs w:val="32"/>
          <w:lang w:eastAsia="zh-CN"/>
        </w:rPr>
        <w:t>与年初预算相比，年初预算数250.01万元，决算数266.20万元，预决算差异率6.48%，主要原因是：</w:t>
      </w:r>
      <w:r>
        <w:rPr>
          <w:rFonts w:hint="eastAsia" w:ascii="仿宋_GB2312" w:eastAsia="仿宋_GB2312"/>
          <w:sz w:val="32"/>
          <w:szCs w:val="32"/>
          <w:lang w:eastAsia="zh-CN"/>
        </w:rPr>
        <w:t>年中追加自治区非物质文化遗产保护专项资金、中央支持地方公共文化服务体系建设补助资金。</w:t>
      </w:r>
    </w:p>
    <w:p w14:paraId="59D26D60">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8BAEAE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文化旅游体育与传媒支出（类）244.57万元，占91.87%。</w:t>
      </w:r>
    </w:p>
    <w:p w14:paraId="35D31A8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社会保障和就业支出（类）21.63万元，占8.13%。</w:t>
      </w:r>
    </w:p>
    <w:p w14:paraId="7EAE83B0">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7FEE96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1、文化旅游体育与传媒支出（类）文化和旅游（款）群众文化（项）：支出决算数为192.24万元，比上年决算减少9.26万元，下降4.60%，主要原因是：</w:t>
      </w:r>
      <w:r>
        <w:rPr>
          <w:rFonts w:hint="eastAsia" w:ascii="仿宋_GB2312" w:eastAsia="仿宋_GB2312"/>
          <w:sz w:val="32"/>
          <w:szCs w:val="32"/>
          <w:lang w:eastAsia="zh-CN"/>
        </w:rPr>
        <w:t>单位本年</w:t>
      </w:r>
      <w:r>
        <w:rPr>
          <w:rFonts w:ascii="仿宋_GB2312" w:eastAsia="仿宋_GB2312"/>
          <w:sz w:val="32"/>
          <w:szCs w:val="32"/>
          <w:lang w:eastAsia="zh-CN"/>
        </w:rPr>
        <w:t>维修（护）费</w:t>
      </w:r>
      <w:r>
        <w:rPr>
          <w:rFonts w:hint="eastAsia" w:ascii="仿宋_GB2312" w:eastAsia="仿宋_GB2312"/>
          <w:sz w:val="32"/>
          <w:szCs w:val="32"/>
          <w:lang w:eastAsia="zh-CN"/>
        </w:rPr>
        <w:t>、福利费较上年减少。</w:t>
      </w:r>
    </w:p>
    <w:p w14:paraId="594DE96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2、文化旅游体育与传媒支出（类）文化和旅游（款）文化创作与保护（项）：支出决算数为48.33万元，比上年决算增加33.66万元，增长229.45%，主要原因是：</w:t>
      </w:r>
      <w:r>
        <w:rPr>
          <w:rFonts w:hint="eastAsia" w:ascii="仿宋_GB2312" w:eastAsia="仿宋_GB2312"/>
          <w:sz w:val="32"/>
          <w:szCs w:val="32"/>
          <w:lang w:eastAsia="zh-CN"/>
        </w:rPr>
        <w:t>单位本年增加自治区非物质文化遗产保护专项资金项目。</w:t>
      </w:r>
    </w:p>
    <w:p w14:paraId="1D007A2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3、文化旅游体育与传媒支出（类）文化和旅游（款）其他文化和旅游支出（项）：支出决算数为4.00万元，比上年决算增加4.00万元，增长100.00%，主要原因是：</w:t>
      </w:r>
      <w:r>
        <w:rPr>
          <w:rFonts w:hint="eastAsia" w:ascii="仿宋_GB2312" w:eastAsia="仿宋_GB2312"/>
          <w:sz w:val="32"/>
          <w:szCs w:val="32"/>
          <w:lang w:eastAsia="zh-CN"/>
        </w:rPr>
        <w:t>单位本年增加中央支持地方公共文化服务体系建设补助项目资金。</w:t>
      </w:r>
    </w:p>
    <w:p w14:paraId="365ADA3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4、社会保障和就业支出（类）行政事业单位养老支出（款）机关事业单位基本养老保险缴费支出（项）：支出决算数为21.63万元，比上年决算增加1.05万元，增长5.10%，主要原因是：</w:t>
      </w:r>
      <w:r>
        <w:rPr>
          <w:rFonts w:hint="eastAsia" w:ascii="仿宋_GB2312" w:eastAsia="仿宋_GB2312"/>
          <w:sz w:val="32"/>
          <w:szCs w:val="32"/>
          <w:lang w:eastAsia="zh-CN"/>
        </w:rPr>
        <w:t>单位本年社保基数调增，机关事业单位基本养老保险缴费支出增加。</w:t>
      </w:r>
    </w:p>
    <w:p w14:paraId="56719A9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F435D7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213.87万元，其中：人员经费209.59万元，包括：基本工资、津贴补贴、奖金、绩效工资、机关事业单位基本养老保险缴费、职工基本医疗保险缴费、公务员医疗补助缴费、其他社会保障缴费和住房公积金。</w:t>
      </w:r>
    </w:p>
    <w:p w14:paraId="36650E7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公用经费4.27万元，包括：办公费、邮电费和工会经费。</w:t>
      </w:r>
    </w:p>
    <w:p w14:paraId="5DE9F26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3064D0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3C7364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C79348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0E1F65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27B5324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我单位上年度与本年度均无因公出国（境）费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公务用车购置及运行维护费；公务接待费支出0.00万元，占0.00%，与上年相比无变化，主要原因是：</w:t>
      </w:r>
      <w:r>
        <w:rPr>
          <w:rFonts w:hint="eastAsia" w:ascii="仿宋_GB2312" w:eastAsia="仿宋_GB2312"/>
          <w:sz w:val="32"/>
          <w:szCs w:val="32"/>
          <w:lang w:eastAsia="zh-CN"/>
        </w:rPr>
        <w:t>我单位上年度与本年度均无公务接待费。</w:t>
      </w:r>
    </w:p>
    <w:p w14:paraId="6D56248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1CC365D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本单位无因公出国（境）费</w:t>
      </w:r>
      <w:r>
        <w:rPr>
          <w:rFonts w:ascii="仿宋_GB2312" w:eastAsia="仿宋_GB2312"/>
          <w:sz w:val="32"/>
          <w:szCs w:val="32"/>
          <w:lang w:eastAsia="zh-CN"/>
        </w:rPr>
        <w:t>。单位全年安排的因公出国（境）团组0个，因公出国（境）0人次。</w:t>
      </w:r>
    </w:p>
    <w:p w14:paraId="0F26E86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我单位本年度无公务用车运行维护费</w:t>
      </w:r>
      <w:bookmarkStart w:id="0" w:name="_GoBack"/>
      <w:bookmarkEnd w:id="0"/>
      <w:r>
        <w:rPr>
          <w:rFonts w:hint="eastAsia" w:ascii="仿宋_GB2312" w:eastAsia="仿宋_GB2312"/>
          <w:sz w:val="32"/>
          <w:szCs w:val="32"/>
          <w:lang w:eastAsia="zh-CN"/>
        </w:rPr>
        <w:t>。</w:t>
      </w:r>
      <w:r>
        <w:rPr>
          <w:rFonts w:ascii="仿宋_GB2312" w:eastAsia="仿宋_GB2312"/>
          <w:sz w:val="32"/>
          <w:szCs w:val="32"/>
          <w:lang w:eastAsia="zh-CN"/>
        </w:rPr>
        <w:t>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p>
    <w:p w14:paraId="62AECEE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本单位无公务接待费。</w:t>
      </w:r>
      <w:r>
        <w:rPr>
          <w:rFonts w:ascii="仿宋_GB2312" w:eastAsia="仿宋_GB2312"/>
          <w:sz w:val="32"/>
          <w:szCs w:val="32"/>
          <w:lang w:eastAsia="zh-CN"/>
        </w:rPr>
        <w:t>单位全年安排的国内公务接待0批次，0人次。</w:t>
      </w:r>
    </w:p>
    <w:p w14:paraId="6745183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p>
    <w:p w14:paraId="60BEBFB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10CD78C5">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59ED44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2024年度乌鲁木齐市米东区文化馆单位（事业单位）公用经费支出4.27万元，比上年减少0.10万元，下降2.29%，主要原因是：</w:t>
      </w:r>
      <w:r>
        <w:rPr>
          <w:rFonts w:hint="eastAsia" w:ascii="仿宋_GB2312" w:eastAsia="仿宋_GB2312"/>
          <w:sz w:val="32"/>
          <w:szCs w:val="32"/>
          <w:lang w:eastAsia="zh-CN"/>
        </w:rPr>
        <w:t>单位本年</w:t>
      </w:r>
      <w:r>
        <w:rPr>
          <w:rFonts w:ascii="仿宋_GB2312" w:eastAsia="仿宋_GB2312"/>
          <w:sz w:val="32"/>
          <w:szCs w:val="32"/>
          <w:lang w:eastAsia="zh-CN"/>
        </w:rPr>
        <w:t>办公费、邮电费</w:t>
      </w:r>
      <w:r>
        <w:rPr>
          <w:rFonts w:hint="eastAsia" w:ascii="仿宋_GB2312" w:eastAsia="仿宋_GB2312"/>
          <w:sz w:val="32"/>
          <w:szCs w:val="32"/>
          <w:lang w:eastAsia="zh-CN"/>
        </w:rPr>
        <w:t>等公用经费较上年减少。</w:t>
      </w:r>
    </w:p>
    <w:p w14:paraId="2941FF1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63E496C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537A618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18FC928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2C8ECD2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D61A8F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269BC40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根据预算绩效管理要求，本单位2024年度预算绩效管理形成整体支出绩效自评表1个，全年预算总额266.2</w:t>
      </w:r>
      <w:r>
        <w:rPr>
          <w:rFonts w:hint="eastAsia" w:ascii="仿宋_GB2312" w:eastAsia="仿宋_GB2312"/>
          <w:sz w:val="32"/>
          <w:szCs w:val="32"/>
          <w:lang w:eastAsia="zh-CN"/>
        </w:rPr>
        <w:t>0</w:t>
      </w:r>
      <w:r>
        <w:rPr>
          <w:rFonts w:ascii="仿宋_GB2312" w:eastAsia="仿宋_GB2312"/>
          <w:sz w:val="32"/>
          <w:szCs w:val="32"/>
          <w:lang w:eastAsia="zh-CN"/>
        </w:rPr>
        <w:t>万元，实际执行总额266.2</w:t>
      </w:r>
      <w:r>
        <w:rPr>
          <w:rFonts w:hint="eastAsia" w:ascii="仿宋_GB2312" w:eastAsia="仿宋_GB2312"/>
          <w:sz w:val="32"/>
          <w:szCs w:val="32"/>
          <w:lang w:eastAsia="zh-CN"/>
        </w:rPr>
        <w:t>0</w:t>
      </w:r>
      <w:r>
        <w:rPr>
          <w:rFonts w:ascii="仿宋_GB2312" w:eastAsia="仿宋_GB2312"/>
          <w:sz w:val="32"/>
          <w:szCs w:val="32"/>
          <w:lang w:eastAsia="zh-CN"/>
        </w:rPr>
        <w:t>万元；预算绩效评价项目2个，全年预算数48.33万元，全年执行数48.33万元。预算绩效管理取得的成效：</w:t>
      </w:r>
      <w:r>
        <w:rPr>
          <w:rFonts w:hint="eastAsia" w:ascii="仿宋_GB2312" w:eastAsia="仿宋_GB2312"/>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hint="eastAsia" w:ascii="仿宋_GB2312" w:eastAsia="仿宋_GB2312"/>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hint="eastAsia" w:ascii="仿宋_GB2312" w:eastAsia="仿宋_GB2312"/>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40BB1DB9">
      <w:pPr>
        <w:rPr>
          <w:rFonts w:ascii="仿宋_GB2312" w:eastAsia="仿宋_GB2312"/>
          <w:sz w:val="32"/>
          <w:szCs w:val="32"/>
          <w:lang w:eastAsia="zh-CN"/>
        </w:rPr>
      </w:pPr>
      <w:r>
        <w:rPr>
          <w:rFonts w:ascii="仿宋_GB2312" w:eastAsia="仿宋_GB2312"/>
          <w:sz w:val="32"/>
          <w:szCs w:val="32"/>
          <w:lang w:eastAsia="zh-CN"/>
        </w:rPr>
        <w:br w:type="page"/>
      </w:r>
    </w:p>
    <w:p w14:paraId="6570275C">
      <w:pPr>
        <w:widowControl w:val="0"/>
        <w:spacing w:after="0" w:line="240" w:lineRule="auto"/>
        <w:jc w:val="center"/>
        <w:rPr>
          <w:rFonts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1AA2D681">
      <w:pPr>
        <w:widowControl w:val="0"/>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6B3B12DB">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740BE3C8">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72E7675">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乌鲁木齐市米东区文化馆</w:t>
            </w:r>
          </w:p>
        </w:tc>
        <w:tc>
          <w:tcPr>
            <w:tcW w:w="284" w:type="dxa"/>
            <w:tcBorders>
              <w:top w:val="nil"/>
              <w:left w:val="nil"/>
              <w:bottom w:val="nil"/>
              <w:right w:val="nil"/>
            </w:tcBorders>
            <w:noWrap/>
            <w:vAlign w:val="center"/>
          </w:tcPr>
          <w:p w14:paraId="1C83114A">
            <w:pPr>
              <w:spacing w:after="0" w:line="240" w:lineRule="auto"/>
              <w:rPr>
                <w:rFonts w:ascii="宋体" w:hAnsi="宋体" w:eastAsia="宋体" w:cs="宋体"/>
                <w:b/>
                <w:bCs/>
                <w:sz w:val="18"/>
                <w:szCs w:val="18"/>
                <w:lang w:eastAsia="zh-CN"/>
              </w:rPr>
            </w:pPr>
          </w:p>
        </w:tc>
      </w:tr>
      <w:tr w14:paraId="53510391">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44F46A1">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00557E10">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6AD1CAAE">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0D596F20">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701" w:type="dxa"/>
            <w:tcBorders>
              <w:top w:val="nil"/>
              <w:left w:val="nil"/>
              <w:bottom w:val="single" w:color="auto" w:sz="4" w:space="0"/>
              <w:right w:val="single" w:color="auto" w:sz="4" w:space="0"/>
            </w:tcBorders>
            <w:vAlign w:val="center"/>
          </w:tcPr>
          <w:p w14:paraId="3B08CE81">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5BE70753">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4910DA89">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269C9C61">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6127EA36">
            <w:pPr>
              <w:spacing w:after="0" w:line="240" w:lineRule="auto"/>
              <w:jc w:val="center"/>
              <w:rPr>
                <w:rFonts w:ascii="宋体" w:hAnsi="宋体" w:eastAsia="宋体" w:cs="宋体"/>
                <w:b/>
                <w:bCs/>
                <w:sz w:val="18"/>
                <w:szCs w:val="18"/>
                <w:lang w:eastAsia="zh-CN"/>
              </w:rPr>
            </w:pPr>
          </w:p>
        </w:tc>
      </w:tr>
      <w:tr w14:paraId="7C86F524">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602A55E">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0E8F033C">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14:paraId="1F7BC07B">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250.01</w:t>
            </w:r>
          </w:p>
        </w:tc>
        <w:tc>
          <w:tcPr>
            <w:tcW w:w="1276" w:type="dxa"/>
            <w:tcBorders>
              <w:top w:val="nil"/>
              <w:left w:val="nil"/>
              <w:bottom w:val="single" w:color="auto" w:sz="4" w:space="0"/>
              <w:right w:val="single" w:color="auto" w:sz="4" w:space="0"/>
            </w:tcBorders>
            <w:vAlign w:val="center"/>
          </w:tcPr>
          <w:p w14:paraId="6994048D">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266.20</w:t>
            </w:r>
          </w:p>
        </w:tc>
        <w:tc>
          <w:tcPr>
            <w:tcW w:w="1701" w:type="dxa"/>
            <w:tcBorders>
              <w:top w:val="nil"/>
              <w:left w:val="nil"/>
              <w:bottom w:val="single" w:color="auto" w:sz="4" w:space="0"/>
              <w:right w:val="single" w:color="auto" w:sz="4" w:space="0"/>
            </w:tcBorders>
            <w:vAlign w:val="center"/>
          </w:tcPr>
          <w:p w14:paraId="6E7F7534">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266.20</w:t>
            </w:r>
          </w:p>
        </w:tc>
        <w:tc>
          <w:tcPr>
            <w:tcW w:w="1134" w:type="dxa"/>
            <w:tcBorders>
              <w:top w:val="nil"/>
              <w:left w:val="nil"/>
              <w:bottom w:val="single" w:color="auto" w:sz="4" w:space="0"/>
              <w:right w:val="single" w:color="auto" w:sz="4" w:space="0"/>
            </w:tcBorders>
            <w:vAlign w:val="center"/>
          </w:tcPr>
          <w:p w14:paraId="2AC03FE2">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w:t>
            </w:r>
          </w:p>
        </w:tc>
        <w:tc>
          <w:tcPr>
            <w:tcW w:w="992" w:type="dxa"/>
            <w:tcBorders>
              <w:top w:val="nil"/>
              <w:left w:val="nil"/>
              <w:bottom w:val="single" w:color="auto" w:sz="4" w:space="0"/>
              <w:right w:val="single" w:color="auto" w:sz="4" w:space="0"/>
            </w:tcBorders>
            <w:vAlign w:val="center"/>
          </w:tcPr>
          <w:p w14:paraId="2C5F7B79">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vAlign w:val="center"/>
          </w:tcPr>
          <w:p w14:paraId="6610978A">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w:t>
            </w:r>
          </w:p>
        </w:tc>
        <w:tc>
          <w:tcPr>
            <w:tcW w:w="284" w:type="dxa"/>
            <w:tcBorders>
              <w:top w:val="nil"/>
              <w:left w:val="nil"/>
              <w:bottom w:val="nil"/>
              <w:right w:val="nil"/>
            </w:tcBorders>
            <w:noWrap/>
            <w:vAlign w:val="center"/>
          </w:tcPr>
          <w:p w14:paraId="25926705">
            <w:pPr>
              <w:spacing w:after="0" w:line="240" w:lineRule="auto"/>
              <w:jc w:val="center"/>
              <w:rPr>
                <w:rFonts w:ascii="宋体" w:hAnsi="宋体" w:eastAsia="宋体" w:cs="宋体"/>
                <w:b/>
                <w:bCs/>
                <w:sz w:val="18"/>
                <w:szCs w:val="18"/>
                <w:lang w:eastAsia="zh-CN"/>
              </w:rPr>
            </w:pPr>
          </w:p>
        </w:tc>
      </w:tr>
      <w:tr w14:paraId="5B079945">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0776D79">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60AF9D7C">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4C3998C7">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12.50</w:t>
            </w:r>
          </w:p>
        </w:tc>
        <w:tc>
          <w:tcPr>
            <w:tcW w:w="1276" w:type="dxa"/>
            <w:tcBorders>
              <w:top w:val="nil"/>
              <w:left w:val="nil"/>
              <w:bottom w:val="single" w:color="auto" w:sz="4" w:space="0"/>
              <w:right w:val="single" w:color="auto" w:sz="4" w:space="0"/>
            </w:tcBorders>
            <w:vAlign w:val="center"/>
          </w:tcPr>
          <w:p w14:paraId="58A6F85D">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12.50</w:t>
            </w:r>
          </w:p>
        </w:tc>
        <w:tc>
          <w:tcPr>
            <w:tcW w:w="1701" w:type="dxa"/>
            <w:tcBorders>
              <w:top w:val="nil"/>
              <w:left w:val="nil"/>
              <w:bottom w:val="single" w:color="auto" w:sz="4" w:space="0"/>
              <w:right w:val="single" w:color="auto" w:sz="4" w:space="0"/>
            </w:tcBorders>
            <w:vAlign w:val="center"/>
          </w:tcPr>
          <w:p w14:paraId="1892DB1C">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12.50</w:t>
            </w:r>
          </w:p>
        </w:tc>
        <w:tc>
          <w:tcPr>
            <w:tcW w:w="1134" w:type="dxa"/>
            <w:tcBorders>
              <w:top w:val="nil"/>
              <w:left w:val="nil"/>
              <w:bottom w:val="single" w:color="auto" w:sz="4" w:space="0"/>
              <w:right w:val="single" w:color="auto" w:sz="4" w:space="0"/>
            </w:tcBorders>
            <w:vAlign w:val="center"/>
          </w:tcPr>
          <w:p w14:paraId="54EC740C">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0E2CD704">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69416215">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0C5CB139">
            <w:pPr>
              <w:spacing w:after="0" w:line="240" w:lineRule="auto"/>
              <w:jc w:val="center"/>
              <w:rPr>
                <w:rFonts w:ascii="宋体" w:hAnsi="宋体" w:eastAsia="宋体" w:cs="宋体"/>
                <w:sz w:val="18"/>
                <w:szCs w:val="18"/>
                <w:lang w:eastAsia="zh-CN"/>
              </w:rPr>
            </w:pPr>
          </w:p>
        </w:tc>
      </w:tr>
      <w:tr w14:paraId="62765B44">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D8FC36F">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1F494B39">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14:paraId="59D791A3">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201.68</w:t>
            </w:r>
          </w:p>
        </w:tc>
        <w:tc>
          <w:tcPr>
            <w:tcW w:w="1276" w:type="dxa"/>
            <w:tcBorders>
              <w:top w:val="nil"/>
              <w:left w:val="nil"/>
              <w:bottom w:val="single" w:color="auto" w:sz="4" w:space="0"/>
              <w:right w:val="single" w:color="auto" w:sz="4" w:space="0"/>
            </w:tcBorders>
            <w:vAlign w:val="center"/>
          </w:tcPr>
          <w:p w14:paraId="3DFB0271">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213.87</w:t>
            </w:r>
          </w:p>
        </w:tc>
        <w:tc>
          <w:tcPr>
            <w:tcW w:w="1701" w:type="dxa"/>
            <w:tcBorders>
              <w:top w:val="nil"/>
              <w:left w:val="nil"/>
              <w:bottom w:val="single" w:color="auto" w:sz="4" w:space="0"/>
              <w:right w:val="single" w:color="auto" w:sz="4" w:space="0"/>
            </w:tcBorders>
            <w:vAlign w:val="center"/>
          </w:tcPr>
          <w:p w14:paraId="619975ED">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213.87</w:t>
            </w:r>
          </w:p>
        </w:tc>
        <w:tc>
          <w:tcPr>
            <w:tcW w:w="1134" w:type="dxa"/>
            <w:tcBorders>
              <w:top w:val="nil"/>
              <w:left w:val="nil"/>
              <w:bottom w:val="single" w:color="auto" w:sz="4" w:space="0"/>
              <w:right w:val="single" w:color="auto" w:sz="4" w:space="0"/>
            </w:tcBorders>
            <w:vAlign w:val="center"/>
          </w:tcPr>
          <w:p w14:paraId="574DECDF">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638516CE">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03C8B6FB">
            <w:pPr>
              <w:spacing w:after="0" w:line="240" w:lineRule="auto"/>
              <w:jc w:val="center"/>
              <w:rPr>
                <w:rFonts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46205C01">
            <w:pPr>
              <w:spacing w:after="0" w:line="240" w:lineRule="auto"/>
              <w:jc w:val="center"/>
              <w:rPr>
                <w:rFonts w:ascii="宋体" w:hAnsi="宋体" w:eastAsia="宋体" w:cs="宋体"/>
                <w:sz w:val="18"/>
                <w:szCs w:val="18"/>
                <w:lang w:eastAsia="zh-CN"/>
              </w:rPr>
            </w:pPr>
          </w:p>
        </w:tc>
      </w:tr>
      <w:tr w14:paraId="74478EA6">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19835CA">
            <w:pPr>
              <w:spacing w:after="0" w:line="240" w:lineRule="auto"/>
              <w:jc w:val="center"/>
              <w:rPr>
                <w:rFonts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77546A69">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14:paraId="7C832ADD">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35.83</w:t>
            </w:r>
          </w:p>
        </w:tc>
        <w:tc>
          <w:tcPr>
            <w:tcW w:w="1276" w:type="dxa"/>
            <w:tcBorders>
              <w:top w:val="nil"/>
              <w:left w:val="nil"/>
              <w:bottom w:val="single" w:color="auto" w:sz="4" w:space="0"/>
              <w:right w:val="single" w:color="auto" w:sz="4" w:space="0"/>
            </w:tcBorders>
            <w:vAlign w:val="center"/>
          </w:tcPr>
          <w:p w14:paraId="4F104FB4">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39.83</w:t>
            </w:r>
          </w:p>
        </w:tc>
        <w:tc>
          <w:tcPr>
            <w:tcW w:w="1701" w:type="dxa"/>
            <w:tcBorders>
              <w:top w:val="nil"/>
              <w:left w:val="nil"/>
              <w:bottom w:val="single" w:color="auto" w:sz="4" w:space="0"/>
              <w:right w:val="single" w:color="auto" w:sz="4" w:space="0"/>
            </w:tcBorders>
            <w:vAlign w:val="center"/>
          </w:tcPr>
          <w:p w14:paraId="3FCE8A20">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39.83</w:t>
            </w:r>
          </w:p>
        </w:tc>
        <w:tc>
          <w:tcPr>
            <w:tcW w:w="1134" w:type="dxa"/>
            <w:tcBorders>
              <w:top w:val="nil"/>
              <w:left w:val="nil"/>
              <w:bottom w:val="single" w:color="auto" w:sz="4" w:space="0"/>
              <w:right w:val="single" w:color="auto" w:sz="4" w:space="0"/>
            </w:tcBorders>
            <w:vAlign w:val="center"/>
          </w:tcPr>
          <w:p w14:paraId="7195D061">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992" w:type="dxa"/>
            <w:tcBorders>
              <w:top w:val="nil"/>
              <w:left w:val="nil"/>
              <w:bottom w:val="single" w:color="auto" w:sz="4" w:space="0"/>
              <w:right w:val="single" w:color="auto" w:sz="4" w:space="0"/>
            </w:tcBorders>
            <w:vAlign w:val="center"/>
          </w:tcPr>
          <w:p w14:paraId="1B680284">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00353D60">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158040ED">
            <w:pPr>
              <w:spacing w:after="0" w:line="240" w:lineRule="auto"/>
              <w:jc w:val="center"/>
              <w:rPr>
                <w:rFonts w:ascii="宋体" w:hAnsi="宋体" w:eastAsia="宋体" w:cs="宋体"/>
                <w:sz w:val="18"/>
                <w:szCs w:val="18"/>
                <w:lang w:eastAsia="zh-CN"/>
              </w:rPr>
            </w:pPr>
          </w:p>
        </w:tc>
      </w:tr>
      <w:tr w14:paraId="7CA73A93">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8387A9B">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29C48BEA">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7438505E">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2F70277A">
            <w:pPr>
              <w:spacing w:after="0" w:line="240" w:lineRule="auto"/>
              <w:rPr>
                <w:rFonts w:ascii="宋体" w:hAnsi="宋体" w:eastAsia="宋体" w:cs="宋体"/>
                <w:b/>
                <w:bCs/>
                <w:sz w:val="18"/>
                <w:szCs w:val="18"/>
                <w:lang w:eastAsia="zh-CN"/>
              </w:rPr>
            </w:pPr>
          </w:p>
        </w:tc>
      </w:tr>
      <w:tr w14:paraId="5F4E4F91">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67F0FA4">
            <w:pPr>
              <w:spacing w:after="0" w:line="240" w:lineRule="auto"/>
              <w:rPr>
                <w:rFonts w:ascii="宋体" w:hAnsi="宋体" w:eastAsia="宋体" w:cs="宋体"/>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4387D255">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米东区文化馆工作职能：（一）负责实施“国民艺术教育推进工程”，推进文学、戏剧、音乐、舞蹈、曲艺、雕塑、绘画、工艺品、风俗、技艺等文艺艺术工作的发展。（二）负责推进文化创新，促进文化交流活动。传播先进文化，普及社会美育，培训群众文艺骨干。保护非物质文化遗产。（三）负责对节日文艺活动的指导及大型艺术活动的策划。（四）负责对乡镇、街道文化站的业务指导和对群众艺术团队的组织管理。米东区文化馆2024年重点工作如下：（一）不断完善文化惠民服务保障机制。持续开展“我们的中国梦--文艺进万家”、“魅力米东”百日广场文化活动、“永远跟党走”文艺轻骑兵惠民演出等主题文化惠民活动100场，擦亮地方文化品牌，扩大区域影响力，使人民的幸福指数不断提升。（二）加强非遗保护与活态化传承，广泛开展“新疆花儿”文化交流活动。开展非遗展示周活动，将非遗培训深入社区（村），举办回族刺绣、回族服饰、新疆花儿、哈萨克刺绣等培训班，持续推动非遗进景区、进校园、进商超等展示活动，进一步拓展非遗发展空间，营造“文化遗产人人保护，保护成果人人共享”的良好氛围；举办米东区“新疆花儿”交流研讨会，邀请区内外优秀花儿艺术家开展演唱比赛及理论交流、研讨，搭建“新疆花儿”艺术展示平台，进一步引领“新疆花儿”的保护传承与发展创新走向更高层次，更宽领域，借助米东区文化空间及旅游资源提高“新疆花儿”受众面，形成米东区“新疆花儿”活态化传承保护的良好局面；以现有非遗展示场馆为基础，打造非遗项目研学基地，开辟出非遗展示区、非遗演艺区、非遗体验区等主题的可视、可触、可学的研学项目，让群众近距离体验感悟传统文化魅力。（三）发挥文化大院示范点的引领、带动、辐射作用，丰富群众文化生活。秉承弘扬传统、打造精品、文化惠民的理念，大力传承、创新、发展地方民族文化瑰宝，2024年米东区计划申报以传承非物质文化遗产为特点的王秀芳花儿小院、马清洁回族刺绣2个文化大院，向群众近距离展示、体验非遗魅力，让群众唱起来、舞起来、绣起来，让非遗真正融入百姓生活，让非遗文化“活”起来。（四）（一）米东区农民画创作、展览与交流。2024年以春分和秋分两个中华传统节气为题材举办以“春华”、“秋实”为主题的农民画征稿、展赛活动，在乌鲁木齐市、昌吉州各区县范围内征稿，届时邀请自治区农民画理论研究专家及农民画家开展创作研讨会，出版农民画作品集，为农民画创作奠定坚实的理论基础，为广大农民画爱好者营造一个切磋技艺、创作精品的空间，为各族群众提供修身养性、陶冶情操的精神家园，让米东农民画成为外地游客了解米东旅游资源和人文历史的重要窗口。（五）开办各类艺术培训，充分发挥文化馆的公益性服务职能。</w:t>
            </w:r>
          </w:p>
        </w:tc>
        <w:tc>
          <w:tcPr>
            <w:tcW w:w="4547" w:type="dxa"/>
            <w:gridSpan w:val="4"/>
            <w:tcBorders>
              <w:top w:val="single" w:color="auto" w:sz="4" w:space="0"/>
              <w:left w:val="nil"/>
              <w:bottom w:val="single" w:color="auto" w:sz="4" w:space="0"/>
              <w:right w:val="single" w:color="auto" w:sz="4" w:space="0"/>
            </w:tcBorders>
          </w:tcPr>
          <w:p w14:paraId="4C9CD2DB">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为坚持以习近平新时代中国特色社会主义思想为指导，深入学习贯彻党的二十大和二十届三中全会精神，以铸牢中华民族共同体意识为主线，根据文化馆全民艺术普及和优秀传统文化传承基本职能，全力完成好自治区文化厅年初制定的区（县）级文化馆工作清单，积极拓展工作思路，创新工作举措，推动文化馆事业高质量发展，2024年重点工作绩效目标完成情况如下：一、完善公共文化服务1.丰富节庆活动：举办9场大型活动，如春节晚会、风筝文化节等，惠及6万余人；开展“永远跟党走文艺轻骑兵”演出100余场，线上浏览量30万人次。2.优化公益培训：举办70期培训班，覆盖20至70周岁群众，受益2.5万余人次；专业干部文艺辅导20余次，服务15000余人。3.放场馆服务：9间场馆免费开放，每周开放56小时，22支馆办团队参与惠民演出9场，惠及2万余人。4.提升干部能力：选送9名骨干参加培训班，提升业务能力与创作视野。二、加强非遗保护1.完善名录体系：2024年申报3个项目为第三批米东区级非遗名录，认定7名传承人，另有9项申报在公示期。2.开展保护传承：保护多种非遗项目，开发相关产品，举办培训班14期，搜集整理“新疆花儿”作品，举办交流会和展演活动。3.创新传播活动：组织非遗作品参加多种展览和活动，举办“五进”展演67场次，展出作品5000余件，惠及20万余人。4.推进非遗进校园：在学校挂牌成立传习基地，传承人进校开展活动，参与学生3000余人。三、发挥文化大院作用1.开展丰富活动：文化大院举办活动77场次，惠及2000余人，推动群众文化发展。2.助力团队创建：推荐文化能人参加培训，发挥文化大院服务功能。四、繁荣文艺创作1.书画创作活跃：举办10场书画展，惠及7万余人；多幅作品在各级展览中获奖。2.文艺精品丰收：创编多件舞蹈作品，在比赛中获佳绩；合唱作品和表演唱在相关活动中获奖。</w:t>
            </w:r>
          </w:p>
        </w:tc>
        <w:tc>
          <w:tcPr>
            <w:tcW w:w="284" w:type="dxa"/>
            <w:tcBorders>
              <w:top w:val="nil"/>
              <w:left w:val="nil"/>
              <w:bottom w:val="nil"/>
              <w:right w:val="nil"/>
            </w:tcBorders>
            <w:noWrap/>
            <w:vAlign w:val="center"/>
          </w:tcPr>
          <w:p w14:paraId="3751FC71">
            <w:pPr>
              <w:spacing w:after="0" w:line="240" w:lineRule="auto"/>
              <w:rPr>
                <w:rFonts w:ascii="宋体" w:hAnsi="宋体" w:eastAsia="宋体" w:cs="宋体"/>
                <w:sz w:val="18"/>
                <w:szCs w:val="18"/>
                <w:lang w:eastAsia="zh-CN"/>
              </w:rPr>
            </w:pPr>
          </w:p>
        </w:tc>
      </w:tr>
      <w:tr w14:paraId="527AD8EA">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A4F69AE">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339629A7">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22C8C5A9">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0B539DA5">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701" w:type="dxa"/>
            <w:tcBorders>
              <w:top w:val="nil"/>
              <w:left w:val="nil"/>
              <w:bottom w:val="single" w:color="auto" w:sz="4" w:space="0"/>
              <w:right w:val="single" w:color="auto" w:sz="4" w:space="0"/>
            </w:tcBorders>
            <w:vAlign w:val="center"/>
          </w:tcPr>
          <w:p w14:paraId="21D36DBA">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4725478B">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14:paraId="7C368A91">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720" w:type="dxa"/>
            <w:tcBorders>
              <w:top w:val="nil"/>
              <w:left w:val="nil"/>
              <w:bottom w:val="single" w:color="auto" w:sz="4" w:space="0"/>
              <w:right w:val="single" w:color="auto" w:sz="4" w:space="0"/>
            </w:tcBorders>
            <w:vAlign w:val="center"/>
          </w:tcPr>
          <w:p w14:paraId="536ECC2B">
            <w:pPr>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5C9B7240">
            <w:pPr>
              <w:spacing w:after="0" w:line="240" w:lineRule="auto"/>
              <w:rPr>
                <w:rFonts w:ascii="宋体" w:hAnsi="宋体" w:eastAsia="宋体" w:cs="宋体"/>
                <w:b/>
                <w:bCs/>
                <w:sz w:val="18"/>
                <w:szCs w:val="18"/>
                <w:lang w:eastAsia="zh-CN"/>
              </w:rPr>
            </w:pPr>
          </w:p>
        </w:tc>
      </w:tr>
      <w:tr w14:paraId="64D4E717">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4DE076C7">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37398E1B">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360D652C">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全年开展各类文化活动演出场次</w:t>
            </w:r>
          </w:p>
        </w:tc>
        <w:tc>
          <w:tcPr>
            <w:tcW w:w="1276" w:type="dxa"/>
            <w:tcBorders>
              <w:top w:val="nil"/>
              <w:left w:val="nil"/>
              <w:bottom w:val="single" w:color="auto" w:sz="4" w:space="0"/>
              <w:right w:val="single" w:color="auto" w:sz="4" w:space="0"/>
            </w:tcBorders>
            <w:noWrap/>
            <w:vAlign w:val="center"/>
          </w:tcPr>
          <w:p w14:paraId="3AEF07C6">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&gt;=100场次</w:t>
            </w:r>
          </w:p>
        </w:tc>
        <w:tc>
          <w:tcPr>
            <w:tcW w:w="1701" w:type="dxa"/>
            <w:tcBorders>
              <w:top w:val="nil"/>
              <w:left w:val="nil"/>
              <w:bottom w:val="single" w:color="auto" w:sz="4" w:space="0"/>
              <w:right w:val="single" w:color="auto" w:sz="4" w:space="0"/>
            </w:tcBorders>
            <w:noWrap/>
            <w:vAlign w:val="center"/>
          </w:tcPr>
          <w:p w14:paraId="7F0A1902">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2024年部门工作计划</w:t>
            </w:r>
          </w:p>
        </w:tc>
        <w:tc>
          <w:tcPr>
            <w:tcW w:w="1134" w:type="dxa"/>
            <w:tcBorders>
              <w:top w:val="nil"/>
              <w:left w:val="nil"/>
              <w:bottom w:val="single" w:color="auto" w:sz="4" w:space="0"/>
              <w:right w:val="single" w:color="auto" w:sz="4" w:space="0"/>
            </w:tcBorders>
            <w:noWrap/>
            <w:vAlign w:val="center"/>
          </w:tcPr>
          <w:p w14:paraId="416E5903">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100场次</w:t>
            </w:r>
          </w:p>
        </w:tc>
        <w:tc>
          <w:tcPr>
            <w:tcW w:w="992" w:type="dxa"/>
            <w:tcBorders>
              <w:top w:val="nil"/>
              <w:left w:val="nil"/>
              <w:bottom w:val="single" w:color="auto" w:sz="4" w:space="0"/>
              <w:right w:val="single" w:color="auto" w:sz="4" w:space="0"/>
            </w:tcBorders>
            <w:noWrap/>
            <w:vAlign w:val="center"/>
          </w:tcPr>
          <w:p w14:paraId="4159A886">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40</w:t>
            </w:r>
          </w:p>
        </w:tc>
        <w:tc>
          <w:tcPr>
            <w:tcW w:w="720" w:type="dxa"/>
            <w:tcBorders>
              <w:top w:val="nil"/>
              <w:left w:val="nil"/>
              <w:bottom w:val="single" w:color="auto" w:sz="4" w:space="0"/>
              <w:right w:val="single" w:color="auto" w:sz="4" w:space="0"/>
            </w:tcBorders>
            <w:noWrap/>
            <w:vAlign w:val="center"/>
          </w:tcPr>
          <w:p w14:paraId="27A2EDC1">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40</w:t>
            </w:r>
          </w:p>
        </w:tc>
        <w:tc>
          <w:tcPr>
            <w:tcW w:w="284" w:type="dxa"/>
            <w:tcBorders>
              <w:top w:val="nil"/>
              <w:left w:val="nil"/>
              <w:bottom w:val="nil"/>
              <w:right w:val="nil"/>
            </w:tcBorders>
            <w:noWrap/>
            <w:vAlign w:val="center"/>
          </w:tcPr>
          <w:p w14:paraId="3087CD1F">
            <w:pPr>
              <w:spacing w:after="0" w:line="240" w:lineRule="auto"/>
              <w:jc w:val="center"/>
              <w:rPr>
                <w:rFonts w:ascii="宋体" w:hAnsi="宋体" w:eastAsia="宋体" w:cs="宋体"/>
                <w:sz w:val="18"/>
                <w:szCs w:val="18"/>
                <w:lang w:eastAsia="zh-CN"/>
              </w:rPr>
            </w:pPr>
          </w:p>
        </w:tc>
      </w:tr>
      <w:tr w14:paraId="0265DCBF">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56B24C79">
            <w:pPr>
              <w:spacing w:after="0" w:line="240" w:lineRule="auto"/>
              <w:jc w:val="center"/>
              <w:rPr>
                <w:rFonts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112CA61C">
            <w:pPr>
              <w:spacing w:after="0" w:line="240" w:lineRule="auto"/>
              <w:jc w:val="center"/>
              <w:rPr>
                <w:rFonts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78ED4614">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2024年举办“非遗展”活动</w:t>
            </w:r>
          </w:p>
        </w:tc>
        <w:tc>
          <w:tcPr>
            <w:tcW w:w="1276" w:type="dxa"/>
            <w:tcBorders>
              <w:top w:val="nil"/>
              <w:left w:val="nil"/>
              <w:bottom w:val="single" w:color="auto" w:sz="4" w:space="0"/>
              <w:right w:val="single" w:color="auto" w:sz="4" w:space="0"/>
            </w:tcBorders>
            <w:noWrap/>
            <w:vAlign w:val="center"/>
          </w:tcPr>
          <w:p w14:paraId="41A6592A">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=1次</w:t>
            </w:r>
          </w:p>
        </w:tc>
        <w:tc>
          <w:tcPr>
            <w:tcW w:w="1701" w:type="dxa"/>
            <w:tcBorders>
              <w:top w:val="nil"/>
              <w:left w:val="nil"/>
              <w:bottom w:val="single" w:color="auto" w:sz="4" w:space="0"/>
              <w:right w:val="single" w:color="auto" w:sz="4" w:space="0"/>
            </w:tcBorders>
            <w:noWrap/>
            <w:vAlign w:val="center"/>
          </w:tcPr>
          <w:p w14:paraId="25B76951">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2024年部门工作计划</w:t>
            </w:r>
          </w:p>
        </w:tc>
        <w:tc>
          <w:tcPr>
            <w:tcW w:w="1134" w:type="dxa"/>
            <w:tcBorders>
              <w:top w:val="nil"/>
              <w:left w:val="nil"/>
              <w:bottom w:val="single" w:color="auto" w:sz="4" w:space="0"/>
              <w:right w:val="single" w:color="auto" w:sz="4" w:space="0"/>
            </w:tcBorders>
            <w:noWrap/>
            <w:vAlign w:val="center"/>
          </w:tcPr>
          <w:p w14:paraId="084FFFBA">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1次</w:t>
            </w:r>
          </w:p>
        </w:tc>
        <w:tc>
          <w:tcPr>
            <w:tcW w:w="992" w:type="dxa"/>
            <w:tcBorders>
              <w:top w:val="nil"/>
              <w:left w:val="nil"/>
              <w:bottom w:val="single" w:color="auto" w:sz="4" w:space="0"/>
              <w:right w:val="single" w:color="auto" w:sz="4" w:space="0"/>
            </w:tcBorders>
            <w:noWrap/>
            <w:vAlign w:val="center"/>
          </w:tcPr>
          <w:p w14:paraId="00123800">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nil"/>
              <w:left w:val="nil"/>
              <w:bottom w:val="single" w:color="auto" w:sz="4" w:space="0"/>
              <w:right w:val="single" w:color="auto" w:sz="4" w:space="0"/>
            </w:tcBorders>
            <w:noWrap/>
            <w:vAlign w:val="center"/>
          </w:tcPr>
          <w:p w14:paraId="55FAF8AB">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18229975">
            <w:pPr>
              <w:spacing w:after="0" w:line="240" w:lineRule="auto"/>
              <w:jc w:val="center"/>
              <w:rPr>
                <w:rFonts w:ascii="宋体" w:hAnsi="宋体" w:eastAsia="宋体" w:cs="宋体"/>
                <w:sz w:val="18"/>
                <w:szCs w:val="18"/>
                <w:lang w:eastAsia="zh-CN"/>
              </w:rPr>
            </w:pPr>
          </w:p>
        </w:tc>
      </w:tr>
      <w:tr w14:paraId="567C7B0C">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8D24A8E">
            <w:pPr>
              <w:spacing w:after="0" w:line="240" w:lineRule="auto"/>
              <w:jc w:val="center"/>
              <w:rPr>
                <w:rFonts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5682E1C9">
            <w:pPr>
              <w:spacing w:after="0" w:line="240" w:lineRule="auto"/>
              <w:jc w:val="center"/>
              <w:rPr>
                <w:rFonts w:ascii="宋体" w:hAnsi="宋体" w:eastAsia="宋体" w:cs="宋体"/>
                <w:sz w:val="18"/>
                <w:szCs w:val="18"/>
                <w:lang w:eastAsia="zh-CN"/>
              </w:rPr>
            </w:pPr>
          </w:p>
        </w:tc>
        <w:tc>
          <w:tcPr>
            <w:tcW w:w="1418" w:type="dxa"/>
            <w:tcBorders>
              <w:top w:val="single" w:color="auto" w:sz="4" w:space="0"/>
              <w:left w:val="nil"/>
              <w:bottom w:val="single" w:color="auto" w:sz="4" w:space="0"/>
              <w:right w:val="single" w:color="auto" w:sz="4" w:space="0"/>
            </w:tcBorders>
            <w:noWrap/>
            <w:vAlign w:val="center"/>
          </w:tcPr>
          <w:p w14:paraId="761CAF56">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2024年计划申报非物质文化遗产文化大院</w:t>
            </w:r>
          </w:p>
        </w:tc>
        <w:tc>
          <w:tcPr>
            <w:tcW w:w="1276" w:type="dxa"/>
            <w:tcBorders>
              <w:top w:val="single" w:color="auto" w:sz="4" w:space="0"/>
              <w:left w:val="nil"/>
              <w:bottom w:val="single" w:color="auto" w:sz="4" w:space="0"/>
              <w:right w:val="single" w:color="auto" w:sz="4" w:space="0"/>
            </w:tcBorders>
            <w:noWrap/>
            <w:vAlign w:val="center"/>
          </w:tcPr>
          <w:p w14:paraId="457F75D8">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=2个</w:t>
            </w:r>
          </w:p>
        </w:tc>
        <w:tc>
          <w:tcPr>
            <w:tcW w:w="1701" w:type="dxa"/>
            <w:tcBorders>
              <w:top w:val="single" w:color="auto" w:sz="4" w:space="0"/>
              <w:left w:val="nil"/>
              <w:bottom w:val="single" w:color="auto" w:sz="4" w:space="0"/>
              <w:right w:val="single" w:color="auto" w:sz="4" w:space="0"/>
            </w:tcBorders>
            <w:noWrap/>
            <w:vAlign w:val="center"/>
          </w:tcPr>
          <w:p w14:paraId="45D8C632">
            <w:pPr>
              <w:spacing w:after="0" w:line="240" w:lineRule="auto"/>
              <w:rPr>
                <w:rFonts w:ascii="宋体" w:hAnsi="宋体" w:eastAsia="宋体" w:cs="宋体"/>
                <w:sz w:val="18"/>
                <w:szCs w:val="18"/>
                <w:lang w:eastAsia="zh-CN"/>
              </w:rPr>
            </w:pPr>
            <w:r>
              <w:rPr>
                <w:rFonts w:hint="eastAsia" w:ascii="宋体" w:hAnsi="宋体" w:eastAsia="宋体" w:cs="宋体"/>
                <w:sz w:val="18"/>
                <w:szCs w:val="18"/>
                <w:lang w:eastAsia="zh-CN"/>
              </w:rPr>
              <w:t>2024年部门工作计划</w:t>
            </w:r>
          </w:p>
        </w:tc>
        <w:tc>
          <w:tcPr>
            <w:tcW w:w="1134" w:type="dxa"/>
            <w:tcBorders>
              <w:top w:val="single" w:color="auto" w:sz="4" w:space="0"/>
              <w:left w:val="nil"/>
              <w:bottom w:val="single" w:color="auto" w:sz="4" w:space="0"/>
              <w:right w:val="single" w:color="auto" w:sz="4" w:space="0"/>
            </w:tcBorders>
            <w:noWrap/>
            <w:vAlign w:val="center"/>
          </w:tcPr>
          <w:p w14:paraId="28384721">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0个</w:t>
            </w:r>
          </w:p>
        </w:tc>
        <w:tc>
          <w:tcPr>
            <w:tcW w:w="992" w:type="dxa"/>
            <w:tcBorders>
              <w:top w:val="single" w:color="auto" w:sz="4" w:space="0"/>
              <w:left w:val="nil"/>
              <w:bottom w:val="single" w:color="auto" w:sz="4" w:space="0"/>
              <w:right w:val="single" w:color="auto" w:sz="4" w:space="0"/>
            </w:tcBorders>
            <w:noWrap/>
            <w:vAlign w:val="center"/>
          </w:tcPr>
          <w:p w14:paraId="120D8419">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20</w:t>
            </w:r>
          </w:p>
        </w:tc>
        <w:tc>
          <w:tcPr>
            <w:tcW w:w="720" w:type="dxa"/>
            <w:tcBorders>
              <w:top w:val="single" w:color="auto" w:sz="4" w:space="0"/>
              <w:left w:val="nil"/>
              <w:bottom w:val="single" w:color="auto" w:sz="4" w:space="0"/>
              <w:right w:val="single" w:color="auto" w:sz="4" w:space="0"/>
            </w:tcBorders>
            <w:noWrap/>
            <w:vAlign w:val="center"/>
          </w:tcPr>
          <w:p w14:paraId="2B917505">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0</w:t>
            </w:r>
          </w:p>
        </w:tc>
        <w:tc>
          <w:tcPr>
            <w:tcW w:w="284" w:type="dxa"/>
            <w:tcBorders>
              <w:top w:val="nil"/>
              <w:left w:val="nil"/>
              <w:bottom w:val="nil"/>
              <w:right w:val="nil"/>
            </w:tcBorders>
            <w:noWrap/>
            <w:vAlign w:val="center"/>
          </w:tcPr>
          <w:p w14:paraId="064314AA">
            <w:pPr>
              <w:spacing w:after="0" w:line="240" w:lineRule="auto"/>
              <w:jc w:val="center"/>
              <w:rPr>
                <w:rFonts w:ascii="宋体" w:hAnsi="宋体" w:eastAsia="宋体" w:cs="宋体"/>
                <w:sz w:val="18"/>
                <w:szCs w:val="18"/>
                <w:lang w:eastAsia="zh-CN"/>
              </w:rPr>
            </w:pPr>
          </w:p>
        </w:tc>
      </w:tr>
      <w:tr w14:paraId="128E5272">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00896B88">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14:paraId="32EEF0A9">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single" w:color="auto" w:sz="4" w:space="0"/>
              <w:left w:val="nil"/>
              <w:bottom w:val="single" w:color="auto" w:sz="4" w:space="0"/>
              <w:right w:val="single" w:color="auto" w:sz="4" w:space="0"/>
            </w:tcBorders>
            <w:noWrap/>
            <w:vAlign w:val="center"/>
          </w:tcPr>
          <w:p w14:paraId="13935C57">
            <w:pPr>
              <w:spacing w:after="0" w:line="240" w:lineRule="auto"/>
              <w:jc w:val="center"/>
              <w:rPr>
                <w:rFonts w:ascii="宋体" w:hAnsi="宋体" w:eastAsia="宋体" w:cs="宋体"/>
                <w:sz w:val="18"/>
                <w:szCs w:val="18"/>
                <w:lang w:eastAsia="zh-CN"/>
              </w:rPr>
            </w:pPr>
            <w:r>
              <w:rPr>
                <w:rFonts w:hint="eastAsia" w:ascii="宋体" w:hAnsi="宋体" w:eastAsia="宋体" w:cs="宋体"/>
                <w:sz w:val="18"/>
                <w:szCs w:val="18"/>
                <w:lang w:eastAsia="zh-CN"/>
              </w:rPr>
              <w:t>80</w:t>
            </w:r>
          </w:p>
        </w:tc>
        <w:tc>
          <w:tcPr>
            <w:tcW w:w="284" w:type="dxa"/>
            <w:tcBorders>
              <w:top w:val="nil"/>
              <w:left w:val="nil"/>
              <w:bottom w:val="nil"/>
              <w:right w:val="nil"/>
            </w:tcBorders>
            <w:noWrap/>
            <w:vAlign w:val="center"/>
          </w:tcPr>
          <w:p w14:paraId="174A2586">
            <w:pPr>
              <w:spacing w:after="0" w:line="240" w:lineRule="auto"/>
              <w:jc w:val="center"/>
              <w:rPr>
                <w:rFonts w:ascii="宋体" w:hAnsi="宋体" w:eastAsia="宋体" w:cs="宋体"/>
                <w:sz w:val="18"/>
                <w:szCs w:val="18"/>
                <w:lang w:eastAsia="zh-CN"/>
              </w:rPr>
            </w:pPr>
          </w:p>
        </w:tc>
      </w:tr>
    </w:tbl>
    <w:p w14:paraId="78FDA98D">
      <w:pPr>
        <w:widowControl w:val="0"/>
        <w:spacing w:after="0" w:line="240" w:lineRule="auto"/>
        <w:jc w:val="center"/>
        <w:rPr>
          <w:rFonts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65E8F61">
      <w:pPr>
        <w:widowControl w:val="0"/>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166B12CC">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4AF55ED">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5804F3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乌财科教【2023】151号-提前下达2024年国家非物质文化遗产保护专项资金</w:t>
            </w:r>
          </w:p>
        </w:tc>
      </w:tr>
      <w:tr w14:paraId="5FC30F3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4BCE996">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7E59F249">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米东区文化体育广播电视和旅游局（文物局）</w:t>
            </w:r>
          </w:p>
        </w:tc>
        <w:tc>
          <w:tcPr>
            <w:tcW w:w="1275" w:type="dxa"/>
            <w:gridSpan w:val="2"/>
            <w:tcBorders>
              <w:top w:val="nil"/>
              <w:left w:val="nil"/>
              <w:bottom w:val="single" w:color="auto" w:sz="4" w:space="0"/>
              <w:right w:val="single" w:color="000000" w:sz="4" w:space="0"/>
            </w:tcBorders>
            <w:vAlign w:val="center"/>
          </w:tcPr>
          <w:p w14:paraId="5BB0CFB5">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291D2FE4">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乌鲁木齐市米东区文化馆</w:t>
            </w:r>
          </w:p>
        </w:tc>
      </w:tr>
      <w:tr w14:paraId="4A02299A">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592AFB68">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0FBA37D">
            <w:pPr>
              <w:spacing w:after="0" w:line="240" w:lineRule="auto"/>
              <w:jc w:val="center"/>
              <w:rPr>
                <w:rFonts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30BBE307">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33015D9C">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670E9E2">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44C9767E">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7FD38F1E">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72267FCF">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67EFE45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002C718">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159CCEDE">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3BB8EAB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38.33</w:t>
            </w:r>
          </w:p>
        </w:tc>
        <w:tc>
          <w:tcPr>
            <w:tcW w:w="1125" w:type="dxa"/>
            <w:tcBorders>
              <w:top w:val="nil"/>
              <w:left w:val="nil"/>
              <w:bottom w:val="single" w:color="auto" w:sz="4" w:space="0"/>
              <w:right w:val="single" w:color="auto" w:sz="4" w:space="0"/>
            </w:tcBorders>
            <w:noWrap/>
            <w:vAlign w:val="center"/>
          </w:tcPr>
          <w:p w14:paraId="401281E5">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38.33</w:t>
            </w:r>
          </w:p>
        </w:tc>
        <w:tc>
          <w:tcPr>
            <w:tcW w:w="1275" w:type="dxa"/>
            <w:gridSpan w:val="2"/>
            <w:tcBorders>
              <w:top w:val="single" w:color="auto" w:sz="4" w:space="0"/>
              <w:left w:val="nil"/>
              <w:bottom w:val="single" w:color="auto" w:sz="4" w:space="0"/>
              <w:right w:val="single" w:color="000000" w:sz="4" w:space="0"/>
            </w:tcBorders>
            <w:noWrap/>
            <w:vAlign w:val="center"/>
          </w:tcPr>
          <w:p w14:paraId="210E063C">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38.33</w:t>
            </w:r>
          </w:p>
        </w:tc>
        <w:tc>
          <w:tcPr>
            <w:tcW w:w="1134" w:type="dxa"/>
            <w:gridSpan w:val="2"/>
            <w:tcBorders>
              <w:top w:val="single" w:color="auto" w:sz="4" w:space="0"/>
              <w:left w:val="nil"/>
              <w:bottom w:val="single" w:color="auto" w:sz="4" w:space="0"/>
              <w:right w:val="single" w:color="auto" w:sz="4" w:space="0"/>
            </w:tcBorders>
            <w:vAlign w:val="center"/>
          </w:tcPr>
          <w:p w14:paraId="3211EFA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7524D5C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275" w:type="dxa"/>
            <w:tcBorders>
              <w:top w:val="nil"/>
              <w:left w:val="nil"/>
              <w:bottom w:val="single" w:color="auto" w:sz="4" w:space="0"/>
              <w:right w:val="single" w:color="auto" w:sz="4" w:space="0"/>
            </w:tcBorders>
            <w:vAlign w:val="center"/>
          </w:tcPr>
          <w:p w14:paraId="212A1EE4">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10.00分</w:t>
            </w:r>
          </w:p>
        </w:tc>
      </w:tr>
      <w:tr w14:paraId="41281A64">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918FEA7">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4EEE4D52">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271917FC">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2.50</w:t>
            </w:r>
          </w:p>
        </w:tc>
        <w:tc>
          <w:tcPr>
            <w:tcW w:w="1125" w:type="dxa"/>
            <w:tcBorders>
              <w:top w:val="nil"/>
              <w:left w:val="nil"/>
              <w:bottom w:val="single" w:color="auto" w:sz="4" w:space="0"/>
              <w:right w:val="single" w:color="auto" w:sz="4" w:space="0"/>
            </w:tcBorders>
            <w:noWrap/>
            <w:vAlign w:val="center"/>
          </w:tcPr>
          <w:p w14:paraId="08B9E62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2.50</w:t>
            </w:r>
          </w:p>
        </w:tc>
        <w:tc>
          <w:tcPr>
            <w:tcW w:w="1275" w:type="dxa"/>
            <w:gridSpan w:val="2"/>
            <w:tcBorders>
              <w:top w:val="single" w:color="auto" w:sz="4" w:space="0"/>
              <w:left w:val="nil"/>
              <w:bottom w:val="single" w:color="auto" w:sz="4" w:space="0"/>
              <w:right w:val="single" w:color="000000" w:sz="4" w:space="0"/>
            </w:tcBorders>
            <w:noWrap/>
            <w:vAlign w:val="center"/>
          </w:tcPr>
          <w:p w14:paraId="5EC03F10">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2.50</w:t>
            </w:r>
          </w:p>
        </w:tc>
        <w:tc>
          <w:tcPr>
            <w:tcW w:w="1134" w:type="dxa"/>
            <w:gridSpan w:val="2"/>
            <w:tcBorders>
              <w:top w:val="single" w:color="auto" w:sz="4" w:space="0"/>
              <w:left w:val="nil"/>
              <w:bottom w:val="single" w:color="auto" w:sz="4" w:space="0"/>
              <w:right w:val="single" w:color="auto" w:sz="4" w:space="0"/>
            </w:tcBorders>
            <w:vAlign w:val="center"/>
          </w:tcPr>
          <w:p w14:paraId="1040262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08054C44">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4E4B7DDB">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65D418AE">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A895462">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4176F637">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0BD061D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35.83</w:t>
            </w:r>
          </w:p>
        </w:tc>
        <w:tc>
          <w:tcPr>
            <w:tcW w:w="1125" w:type="dxa"/>
            <w:tcBorders>
              <w:top w:val="nil"/>
              <w:left w:val="nil"/>
              <w:bottom w:val="single" w:color="auto" w:sz="4" w:space="0"/>
              <w:right w:val="single" w:color="auto" w:sz="4" w:space="0"/>
            </w:tcBorders>
            <w:noWrap/>
            <w:vAlign w:val="center"/>
          </w:tcPr>
          <w:p w14:paraId="54454D7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35.83</w:t>
            </w:r>
          </w:p>
        </w:tc>
        <w:tc>
          <w:tcPr>
            <w:tcW w:w="1275" w:type="dxa"/>
            <w:gridSpan w:val="2"/>
            <w:tcBorders>
              <w:top w:val="single" w:color="auto" w:sz="4" w:space="0"/>
              <w:left w:val="nil"/>
              <w:bottom w:val="single" w:color="auto" w:sz="4" w:space="0"/>
              <w:right w:val="single" w:color="000000" w:sz="4" w:space="0"/>
            </w:tcBorders>
            <w:noWrap/>
            <w:vAlign w:val="center"/>
          </w:tcPr>
          <w:p w14:paraId="01BAA7F4">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35.83</w:t>
            </w:r>
          </w:p>
        </w:tc>
        <w:tc>
          <w:tcPr>
            <w:tcW w:w="1134" w:type="dxa"/>
            <w:gridSpan w:val="2"/>
            <w:tcBorders>
              <w:top w:val="single" w:color="auto" w:sz="4" w:space="0"/>
              <w:left w:val="nil"/>
              <w:bottom w:val="single" w:color="auto" w:sz="4" w:space="0"/>
              <w:right w:val="single" w:color="auto" w:sz="4" w:space="0"/>
            </w:tcBorders>
            <w:vAlign w:val="center"/>
          </w:tcPr>
          <w:p w14:paraId="70C9F28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0E6B5DA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47F38F7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60249E83">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4C3B17E">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327CDFED">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7BA766ED">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3C343BDB">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7E1F0B6">
            <w:pPr>
              <w:spacing w:after="0" w:line="240" w:lineRule="auto"/>
              <w:rPr>
                <w:rFonts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31DC7040">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2024年计划举办非遗培训班至少1次，开展非遗活动不少于2次，发放传承人补助2.5万元，继续完成“花儿”非遗文化创作。通过上述活动，激发群众对非遗文化的创作热情，培养非遗传承人，接班人。</w:t>
            </w:r>
          </w:p>
        </w:tc>
        <w:tc>
          <w:tcPr>
            <w:tcW w:w="4677" w:type="dxa"/>
            <w:gridSpan w:val="7"/>
            <w:tcBorders>
              <w:top w:val="single" w:color="auto" w:sz="4" w:space="0"/>
              <w:left w:val="nil"/>
              <w:bottom w:val="single" w:color="auto" w:sz="4" w:space="0"/>
              <w:right w:val="single" w:color="000000" w:sz="4" w:space="0"/>
            </w:tcBorders>
          </w:tcPr>
          <w:p w14:paraId="70CB2415">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实际举办非遗培训班1次，1次培训共包括三期。开展非遗活动2次，分别为新疆花儿巡演活动、新疆花儿传承与发展交流会。发放传承人补助2.5万元，继续完成“花儿”非遗文化创作。通过上述活动，激发群众对非遗文化的创作热情，加强非遗保护力度。</w:t>
            </w:r>
          </w:p>
        </w:tc>
      </w:tr>
      <w:tr w14:paraId="248E2E52">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3AE90EB6">
            <w:pPr>
              <w:spacing w:after="0" w:line="240" w:lineRule="auto"/>
              <w:jc w:val="center"/>
              <w:rPr>
                <w:rFonts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19E620E7">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2C890E05">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20EB8FF7">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07FEA869">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4F8F8807">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5062641C">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69A771C4">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57C4661C">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3C007BB">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7D93B3B6">
            <w:pPr>
              <w:spacing w:after="0" w:line="240" w:lineRule="auto"/>
              <w:rPr>
                <w:rFonts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2662489A">
            <w:pPr>
              <w:spacing w:after="0" w:line="240" w:lineRule="auto"/>
              <w:rPr>
                <w:rFonts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2387FC9C">
            <w:pPr>
              <w:spacing w:after="0" w:line="240" w:lineRule="auto"/>
              <w:rPr>
                <w:rFonts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32F2BD25">
            <w:pPr>
              <w:spacing w:after="0" w:line="240" w:lineRule="auto"/>
              <w:rPr>
                <w:rFonts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254F116E">
            <w:pPr>
              <w:spacing w:after="0" w:line="240" w:lineRule="auto"/>
              <w:rPr>
                <w:rFonts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655C6C65">
            <w:pPr>
              <w:spacing w:after="0" w:line="240" w:lineRule="auto"/>
              <w:rPr>
                <w:rFonts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5B74AD1">
            <w:pPr>
              <w:spacing w:after="0" w:line="240" w:lineRule="auto"/>
              <w:rPr>
                <w:rFonts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03BDEB87">
            <w:pPr>
              <w:spacing w:after="0" w:line="240" w:lineRule="auto"/>
              <w:rPr>
                <w:rFonts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280144FB">
            <w:pPr>
              <w:spacing w:after="0" w:line="240" w:lineRule="auto"/>
              <w:rPr>
                <w:rFonts w:ascii="宋体" w:hAnsi="宋体" w:eastAsia="宋体" w:cs="宋体"/>
                <w:color w:val="000000"/>
                <w:sz w:val="18"/>
                <w:szCs w:val="18"/>
                <w:lang w:eastAsia="zh-CN"/>
              </w:rPr>
            </w:pPr>
          </w:p>
        </w:tc>
      </w:tr>
      <w:tr w14:paraId="5562E067">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08F573C5">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4B66F015">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vMerge w:val="restart"/>
            <w:tcBorders>
              <w:top w:val="nil"/>
              <w:left w:val="nil"/>
              <w:right w:val="single" w:color="auto" w:sz="4" w:space="0"/>
            </w:tcBorders>
            <w:vAlign w:val="center"/>
          </w:tcPr>
          <w:p w14:paraId="4715333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135A99CD">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国家级非遗代表性传承人数量</w:t>
            </w:r>
          </w:p>
        </w:tc>
        <w:tc>
          <w:tcPr>
            <w:tcW w:w="1125" w:type="dxa"/>
            <w:tcBorders>
              <w:top w:val="nil"/>
              <w:left w:val="nil"/>
              <w:bottom w:val="single" w:color="auto" w:sz="4" w:space="0"/>
              <w:right w:val="single" w:color="auto" w:sz="4" w:space="0"/>
            </w:tcBorders>
            <w:vAlign w:val="center"/>
          </w:tcPr>
          <w:p w14:paraId="15CB18A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1229" w:type="dxa"/>
            <w:tcBorders>
              <w:top w:val="nil"/>
              <w:left w:val="nil"/>
              <w:bottom w:val="single" w:color="auto" w:sz="4" w:space="0"/>
              <w:right w:val="single" w:color="auto" w:sz="4" w:space="0"/>
            </w:tcBorders>
            <w:vAlign w:val="center"/>
          </w:tcPr>
          <w:p w14:paraId="2B7C9315">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755" w:type="dxa"/>
            <w:gridSpan w:val="2"/>
            <w:tcBorders>
              <w:top w:val="single" w:color="auto" w:sz="4" w:space="0"/>
              <w:left w:val="nil"/>
              <w:bottom w:val="single" w:color="auto" w:sz="4" w:space="0"/>
              <w:right w:val="single" w:color="000000" w:sz="4" w:space="0"/>
            </w:tcBorders>
            <w:vAlign w:val="center"/>
          </w:tcPr>
          <w:p w14:paraId="6523681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709" w:type="dxa"/>
            <w:gridSpan w:val="2"/>
            <w:tcBorders>
              <w:top w:val="single" w:color="auto" w:sz="4" w:space="0"/>
              <w:left w:val="nil"/>
              <w:bottom w:val="single" w:color="auto" w:sz="4" w:space="0"/>
              <w:right w:val="single" w:color="000000" w:sz="4" w:space="0"/>
            </w:tcBorders>
            <w:vAlign w:val="center"/>
          </w:tcPr>
          <w:p w14:paraId="1A5E186C">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1984" w:type="dxa"/>
            <w:gridSpan w:val="2"/>
            <w:tcBorders>
              <w:top w:val="single" w:color="auto" w:sz="4" w:space="0"/>
              <w:left w:val="nil"/>
              <w:bottom w:val="single" w:color="auto" w:sz="4" w:space="0"/>
              <w:right w:val="single" w:color="auto" w:sz="4" w:space="0"/>
            </w:tcBorders>
            <w:vAlign w:val="center"/>
          </w:tcPr>
          <w:p w14:paraId="26DBB2B0">
            <w:pPr>
              <w:spacing w:after="0" w:line="240" w:lineRule="auto"/>
              <w:jc w:val="center"/>
              <w:rPr>
                <w:rFonts w:ascii="宋体" w:hAnsi="宋体" w:eastAsia="宋体" w:cs="宋体"/>
                <w:color w:val="000000"/>
                <w:sz w:val="18"/>
                <w:szCs w:val="18"/>
                <w:lang w:eastAsia="zh-CN"/>
              </w:rPr>
            </w:pPr>
          </w:p>
        </w:tc>
      </w:tr>
      <w:tr w14:paraId="622DAE6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D47C0C9">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54BBB20A">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3FAA0D5D">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79CF798E">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开展非遗活动次数</w:t>
            </w:r>
          </w:p>
        </w:tc>
        <w:tc>
          <w:tcPr>
            <w:tcW w:w="1125" w:type="dxa"/>
            <w:tcBorders>
              <w:top w:val="nil"/>
              <w:left w:val="nil"/>
              <w:bottom w:val="single" w:color="auto" w:sz="4" w:space="0"/>
              <w:right w:val="single" w:color="auto" w:sz="4" w:space="0"/>
            </w:tcBorders>
            <w:vAlign w:val="center"/>
          </w:tcPr>
          <w:p w14:paraId="2777357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&gt;=2次</w:t>
            </w:r>
          </w:p>
        </w:tc>
        <w:tc>
          <w:tcPr>
            <w:tcW w:w="1229" w:type="dxa"/>
            <w:tcBorders>
              <w:top w:val="nil"/>
              <w:left w:val="nil"/>
              <w:bottom w:val="single" w:color="auto" w:sz="4" w:space="0"/>
              <w:right w:val="single" w:color="auto" w:sz="4" w:space="0"/>
            </w:tcBorders>
            <w:vAlign w:val="center"/>
          </w:tcPr>
          <w:p w14:paraId="234A2FC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2次</w:t>
            </w:r>
          </w:p>
        </w:tc>
        <w:tc>
          <w:tcPr>
            <w:tcW w:w="755" w:type="dxa"/>
            <w:gridSpan w:val="2"/>
            <w:tcBorders>
              <w:top w:val="single" w:color="auto" w:sz="4" w:space="0"/>
              <w:left w:val="nil"/>
              <w:bottom w:val="single" w:color="auto" w:sz="4" w:space="0"/>
              <w:right w:val="single" w:color="000000" w:sz="4" w:space="0"/>
            </w:tcBorders>
            <w:vAlign w:val="center"/>
          </w:tcPr>
          <w:p w14:paraId="7018C00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008CF19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3A1C13BB">
            <w:pPr>
              <w:spacing w:after="0" w:line="240" w:lineRule="auto"/>
              <w:jc w:val="center"/>
              <w:rPr>
                <w:rFonts w:ascii="宋体" w:hAnsi="宋体" w:eastAsia="宋体" w:cs="宋体"/>
                <w:color w:val="000000"/>
                <w:sz w:val="18"/>
                <w:szCs w:val="18"/>
                <w:lang w:eastAsia="zh-CN"/>
              </w:rPr>
            </w:pPr>
          </w:p>
        </w:tc>
      </w:tr>
      <w:tr w14:paraId="4ED4F9C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D89411A">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65932A15">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59C244D7">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0CD7C473">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开展非遗培训班次数</w:t>
            </w:r>
          </w:p>
        </w:tc>
        <w:tc>
          <w:tcPr>
            <w:tcW w:w="1125" w:type="dxa"/>
            <w:tcBorders>
              <w:top w:val="nil"/>
              <w:left w:val="nil"/>
              <w:bottom w:val="single" w:color="auto" w:sz="4" w:space="0"/>
              <w:right w:val="single" w:color="auto" w:sz="4" w:space="0"/>
            </w:tcBorders>
            <w:vAlign w:val="center"/>
          </w:tcPr>
          <w:p w14:paraId="4C98292C">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=1次</w:t>
            </w:r>
          </w:p>
        </w:tc>
        <w:tc>
          <w:tcPr>
            <w:tcW w:w="1229" w:type="dxa"/>
            <w:tcBorders>
              <w:top w:val="nil"/>
              <w:left w:val="nil"/>
              <w:bottom w:val="single" w:color="auto" w:sz="4" w:space="0"/>
              <w:right w:val="single" w:color="auto" w:sz="4" w:space="0"/>
            </w:tcBorders>
            <w:vAlign w:val="center"/>
          </w:tcPr>
          <w:p w14:paraId="04705C13">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1次</w:t>
            </w:r>
          </w:p>
        </w:tc>
        <w:tc>
          <w:tcPr>
            <w:tcW w:w="755" w:type="dxa"/>
            <w:gridSpan w:val="2"/>
            <w:tcBorders>
              <w:top w:val="single" w:color="auto" w:sz="4" w:space="0"/>
              <w:left w:val="nil"/>
              <w:bottom w:val="single" w:color="auto" w:sz="4" w:space="0"/>
              <w:right w:val="single" w:color="000000" w:sz="4" w:space="0"/>
            </w:tcBorders>
            <w:vAlign w:val="center"/>
          </w:tcPr>
          <w:p w14:paraId="6588E545">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FD073E3">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0AFAB3EB">
            <w:pPr>
              <w:spacing w:after="0" w:line="240" w:lineRule="auto"/>
              <w:jc w:val="center"/>
              <w:rPr>
                <w:rFonts w:ascii="宋体" w:hAnsi="宋体" w:eastAsia="宋体" w:cs="宋体"/>
                <w:color w:val="000000"/>
                <w:sz w:val="18"/>
                <w:szCs w:val="18"/>
                <w:lang w:eastAsia="zh-CN"/>
              </w:rPr>
            </w:pPr>
          </w:p>
        </w:tc>
      </w:tr>
      <w:tr w14:paraId="2333264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B7F95CB">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48A27DAA">
            <w:pPr>
              <w:spacing w:after="0" w:line="240" w:lineRule="auto"/>
              <w:jc w:val="center"/>
              <w:rPr>
                <w:rFonts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1CBBB256">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67B53CF8">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资金使用合规率</w:t>
            </w:r>
          </w:p>
        </w:tc>
        <w:tc>
          <w:tcPr>
            <w:tcW w:w="1125" w:type="dxa"/>
            <w:tcBorders>
              <w:top w:val="nil"/>
              <w:left w:val="nil"/>
              <w:bottom w:val="single" w:color="auto" w:sz="4" w:space="0"/>
              <w:right w:val="single" w:color="auto" w:sz="4" w:space="0"/>
            </w:tcBorders>
            <w:vAlign w:val="center"/>
          </w:tcPr>
          <w:p w14:paraId="2EF0EAFC">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6B7386C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4A07950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1FEE1C9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0CCCADC5">
            <w:pPr>
              <w:spacing w:after="0" w:line="240" w:lineRule="auto"/>
              <w:jc w:val="center"/>
              <w:rPr>
                <w:rFonts w:ascii="宋体" w:hAnsi="宋体" w:eastAsia="宋体" w:cs="宋体"/>
                <w:color w:val="000000"/>
                <w:sz w:val="18"/>
                <w:szCs w:val="18"/>
                <w:lang w:eastAsia="zh-CN"/>
              </w:rPr>
            </w:pPr>
          </w:p>
        </w:tc>
      </w:tr>
      <w:tr w14:paraId="7D7B6EA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C501EBF">
            <w:pPr>
              <w:spacing w:after="0" w:line="240" w:lineRule="auto"/>
              <w:rPr>
                <w:rFonts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28B884FE">
            <w:pPr>
              <w:spacing w:after="0" w:line="240" w:lineRule="auto"/>
              <w:jc w:val="center"/>
              <w:rPr>
                <w:rFonts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49D2C4A3">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35CE7C2E">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资金支付及时率</w:t>
            </w:r>
          </w:p>
        </w:tc>
        <w:tc>
          <w:tcPr>
            <w:tcW w:w="1125" w:type="dxa"/>
            <w:tcBorders>
              <w:top w:val="nil"/>
              <w:left w:val="nil"/>
              <w:bottom w:val="single" w:color="auto" w:sz="4" w:space="0"/>
              <w:right w:val="single" w:color="auto" w:sz="4" w:space="0"/>
            </w:tcBorders>
            <w:vAlign w:val="center"/>
          </w:tcPr>
          <w:p w14:paraId="4D7EB7D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&gt;=60%</w:t>
            </w:r>
          </w:p>
        </w:tc>
        <w:tc>
          <w:tcPr>
            <w:tcW w:w="1229" w:type="dxa"/>
            <w:tcBorders>
              <w:top w:val="nil"/>
              <w:left w:val="nil"/>
              <w:bottom w:val="single" w:color="auto" w:sz="4" w:space="0"/>
              <w:right w:val="single" w:color="auto" w:sz="4" w:space="0"/>
            </w:tcBorders>
            <w:vAlign w:val="center"/>
          </w:tcPr>
          <w:p w14:paraId="115EB53B">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795B45E9">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709" w:type="dxa"/>
            <w:gridSpan w:val="2"/>
            <w:tcBorders>
              <w:top w:val="single" w:color="auto" w:sz="4" w:space="0"/>
              <w:left w:val="nil"/>
              <w:bottom w:val="single" w:color="auto" w:sz="4" w:space="0"/>
              <w:right w:val="single" w:color="000000" w:sz="4" w:space="0"/>
            </w:tcBorders>
            <w:vAlign w:val="center"/>
          </w:tcPr>
          <w:p w14:paraId="3D9605A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1984" w:type="dxa"/>
            <w:gridSpan w:val="2"/>
            <w:tcBorders>
              <w:top w:val="single" w:color="auto" w:sz="4" w:space="0"/>
              <w:left w:val="nil"/>
              <w:bottom w:val="single" w:color="auto" w:sz="4" w:space="0"/>
              <w:right w:val="single" w:color="auto" w:sz="4" w:space="0"/>
            </w:tcBorders>
            <w:vAlign w:val="center"/>
          </w:tcPr>
          <w:p w14:paraId="3F6414B6">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资金支付及时率目标指标值在设定时出于谨慎考虑设了&gt;=60%，实际完成效果良好，达到了100%的及时率。以后将科学合理规划，避免此类偏差。</w:t>
            </w:r>
          </w:p>
        </w:tc>
      </w:tr>
      <w:tr w14:paraId="0886E66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3518D30">
            <w:pPr>
              <w:spacing w:after="0" w:line="240" w:lineRule="auto"/>
              <w:rPr>
                <w:rFonts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6AA20FA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vMerge w:val="restart"/>
            <w:tcBorders>
              <w:top w:val="nil"/>
              <w:left w:val="nil"/>
              <w:right w:val="single" w:color="auto" w:sz="4" w:space="0"/>
            </w:tcBorders>
            <w:vAlign w:val="center"/>
          </w:tcPr>
          <w:p w14:paraId="66404440">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4A874B61">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加强非遗保护力度</w:t>
            </w:r>
          </w:p>
        </w:tc>
        <w:tc>
          <w:tcPr>
            <w:tcW w:w="1125" w:type="dxa"/>
            <w:tcBorders>
              <w:top w:val="nil"/>
              <w:left w:val="nil"/>
              <w:bottom w:val="single" w:color="auto" w:sz="4" w:space="0"/>
              <w:right w:val="single" w:color="auto" w:sz="4" w:space="0"/>
            </w:tcBorders>
            <w:vAlign w:val="center"/>
          </w:tcPr>
          <w:p w14:paraId="436392F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有效加强</w:t>
            </w:r>
          </w:p>
        </w:tc>
        <w:tc>
          <w:tcPr>
            <w:tcW w:w="1229" w:type="dxa"/>
            <w:tcBorders>
              <w:top w:val="nil"/>
              <w:left w:val="nil"/>
              <w:bottom w:val="single" w:color="auto" w:sz="4" w:space="0"/>
              <w:right w:val="single" w:color="auto" w:sz="4" w:space="0"/>
            </w:tcBorders>
            <w:vAlign w:val="center"/>
          </w:tcPr>
          <w:p w14:paraId="5E09050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1B1404A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6A03BD08">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2C77BC7E">
            <w:pPr>
              <w:spacing w:after="0" w:line="240" w:lineRule="auto"/>
              <w:jc w:val="center"/>
              <w:rPr>
                <w:rFonts w:ascii="宋体" w:hAnsi="宋体" w:eastAsia="宋体" w:cs="宋体"/>
                <w:color w:val="000000"/>
                <w:sz w:val="18"/>
                <w:szCs w:val="18"/>
                <w:lang w:eastAsia="zh-CN"/>
              </w:rPr>
            </w:pPr>
          </w:p>
        </w:tc>
      </w:tr>
      <w:tr w14:paraId="793D42E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A427D00">
            <w:pPr>
              <w:spacing w:after="0" w:line="240" w:lineRule="auto"/>
              <w:rPr>
                <w:rFonts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23C23295">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6C1B3FD7">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6C6D0068">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激发群众对非遗文化的创作热情</w:t>
            </w:r>
          </w:p>
        </w:tc>
        <w:tc>
          <w:tcPr>
            <w:tcW w:w="1125" w:type="dxa"/>
            <w:tcBorders>
              <w:top w:val="nil"/>
              <w:left w:val="nil"/>
              <w:bottom w:val="single" w:color="auto" w:sz="4" w:space="0"/>
              <w:right w:val="single" w:color="auto" w:sz="4" w:space="0"/>
            </w:tcBorders>
            <w:vAlign w:val="center"/>
          </w:tcPr>
          <w:p w14:paraId="2CB585C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有效激发</w:t>
            </w:r>
          </w:p>
        </w:tc>
        <w:tc>
          <w:tcPr>
            <w:tcW w:w="1229" w:type="dxa"/>
            <w:tcBorders>
              <w:top w:val="nil"/>
              <w:left w:val="nil"/>
              <w:bottom w:val="single" w:color="auto" w:sz="4" w:space="0"/>
              <w:right w:val="single" w:color="auto" w:sz="4" w:space="0"/>
            </w:tcBorders>
            <w:vAlign w:val="center"/>
          </w:tcPr>
          <w:p w14:paraId="4ADAD23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47BFE338">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277CC79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7902BDEE">
            <w:pPr>
              <w:spacing w:after="0" w:line="240" w:lineRule="auto"/>
              <w:jc w:val="center"/>
              <w:rPr>
                <w:rFonts w:ascii="宋体" w:hAnsi="宋体" w:eastAsia="宋体" w:cs="宋体"/>
                <w:color w:val="000000"/>
                <w:sz w:val="18"/>
                <w:szCs w:val="18"/>
                <w:lang w:eastAsia="zh-CN"/>
              </w:rPr>
            </w:pPr>
          </w:p>
        </w:tc>
      </w:tr>
      <w:tr w14:paraId="5C91DDEA">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3E3B8F79">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0DFBF7CA">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165DCA44">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100.00分</w:t>
            </w:r>
          </w:p>
        </w:tc>
        <w:tc>
          <w:tcPr>
            <w:tcW w:w="1984" w:type="dxa"/>
            <w:gridSpan w:val="2"/>
            <w:tcBorders>
              <w:top w:val="single" w:color="auto" w:sz="4" w:space="0"/>
              <w:left w:val="nil"/>
              <w:bottom w:val="single" w:color="auto" w:sz="4" w:space="0"/>
              <w:right w:val="single" w:color="auto" w:sz="4" w:space="0"/>
            </w:tcBorders>
            <w:vAlign w:val="center"/>
          </w:tcPr>
          <w:p w14:paraId="272549ED">
            <w:pPr>
              <w:spacing w:after="0" w:line="240" w:lineRule="auto"/>
              <w:jc w:val="center"/>
              <w:rPr>
                <w:rFonts w:ascii="宋体" w:hAnsi="宋体" w:eastAsia="宋体" w:cs="宋体"/>
                <w:b/>
                <w:bCs/>
                <w:color w:val="000000"/>
                <w:sz w:val="18"/>
                <w:szCs w:val="18"/>
                <w:lang w:eastAsia="zh-CN"/>
              </w:rPr>
            </w:pPr>
          </w:p>
        </w:tc>
      </w:tr>
    </w:tbl>
    <w:p w14:paraId="62FB4B86">
      <w:pPr>
        <w:widowControl w:val="0"/>
        <w:spacing w:after="0" w:line="240" w:lineRule="auto"/>
        <w:jc w:val="center"/>
        <w:rPr>
          <w:rFonts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5D8D34A3">
      <w:pPr>
        <w:widowControl w:val="0"/>
        <w:spacing w:after="0" w:line="240" w:lineRule="auto"/>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6F6FCA75">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D292CB5">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7FA4C6E9">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乌财科教【2023】152号-提前下达2024年自治区非物质文化遗产保护专项资金</w:t>
            </w:r>
          </w:p>
        </w:tc>
      </w:tr>
      <w:tr w14:paraId="64E00B6F">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EB6E769">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39D8793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乌鲁木齐市米东区文化体育广播电视和旅游局（文物局）</w:t>
            </w:r>
          </w:p>
        </w:tc>
        <w:tc>
          <w:tcPr>
            <w:tcW w:w="1275" w:type="dxa"/>
            <w:gridSpan w:val="2"/>
            <w:tcBorders>
              <w:top w:val="nil"/>
              <w:left w:val="nil"/>
              <w:bottom w:val="single" w:color="auto" w:sz="4" w:space="0"/>
              <w:right w:val="single" w:color="000000" w:sz="4" w:space="0"/>
            </w:tcBorders>
            <w:vAlign w:val="center"/>
          </w:tcPr>
          <w:p w14:paraId="40AE22AB">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7374DA1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乌鲁木齐市米东区文化馆</w:t>
            </w:r>
          </w:p>
        </w:tc>
      </w:tr>
      <w:tr w14:paraId="202BE569">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02238210">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27414009">
            <w:pPr>
              <w:spacing w:after="0" w:line="240" w:lineRule="auto"/>
              <w:jc w:val="center"/>
              <w:rPr>
                <w:rFonts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0D4250CC">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44225D14">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7559A03A">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0A64DAB8">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5A276BE1">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356288EE">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2190C9E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F0CA38B">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32EAE064">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77AF2E7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25" w:type="dxa"/>
            <w:tcBorders>
              <w:top w:val="nil"/>
              <w:left w:val="nil"/>
              <w:bottom w:val="single" w:color="auto" w:sz="4" w:space="0"/>
              <w:right w:val="single" w:color="auto" w:sz="4" w:space="0"/>
            </w:tcBorders>
            <w:noWrap/>
            <w:vAlign w:val="center"/>
          </w:tcPr>
          <w:p w14:paraId="1695CE9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275" w:type="dxa"/>
            <w:gridSpan w:val="2"/>
            <w:tcBorders>
              <w:top w:val="single" w:color="auto" w:sz="4" w:space="0"/>
              <w:left w:val="nil"/>
              <w:bottom w:val="single" w:color="auto" w:sz="4" w:space="0"/>
              <w:right w:val="single" w:color="000000" w:sz="4" w:space="0"/>
            </w:tcBorders>
            <w:noWrap/>
            <w:vAlign w:val="center"/>
          </w:tcPr>
          <w:p w14:paraId="0C2438F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34" w:type="dxa"/>
            <w:gridSpan w:val="2"/>
            <w:tcBorders>
              <w:top w:val="single" w:color="auto" w:sz="4" w:space="0"/>
              <w:left w:val="nil"/>
              <w:bottom w:val="single" w:color="auto" w:sz="4" w:space="0"/>
              <w:right w:val="single" w:color="auto" w:sz="4" w:space="0"/>
            </w:tcBorders>
            <w:vAlign w:val="center"/>
          </w:tcPr>
          <w:p w14:paraId="64AA7D6C">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7B9A97A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275" w:type="dxa"/>
            <w:tcBorders>
              <w:top w:val="nil"/>
              <w:left w:val="nil"/>
              <w:bottom w:val="single" w:color="auto" w:sz="4" w:space="0"/>
              <w:right w:val="single" w:color="auto" w:sz="4" w:space="0"/>
            </w:tcBorders>
            <w:vAlign w:val="center"/>
          </w:tcPr>
          <w:p w14:paraId="74BA13A6">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10.00分</w:t>
            </w:r>
          </w:p>
        </w:tc>
      </w:tr>
      <w:tr w14:paraId="188FF73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A9E93D6">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409A4851">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79D52184">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25" w:type="dxa"/>
            <w:tcBorders>
              <w:top w:val="nil"/>
              <w:left w:val="nil"/>
              <w:bottom w:val="single" w:color="auto" w:sz="4" w:space="0"/>
              <w:right w:val="single" w:color="auto" w:sz="4" w:space="0"/>
            </w:tcBorders>
            <w:noWrap/>
            <w:vAlign w:val="center"/>
          </w:tcPr>
          <w:p w14:paraId="0073B9D8">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275" w:type="dxa"/>
            <w:gridSpan w:val="2"/>
            <w:tcBorders>
              <w:top w:val="single" w:color="auto" w:sz="4" w:space="0"/>
              <w:left w:val="nil"/>
              <w:bottom w:val="single" w:color="auto" w:sz="4" w:space="0"/>
              <w:right w:val="single" w:color="000000" w:sz="4" w:space="0"/>
            </w:tcBorders>
            <w:noWrap/>
            <w:vAlign w:val="center"/>
          </w:tcPr>
          <w:p w14:paraId="72AD54BB">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34" w:type="dxa"/>
            <w:gridSpan w:val="2"/>
            <w:tcBorders>
              <w:top w:val="single" w:color="auto" w:sz="4" w:space="0"/>
              <w:left w:val="nil"/>
              <w:bottom w:val="single" w:color="auto" w:sz="4" w:space="0"/>
              <w:right w:val="single" w:color="auto" w:sz="4" w:space="0"/>
            </w:tcBorders>
            <w:vAlign w:val="center"/>
          </w:tcPr>
          <w:p w14:paraId="7E986BC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386C124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2506FFCC">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511C655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60B1AF2">
            <w:pPr>
              <w:spacing w:after="0" w:line="240" w:lineRule="auto"/>
              <w:rPr>
                <w:rFonts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53159153">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7D750E1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25" w:type="dxa"/>
            <w:tcBorders>
              <w:top w:val="nil"/>
              <w:left w:val="nil"/>
              <w:bottom w:val="single" w:color="auto" w:sz="4" w:space="0"/>
              <w:right w:val="single" w:color="auto" w:sz="4" w:space="0"/>
            </w:tcBorders>
            <w:noWrap/>
            <w:vAlign w:val="center"/>
          </w:tcPr>
          <w:p w14:paraId="0EA9981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75" w:type="dxa"/>
            <w:gridSpan w:val="2"/>
            <w:tcBorders>
              <w:top w:val="single" w:color="auto" w:sz="4" w:space="0"/>
              <w:left w:val="nil"/>
              <w:bottom w:val="single" w:color="auto" w:sz="4" w:space="0"/>
              <w:right w:val="single" w:color="000000" w:sz="4" w:space="0"/>
            </w:tcBorders>
            <w:noWrap/>
            <w:vAlign w:val="center"/>
          </w:tcPr>
          <w:p w14:paraId="1B3D66C8">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34" w:type="dxa"/>
            <w:gridSpan w:val="2"/>
            <w:tcBorders>
              <w:top w:val="single" w:color="auto" w:sz="4" w:space="0"/>
              <w:left w:val="nil"/>
              <w:bottom w:val="single" w:color="auto" w:sz="4" w:space="0"/>
              <w:right w:val="single" w:color="auto" w:sz="4" w:space="0"/>
            </w:tcBorders>
            <w:vAlign w:val="center"/>
          </w:tcPr>
          <w:p w14:paraId="1D9CBCC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21021780">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684C45B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6B609480">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4969645F">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6B3C6434">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06DD1AFA">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23CEB206">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32DEEBA">
            <w:pPr>
              <w:spacing w:after="0" w:line="240" w:lineRule="auto"/>
              <w:rPr>
                <w:rFonts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442C5C11">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为提高非遗代表性传承人积极性，计划举办回族刺绣培训班6次，开展3场传承实践活动以增强其授徒传艺等履职尽责的能力，对非遗项目提供资金支持，从而提升非遗保护意识。</w:t>
            </w:r>
          </w:p>
        </w:tc>
        <w:tc>
          <w:tcPr>
            <w:tcW w:w="4677" w:type="dxa"/>
            <w:gridSpan w:val="7"/>
            <w:tcBorders>
              <w:top w:val="single" w:color="auto" w:sz="4" w:space="0"/>
              <w:left w:val="nil"/>
              <w:bottom w:val="single" w:color="auto" w:sz="4" w:space="0"/>
              <w:right w:val="single" w:color="000000" w:sz="4" w:space="0"/>
            </w:tcBorders>
          </w:tcPr>
          <w:p w14:paraId="74D4D3CF">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加强对非物质文化遗产回族刺绣的保护与传承，米东区文化馆联合非遗代表性项目(回族)刺绣代表性传承人马清洁开展回族刺绣培训班6次，举办3场传承实践活动以增强其授徒传艺等履职尽责的能力，对非遗项目提供资金支持，从而保障非遗文化的传承性和影响力。</w:t>
            </w:r>
          </w:p>
        </w:tc>
      </w:tr>
      <w:tr w14:paraId="770D32A5">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4B90538A">
            <w:pPr>
              <w:spacing w:after="0" w:line="240" w:lineRule="auto"/>
              <w:jc w:val="center"/>
              <w:rPr>
                <w:rFonts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7AE1BA48">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40B4649A">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638438F1">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62895CF3">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4ABFC997">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3AA5949A">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7D429D40">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7F97A120">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33D7E74">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505CE50B">
            <w:pPr>
              <w:spacing w:after="0" w:line="240" w:lineRule="auto"/>
              <w:rPr>
                <w:rFonts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16CBAFA4">
            <w:pPr>
              <w:spacing w:after="0" w:line="240" w:lineRule="auto"/>
              <w:rPr>
                <w:rFonts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1F1DD57C">
            <w:pPr>
              <w:spacing w:after="0" w:line="240" w:lineRule="auto"/>
              <w:rPr>
                <w:rFonts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5693C4A5">
            <w:pPr>
              <w:spacing w:after="0" w:line="240" w:lineRule="auto"/>
              <w:rPr>
                <w:rFonts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7DEBDC88">
            <w:pPr>
              <w:spacing w:after="0" w:line="240" w:lineRule="auto"/>
              <w:rPr>
                <w:rFonts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C785181">
            <w:pPr>
              <w:spacing w:after="0" w:line="240" w:lineRule="auto"/>
              <w:rPr>
                <w:rFonts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0EDBA4B2">
            <w:pPr>
              <w:spacing w:after="0" w:line="240" w:lineRule="auto"/>
              <w:rPr>
                <w:rFonts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1B4A0A8C">
            <w:pPr>
              <w:spacing w:after="0" w:line="240" w:lineRule="auto"/>
              <w:rPr>
                <w:rFonts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02835416">
            <w:pPr>
              <w:spacing w:after="0" w:line="240" w:lineRule="auto"/>
              <w:rPr>
                <w:rFonts w:ascii="宋体" w:hAnsi="宋体" w:eastAsia="宋体" w:cs="宋体"/>
                <w:color w:val="000000"/>
                <w:sz w:val="18"/>
                <w:szCs w:val="18"/>
                <w:lang w:eastAsia="zh-CN"/>
              </w:rPr>
            </w:pPr>
          </w:p>
        </w:tc>
      </w:tr>
      <w:tr w14:paraId="5947A8CA">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928CCEE">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D4ABE6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vMerge w:val="restart"/>
            <w:tcBorders>
              <w:top w:val="nil"/>
              <w:left w:val="nil"/>
              <w:right w:val="single" w:color="auto" w:sz="4" w:space="0"/>
            </w:tcBorders>
            <w:vAlign w:val="center"/>
          </w:tcPr>
          <w:p w14:paraId="1777D9A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6BE599C8">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举办回族刺绣培训班次数</w:t>
            </w:r>
          </w:p>
        </w:tc>
        <w:tc>
          <w:tcPr>
            <w:tcW w:w="1125" w:type="dxa"/>
            <w:tcBorders>
              <w:top w:val="nil"/>
              <w:left w:val="nil"/>
              <w:bottom w:val="single" w:color="auto" w:sz="4" w:space="0"/>
              <w:right w:val="single" w:color="auto" w:sz="4" w:space="0"/>
            </w:tcBorders>
            <w:vAlign w:val="center"/>
          </w:tcPr>
          <w:p w14:paraId="62497DB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&gt;=6次</w:t>
            </w:r>
          </w:p>
        </w:tc>
        <w:tc>
          <w:tcPr>
            <w:tcW w:w="1229" w:type="dxa"/>
            <w:tcBorders>
              <w:top w:val="nil"/>
              <w:left w:val="nil"/>
              <w:bottom w:val="single" w:color="auto" w:sz="4" w:space="0"/>
              <w:right w:val="single" w:color="auto" w:sz="4" w:space="0"/>
            </w:tcBorders>
            <w:vAlign w:val="center"/>
          </w:tcPr>
          <w:p w14:paraId="3869FE66">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6次</w:t>
            </w:r>
          </w:p>
        </w:tc>
        <w:tc>
          <w:tcPr>
            <w:tcW w:w="755" w:type="dxa"/>
            <w:gridSpan w:val="2"/>
            <w:tcBorders>
              <w:top w:val="single" w:color="auto" w:sz="4" w:space="0"/>
              <w:left w:val="nil"/>
              <w:bottom w:val="single" w:color="auto" w:sz="4" w:space="0"/>
              <w:right w:val="single" w:color="000000" w:sz="4" w:space="0"/>
            </w:tcBorders>
            <w:vAlign w:val="center"/>
          </w:tcPr>
          <w:p w14:paraId="55516C1D">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2FAD854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2EDFC2F9">
            <w:pPr>
              <w:spacing w:after="0" w:line="240" w:lineRule="auto"/>
              <w:jc w:val="center"/>
              <w:rPr>
                <w:rFonts w:ascii="宋体" w:hAnsi="宋体" w:eastAsia="宋体" w:cs="宋体"/>
                <w:color w:val="000000"/>
                <w:sz w:val="18"/>
                <w:szCs w:val="18"/>
                <w:lang w:eastAsia="zh-CN"/>
              </w:rPr>
            </w:pPr>
          </w:p>
        </w:tc>
      </w:tr>
      <w:tr w14:paraId="0D22AE6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D234186">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3C9579FC">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4D759D40">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341E7EE3">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开展传承实践活动次数</w:t>
            </w:r>
          </w:p>
        </w:tc>
        <w:tc>
          <w:tcPr>
            <w:tcW w:w="1125" w:type="dxa"/>
            <w:tcBorders>
              <w:top w:val="nil"/>
              <w:left w:val="nil"/>
              <w:bottom w:val="single" w:color="auto" w:sz="4" w:space="0"/>
              <w:right w:val="single" w:color="auto" w:sz="4" w:space="0"/>
            </w:tcBorders>
            <w:vAlign w:val="center"/>
          </w:tcPr>
          <w:p w14:paraId="10F68DC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&gt;=3场次</w:t>
            </w:r>
          </w:p>
        </w:tc>
        <w:tc>
          <w:tcPr>
            <w:tcW w:w="1229" w:type="dxa"/>
            <w:tcBorders>
              <w:top w:val="nil"/>
              <w:left w:val="nil"/>
              <w:bottom w:val="single" w:color="auto" w:sz="4" w:space="0"/>
              <w:right w:val="single" w:color="auto" w:sz="4" w:space="0"/>
            </w:tcBorders>
            <w:vAlign w:val="center"/>
          </w:tcPr>
          <w:p w14:paraId="5DA8DCE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3场次</w:t>
            </w:r>
          </w:p>
        </w:tc>
        <w:tc>
          <w:tcPr>
            <w:tcW w:w="755" w:type="dxa"/>
            <w:gridSpan w:val="2"/>
            <w:tcBorders>
              <w:top w:val="single" w:color="auto" w:sz="4" w:space="0"/>
              <w:left w:val="nil"/>
              <w:bottom w:val="single" w:color="auto" w:sz="4" w:space="0"/>
              <w:right w:val="single" w:color="000000" w:sz="4" w:space="0"/>
            </w:tcBorders>
            <w:vAlign w:val="center"/>
          </w:tcPr>
          <w:p w14:paraId="3230A30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0EEB1418">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6B6E9A4F">
            <w:pPr>
              <w:spacing w:after="0" w:line="240" w:lineRule="auto"/>
              <w:jc w:val="center"/>
              <w:rPr>
                <w:rFonts w:ascii="宋体" w:hAnsi="宋体" w:eastAsia="宋体" w:cs="宋体"/>
                <w:color w:val="000000"/>
                <w:sz w:val="18"/>
                <w:szCs w:val="18"/>
                <w:lang w:eastAsia="zh-CN"/>
              </w:rPr>
            </w:pPr>
          </w:p>
        </w:tc>
      </w:tr>
      <w:tr w14:paraId="1D9DAEF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6888573">
            <w:pPr>
              <w:spacing w:after="0" w:line="240" w:lineRule="auto"/>
              <w:rPr>
                <w:rFonts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3E7447D2">
            <w:pPr>
              <w:spacing w:after="0" w:line="240" w:lineRule="auto"/>
              <w:jc w:val="center"/>
              <w:rPr>
                <w:rFonts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0DF4223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69D1C3DD">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资金使用合规率</w:t>
            </w:r>
          </w:p>
        </w:tc>
        <w:tc>
          <w:tcPr>
            <w:tcW w:w="1125" w:type="dxa"/>
            <w:tcBorders>
              <w:top w:val="nil"/>
              <w:left w:val="nil"/>
              <w:bottom w:val="single" w:color="auto" w:sz="4" w:space="0"/>
              <w:right w:val="single" w:color="auto" w:sz="4" w:space="0"/>
            </w:tcBorders>
            <w:vAlign w:val="center"/>
          </w:tcPr>
          <w:p w14:paraId="2F53E95A">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412BE308">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4BB192BB">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7656EE3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FFCBAF8">
            <w:pPr>
              <w:spacing w:after="0" w:line="240" w:lineRule="auto"/>
              <w:jc w:val="center"/>
              <w:rPr>
                <w:rFonts w:ascii="宋体" w:hAnsi="宋体" w:eastAsia="宋体" w:cs="宋体"/>
                <w:color w:val="000000"/>
                <w:sz w:val="18"/>
                <w:szCs w:val="18"/>
                <w:lang w:eastAsia="zh-CN"/>
              </w:rPr>
            </w:pPr>
          </w:p>
        </w:tc>
      </w:tr>
      <w:tr w14:paraId="45FA6AC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54DD860">
            <w:pPr>
              <w:spacing w:after="0" w:line="240" w:lineRule="auto"/>
              <w:rPr>
                <w:rFonts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5672BFE1">
            <w:pPr>
              <w:spacing w:after="0" w:line="240" w:lineRule="auto"/>
              <w:jc w:val="center"/>
              <w:rPr>
                <w:rFonts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0B37EEE3">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7BD42D43">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项目完成及时率</w:t>
            </w:r>
          </w:p>
        </w:tc>
        <w:tc>
          <w:tcPr>
            <w:tcW w:w="1125" w:type="dxa"/>
            <w:tcBorders>
              <w:top w:val="nil"/>
              <w:left w:val="nil"/>
              <w:bottom w:val="single" w:color="auto" w:sz="4" w:space="0"/>
              <w:right w:val="single" w:color="auto" w:sz="4" w:space="0"/>
            </w:tcBorders>
            <w:vAlign w:val="center"/>
          </w:tcPr>
          <w:p w14:paraId="15D96964">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50ACD328">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112D775B">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18489F06">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35096F2A">
            <w:pPr>
              <w:spacing w:after="0" w:line="240" w:lineRule="auto"/>
              <w:jc w:val="center"/>
              <w:rPr>
                <w:rFonts w:ascii="宋体" w:hAnsi="宋体" w:eastAsia="宋体" w:cs="宋体"/>
                <w:color w:val="000000"/>
                <w:sz w:val="18"/>
                <w:szCs w:val="18"/>
                <w:lang w:eastAsia="zh-CN"/>
              </w:rPr>
            </w:pPr>
          </w:p>
        </w:tc>
      </w:tr>
      <w:tr w14:paraId="3C8264F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2DE7FC6">
            <w:pPr>
              <w:spacing w:after="0" w:line="240" w:lineRule="auto"/>
              <w:rPr>
                <w:rFonts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1CD8ACF8">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vMerge w:val="restart"/>
            <w:tcBorders>
              <w:top w:val="nil"/>
              <w:left w:val="nil"/>
              <w:right w:val="single" w:color="auto" w:sz="4" w:space="0"/>
            </w:tcBorders>
            <w:vAlign w:val="center"/>
          </w:tcPr>
          <w:p w14:paraId="3F7057F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3ECAA6D">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持续加强非遗保护力度</w:t>
            </w:r>
          </w:p>
        </w:tc>
        <w:tc>
          <w:tcPr>
            <w:tcW w:w="1125" w:type="dxa"/>
            <w:tcBorders>
              <w:top w:val="nil"/>
              <w:left w:val="nil"/>
              <w:bottom w:val="single" w:color="auto" w:sz="4" w:space="0"/>
              <w:right w:val="single" w:color="auto" w:sz="4" w:space="0"/>
            </w:tcBorders>
            <w:vAlign w:val="center"/>
          </w:tcPr>
          <w:p w14:paraId="3952FACE">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持续加强</w:t>
            </w:r>
          </w:p>
        </w:tc>
        <w:tc>
          <w:tcPr>
            <w:tcW w:w="1229" w:type="dxa"/>
            <w:tcBorders>
              <w:top w:val="nil"/>
              <w:left w:val="nil"/>
              <w:bottom w:val="single" w:color="auto" w:sz="4" w:space="0"/>
              <w:right w:val="single" w:color="auto" w:sz="4" w:space="0"/>
            </w:tcBorders>
            <w:vAlign w:val="center"/>
          </w:tcPr>
          <w:p w14:paraId="3F6C7732">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3F258225">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1CFE9C23">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6EB8A442">
            <w:pPr>
              <w:spacing w:after="0" w:line="240" w:lineRule="auto"/>
              <w:jc w:val="center"/>
              <w:rPr>
                <w:rFonts w:ascii="宋体" w:hAnsi="宋体" w:eastAsia="宋体" w:cs="宋体"/>
                <w:color w:val="000000"/>
                <w:sz w:val="18"/>
                <w:szCs w:val="18"/>
                <w:lang w:eastAsia="zh-CN"/>
              </w:rPr>
            </w:pPr>
          </w:p>
        </w:tc>
      </w:tr>
      <w:tr w14:paraId="454124C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1696F90">
            <w:pPr>
              <w:spacing w:after="0" w:line="240" w:lineRule="auto"/>
              <w:rPr>
                <w:rFonts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74E9DAD9">
            <w:pPr>
              <w:spacing w:after="0" w:line="240" w:lineRule="auto"/>
              <w:jc w:val="center"/>
              <w:rPr>
                <w:rFonts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4A7DBAA1">
            <w:pPr>
              <w:spacing w:after="0" w:line="240" w:lineRule="auto"/>
              <w:jc w:val="center"/>
              <w:rPr>
                <w:rFonts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546D9FCF">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提升非遗保护意识</w:t>
            </w:r>
          </w:p>
        </w:tc>
        <w:tc>
          <w:tcPr>
            <w:tcW w:w="1125" w:type="dxa"/>
            <w:tcBorders>
              <w:top w:val="nil"/>
              <w:left w:val="nil"/>
              <w:bottom w:val="single" w:color="auto" w:sz="4" w:space="0"/>
              <w:right w:val="single" w:color="auto" w:sz="4" w:space="0"/>
            </w:tcBorders>
            <w:vAlign w:val="center"/>
          </w:tcPr>
          <w:p w14:paraId="0C98A291">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w:t>
            </w:r>
          </w:p>
        </w:tc>
        <w:tc>
          <w:tcPr>
            <w:tcW w:w="1229" w:type="dxa"/>
            <w:tcBorders>
              <w:top w:val="nil"/>
              <w:left w:val="nil"/>
              <w:bottom w:val="single" w:color="auto" w:sz="4" w:space="0"/>
              <w:right w:val="single" w:color="auto" w:sz="4" w:space="0"/>
            </w:tcBorders>
            <w:vAlign w:val="center"/>
          </w:tcPr>
          <w:p w14:paraId="56A14A66">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04B00DF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71146736">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36C88272">
            <w:pPr>
              <w:spacing w:after="0" w:line="240" w:lineRule="auto"/>
              <w:jc w:val="center"/>
              <w:rPr>
                <w:rFonts w:ascii="宋体" w:hAnsi="宋体" w:eastAsia="宋体" w:cs="宋体"/>
                <w:color w:val="000000"/>
                <w:sz w:val="18"/>
                <w:szCs w:val="18"/>
                <w:lang w:eastAsia="zh-CN"/>
              </w:rPr>
            </w:pPr>
          </w:p>
        </w:tc>
      </w:tr>
      <w:tr w14:paraId="2F24BA0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F2BFC0B">
            <w:pPr>
              <w:spacing w:after="0" w:line="240" w:lineRule="auto"/>
              <w:rPr>
                <w:rFonts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05711C79">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5F5E05C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3510897F">
            <w:pPr>
              <w:spacing w:after="0" w:line="240" w:lineRule="auto"/>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非遗传承人服务对象满意度</w:t>
            </w:r>
          </w:p>
        </w:tc>
        <w:tc>
          <w:tcPr>
            <w:tcW w:w="1125" w:type="dxa"/>
            <w:tcBorders>
              <w:top w:val="nil"/>
              <w:left w:val="nil"/>
              <w:bottom w:val="single" w:color="auto" w:sz="4" w:space="0"/>
              <w:right w:val="single" w:color="auto" w:sz="4" w:space="0"/>
            </w:tcBorders>
            <w:vAlign w:val="center"/>
          </w:tcPr>
          <w:p w14:paraId="56779DAF">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45E9268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1C77EEB9">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00DF557">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289E50B">
            <w:pPr>
              <w:spacing w:after="0" w:line="240" w:lineRule="auto"/>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满意度目标指标值在设定时出于谨慎考虑设了&gt;=90%，实际完成效果良好，达到了100%的满意度。以后将科学合理规划，避免此类偏差。</w:t>
            </w:r>
          </w:p>
        </w:tc>
      </w:tr>
      <w:tr w14:paraId="5208A75A">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2F0263A8">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09B60332">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26A53C81">
            <w:pPr>
              <w:spacing w:after="0" w:line="240" w:lineRule="auto"/>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100.00分</w:t>
            </w:r>
          </w:p>
        </w:tc>
        <w:tc>
          <w:tcPr>
            <w:tcW w:w="1984" w:type="dxa"/>
            <w:gridSpan w:val="2"/>
            <w:tcBorders>
              <w:top w:val="single" w:color="auto" w:sz="4" w:space="0"/>
              <w:left w:val="nil"/>
              <w:bottom w:val="single" w:color="auto" w:sz="4" w:space="0"/>
              <w:right w:val="single" w:color="auto" w:sz="4" w:space="0"/>
            </w:tcBorders>
            <w:vAlign w:val="center"/>
          </w:tcPr>
          <w:p w14:paraId="2C0EE234">
            <w:pPr>
              <w:spacing w:after="0" w:line="240" w:lineRule="auto"/>
              <w:jc w:val="center"/>
              <w:rPr>
                <w:rFonts w:ascii="宋体" w:hAnsi="宋体" w:eastAsia="宋体" w:cs="宋体"/>
                <w:b/>
                <w:bCs/>
                <w:color w:val="000000"/>
                <w:sz w:val="18"/>
                <w:szCs w:val="18"/>
                <w:lang w:eastAsia="zh-CN"/>
              </w:rPr>
            </w:pPr>
          </w:p>
        </w:tc>
      </w:tr>
    </w:tbl>
    <w:p w14:paraId="310905F5">
      <w:pPr>
        <w:widowControl w:val="0"/>
        <w:spacing w:after="0" w:line="240" w:lineRule="auto"/>
        <w:rPr>
          <w:rFonts w:ascii="仿宋_GB2312" w:eastAsia="仿宋_GB2312"/>
          <w:sz w:val="32"/>
          <w:szCs w:val="32"/>
        </w:rPr>
      </w:pPr>
      <w:r>
        <w:rPr>
          <w:rFonts w:hint="eastAsia" w:ascii="宋体" w:hAnsi="宋体" w:eastAsia="宋体" w:cs="宋体"/>
          <w:b/>
          <w:bCs/>
          <w:sz w:val="18"/>
          <w:szCs w:val="18"/>
          <w:lang w:eastAsia="zh-CN"/>
        </w:rPr>
        <w:br w:type="page"/>
      </w:r>
    </w:p>
    <w:p w14:paraId="42364ED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387A4DFD">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p>
    <w:p w14:paraId="470EC73D">
      <w:pPr>
        <w:rPr>
          <w:lang w:eastAsia="zh-CN"/>
        </w:rPr>
      </w:pPr>
      <w:r>
        <w:rPr>
          <w:sz w:val="0"/>
          <w:szCs w:val="0"/>
          <w:lang w:eastAsia="zh-CN"/>
        </w:rPr>
        <w:br w:type="page"/>
      </w:r>
    </w:p>
    <w:p w14:paraId="1CFE5152">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6382685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CE8C7B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9436F1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B0A49A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4B88C9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6F77A6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F1F24D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8D650F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EDA27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77DD38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128629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55A390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149BD8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4F86F5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9D4E04E">
      <w:pPr>
        <w:rPr>
          <w:lang w:eastAsia="zh-CN"/>
        </w:rPr>
      </w:pPr>
      <w:r>
        <w:rPr>
          <w:sz w:val="0"/>
          <w:szCs w:val="0"/>
          <w:lang w:eastAsia="zh-CN"/>
        </w:rPr>
        <w:br w:type="page"/>
      </w:r>
    </w:p>
    <w:p w14:paraId="26ADFFE8">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7C3F2C8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E9B978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20FD15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3DF715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E0B016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74273A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B5B012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D48970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4D5C6A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9C0918"/>
    <w:rsid w:val="002047F0"/>
    <w:rsid w:val="009C0918"/>
    <w:rsid w:val="00AD21E2"/>
    <w:rsid w:val="00B47756"/>
    <w:rsid w:val="00D11847"/>
    <w:rsid w:val="15CC7E09"/>
    <w:rsid w:val="160972F3"/>
    <w:rsid w:val="18074917"/>
    <w:rsid w:val="1BDE0896"/>
    <w:rsid w:val="20E73CC7"/>
    <w:rsid w:val="2C7C5C8D"/>
    <w:rsid w:val="309E56E5"/>
    <w:rsid w:val="42D920AF"/>
    <w:rsid w:val="5BE92546"/>
    <w:rsid w:val="6EB22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字符"/>
    <w:basedOn w:val="14"/>
    <w:link w:val="8"/>
    <w:uiPriority w:val="99"/>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8637</Words>
  <Characters>9508</Characters>
  <Lines>71</Lines>
  <Paragraphs>20</Paragraphs>
  <TotalTime>24</TotalTime>
  <ScaleCrop>false</ScaleCrop>
  <LinksUpToDate>false</LinksUpToDate>
  <CharactersWithSpaces>9518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2025-09-29T06:31:00Z</dcterms:created>
  <dc:creator>c'c</dc:creator>
  <cp:lastModifiedBy>雨。</cp:lastModifiedBy>
  <dcterms:modified xsi:type="dcterms:W3CDTF">2025-11-20T03:50:52Z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BA4244112C8341BF8582CD72C5276589_12</vt:lpwstr>
  </property>
</Properties>
</file>