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4B283">
      <w:pPr>
        <w:spacing w:after="0" w:line="240" w:lineRule="auto"/>
        <w:rPr>
          <w:rFonts w:hint="eastAsia" w:ascii="宋体" w:eastAsia="宋体"/>
          <w:sz w:val="32"/>
          <w:szCs w:val="32"/>
        </w:rPr>
      </w:pPr>
    </w:p>
    <w:p w14:paraId="01A7793E">
      <w:pPr>
        <w:spacing w:after="0" w:line="240" w:lineRule="auto"/>
        <w:rPr>
          <w:rFonts w:hint="eastAsia" w:ascii="宋体" w:eastAsia="宋体"/>
          <w:sz w:val="44"/>
          <w:szCs w:val="44"/>
        </w:rPr>
      </w:pPr>
    </w:p>
    <w:p w14:paraId="6514DFAF">
      <w:pPr>
        <w:spacing w:after="0" w:line="240" w:lineRule="auto"/>
        <w:rPr>
          <w:rFonts w:hint="eastAsia" w:ascii="宋体" w:eastAsia="宋体"/>
          <w:sz w:val="44"/>
          <w:szCs w:val="44"/>
        </w:rPr>
      </w:pPr>
    </w:p>
    <w:p w14:paraId="68F07FB2">
      <w:pPr>
        <w:spacing w:after="0" w:line="240" w:lineRule="auto"/>
        <w:rPr>
          <w:rFonts w:hint="eastAsia" w:ascii="宋体" w:eastAsia="宋体"/>
          <w:sz w:val="44"/>
          <w:szCs w:val="44"/>
        </w:rPr>
      </w:pPr>
    </w:p>
    <w:p w14:paraId="3E309874">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乌鲁木齐市米东区柏杨河卫生院</w:t>
      </w:r>
    </w:p>
    <w:p w14:paraId="2848832A">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（人口和计划生育生殖健康服务站）</w:t>
      </w:r>
    </w:p>
    <w:p w14:paraId="7ABF7102">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0D74DD4A">
      <w:pPr>
        <w:rPr>
          <w:rFonts w:hint="eastAsia"/>
          <w:lang w:eastAsia="zh-CN"/>
        </w:rPr>
      </w:pPr>
      <w:r>
        <w:rPr>
          <w:sz w:val="0"/>
          <w:szCs w:val="0"/>
          <w:lang w:eastAsia="zh-CN"/>
        </w:rPr>
        <w:br w:type="page"/>
      </w:r>
    </w:p>
    <w:p w14:paraId="74154C73">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6C46843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13A5841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36D7AE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1CA51C8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2688D92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94369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65CFF6F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79BE394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F8ACD5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9AC9E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C66953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F59FA1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A9932E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9BF222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3C7D1A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175E8B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5FF02D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60E340A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2413E51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34B2D56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282BA0A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3025915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666FD4D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056DAB3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2A66403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F72262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1E26A6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1387EA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DFF13A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B9CADF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0F104C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BE0074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19E673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445FF54D">
      <w:pPr>
        <w:rPr>
          <w:rFonts w:hint="eastAsia"/>
          <w:lang w:eastAsia="zh-CN"/>
        </w:rPr>
      </w:pPr>
      <w:r>
        <w:rPr>
          <w:sz w:val="0"/>
          <w:szCs w:val="0"/>
          <w:lang w:eastAsia="zh-CN"/>
        </w:rPr>
        <w:br w:type="page"/>
      </w:r>
    </w:p>
    <w:p w14:paraId="315C472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03F9427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3AA47AF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(一)以公共卫生服务为主，提供预防、保健、基本医疗、康复、健康教育和计划生育技术服务等为主要内容的综合性卫生服务。</w:t>
      </w:r>
    </w:p>
    <w:p w14:paraId="13F1123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(二)受区卫生行政主管部门的委托，承担所在乡（镇）的公共卫生管理工作。</w:t>
      </w:r>
    </w:p>
    <w:p w14:paraId="06E2F1F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169FEC1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乌鲁木齐市米东区柏杨河卫生院（人口和计划生育生殖健康服务站）2024年度，实有人数21人，其中：在职人员14人，增加3人；离休人员0人，较上年无变化；退休人员7人，减少1人。</w:t>
      </w:r>
    </w:p>
    <w:p w14:paraId="4D48402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乌鲁木齐市米东区柏杨河卫生院（人口和计划生育生殖健康服务站）无下属预算单位，下设12个</w:t>
      </w:r>
      <w:r>
        <w:rPr>
          <w:rFonts w:hint="eastAsia" w:ascii="仿宋_GB2312" w:eastAsia="仿宋_GB2312"/>
          <w:sz w:val="32"/>
          <w:szCs w:val="32"/>
          <w:lang w:eastAsia="zh-CN"/>
        </w:rPr>
        <w:t>科室</w:t>
      </w:r>
      <w:r>
        <w:rPr>
          <w:rFonts w:ascii="仿宋_GB2312" w:eastAsia="仿宋_GB2312"/>
          <w:sz w:val="32"/>
          <w:szCs w:val="32"/>
          <w:lang w:eastAsia="zh-CN"/>
        </w:rPr>
        <w:t>，分别是：护理科、药剂科、公共卫生科、检验科、内外儿综合科、中医科、B超心电科、书记办、党政办、财务科、放射科、预防接种科。</w:t>
      </w:r>
    </w:p>
    <w:p w14:paraId="45E068A7">
      <w:pPr>
        <w:rPr>
          <w:rFonts w:hint="eastAsia"/>
          <w:lang w:eastAsia="zh-CN"/>
        </w:rPr>
      </w:pPr>
      <w:r>
        <w:rPr>
          <w:sz w:val="0"/>
          <w:szCs w:val="0"/>
          <w:lang w:eastAsia="zh-CN"/>
        </w:rPr>
        <w:br w:type="page"/>
      </w:r>
    </w:p>
    <w:p w14:paraId="52AEB67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35F52C8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534AB63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2024年度收入总计648.72万元，其中：本年收入合计648.72万元，使用非财政拨款结余（含专用结余）0.00万元，年初结转和结余0.00万元。</w:t>
      </w:r>
    </w:p>
    <w:p w14:paraId="0189EB4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2024年度支出总计648.72万元，其中：本年支出合计615.07万元，结余分配33.65万元，年末结转和结余0.00万元。</w:t>
      </w:r>
    </w:p>
    <w:p w14:paraId="27DD98B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收入支出总体与上年相比，增加253.99万元，增长64.35%，主要原因是：</w:t>
      </w:r>
      <w:r>
        <w:rPr>
          <w:rFonts w:hint="eastAsia" w:ascii="仿宋_GB2312" w:eastAsia="仿宋_GB2312"/>
          <w:sz w:val="32"/>
          <w:szCs w:val="32"/>
          <w:lang w:eastAsia="zh-CN"/>
        </w:rPr>
        <w:t>单位本年人员增加</w:t>
      </w:r>
      <w:r>
        <w:rPr>
          <w:rFonts w:ascii="仿宋_GB2312" w:eastAsia="仿宋_GB2312"/>
          <w:sz w:val="32"/>
          <w:szCs w:val="32"/>
          <w:lang w:eastAsia="zh-CN"/>
        </w:rPr>
        <w:t>，人员</w:t>
      </w:r>
      <w:r>
        <w:rPr>
          <w:rFonts w:hint="eastAsia" w:ascii="仿宋_GB2312" w:eastAsia="仿宋_GB2312"/>
          <w:sz w:val="32"/>
          <w:szCs w:val="32"/>
          <w:lang w:eastAsia="zh-CN"/>
        </w:rPr>
        <w:t>工资</w:t>
      </w:r>
      <w:r>
        <w:rPr>
          <w:rFonts w:ascii="仿宋_GB2312" w:eastAsia="仿宋_GB2312"/>
          <w:sz w:val="32"/>
          <w:szCs w:val="32"/>
          <w:lang w:eastAsia="zh-CN"/>
        </w:rPr>
        <w:t>、津</w:t>
      </w:r>
      <w:r>
        <w:rPr>
          <w:rFonts w:hint="eastAsia" w:ascii="仿宋_GB2312" w:eastAsia="仿宋_GB2312"/>
          <w:sz w:val="32"/>
          <w:szCs w:val="32"/>
          <w:lang w:eastAsia="zh-CN"/>
        </w:rPr>
        <w:t>贴</w:t>
      </w:r>
      <w:r>
        <w:rPr>
          <w:rFonts w:ascii="仿宋_GB2312" w:eastAsia="仿宋_GB2312"/>
          <w:sz w:val="32"/>
          <w:szCs w:val="32"/>
          <w:lang w:eastAsia="zh-CN"/>
        </w:rPr>
        <w:t>补贴、奖金等经费</w:t>
      </w:r>
      <w:r>
        <w:rPr>
          <w:rFonts w:hint="eastAsia" w:ascii="仿宋_GB2312" w:eastAsia="仿宋_GB2312"/>
          <w:sz w:val="32"/>
          <w:szCs w:val="32"/>
          <w:lang w:eastAsia="zh-CN"/>
        </w:rPr>
        <w:t>增加；本年社保缴费、公积金缴费基数调增，人员养老保险、公积金缴费、医疗保险缴费增加</w:t>
      </w:r>
      <w:r>
        <w:rPr>
          <w:rFonts w:ascii="仿宋_GB2312" w:eastAsia="仿宋_GB2312"/>
          <w:sz w:val="32"/>
          <w:szCs w:val="32"/>
          <w:lang w:eastAsia="zh-CN"/>
        </w:rPr>
        <w:t>。</w:t>
      </w:r>
    </w:p>
    <w:p w14:paraId="26067ED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029143D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本年收入648.72万元，其中：财政拨款收入235.83万元,占36.35%；上级补助收入0.00万元,占0.00%；事业收入249.67万元，占38.49%；经营收入0.00万元,占0.00%；附属单位上缴收入0.00万元，占0.00%；其他收入163.22万元，占25.16%。</w:t>
      </w:r>
    </w:p>
    <w:p w14:paraId="12E03D4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3B72013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本年支出615.07万元，其中：基本支出615.07万元，占100.00%；项目支出0.00万元，占0.00%；上缴上级支出0.00万元，占0.00%；经营支出0.00万元，占0.00%；对附属单位补助支出0.00万元，占0.00%。</w:t>
      </w:r>
    </w:p>
    <w:p w14:paraId="4FBBA43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317E38F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2024年度财政拨款收入总计235.83万元，其中：年初财政拨款结转和结余0.00万元，本年财政拨款收入235.83万元。财政拨款支出总计235.83万元，其中：年末财政拨款结转和结余0.00万元，本年财政拨款支出235.83万元。</w:t>
      </w:r>
    </w:p>
    <w:p w14:paraId="4281123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财政拨款收入支出总体与上年相比，减少15.87万元，下降6.31%，主要原因是：本年单位</w:t>
      </w:r>
      <w:r>
        <w:rPr>
          <w:rFonts w:hint="eastAsia" w:ascii="仿宋_GB2312" w:eastAsia="仿宋_GB2312"/>
          <w:sz w:val="32"/>
          <w:szCs w:val="32"/>
          <w:lang w:eastAsia="zh-CN"/>
        </w:rPr>
        <w:t>长聘人员减少，长聘人员工资福利补贴经费减少；人员一次性</w:t>
      </w:r>
      <w:r>
        <w:rPr>
          <w:rFonts w:ascii="仿宋_GB2312" w:eastAsia="仿宋_GB2312"/>
          <w:sz w:val="32"/>
          <w:szCs w:val="32"/>
          <w:lang w:eastAsia="zh-CN"/>
        </w:rPr>
        <w:t>职业年金缴费</w:t>
      </w:r>
      <w:r>
        <w:rPr>
          <w:rFonts w:hint="eastAsia" w:ascii="仿宋_GB2312" w:eastAsia="仿宋_GB2312"/>
          <w:sz w:val="32"/>
          <w:szCs w:val="32"/>
          <w:lang w:eastAsia="zh-CN"/>
        </w:rPr>
        <w:t>减少</w:t>
      </w:r>
      <w:r>
        <w:rPr>
          <w:rFonts w:ascii="仿宋_GB2312" w:eastAsia="仿宋_GB2312"/>
          <w:sz w:val="32"/>
          <w:szCs w:val="32"/>
          <w:lang w:eastAsia="zh-CN"/>
        </w:rPr>
        <w:t>。与年初预算相比，年初预算数217.78万元，决算数235.83万元，预决算差异率8.29%，主要原因是：</w:t>
      </w:r>
      <w:r>
        <w:rPr>
          <w:rFonts w:hint="eastAsia" w:ascii="仿宋_GB2312" w:eastAsia="仿宋_GB2312"/>
          <w:sz w:val="32"/>
          <w:szCs w:val="32"/>
          <w:lang w:eastAsia="zh-CN"/>
        </w:rPr>
        <w:t>单位本年人员增加</w:t>
      </w:r>
      <w:r>
        <w:rPr>
          <w:rFonts w:ascii="仿宋_GB2312" w:eastAsia="仿宋_GB2312"/>
          <w:sz w:val="32"/>
          <w:szCs w:val="32"/>
          <w:lang w:eastAsia="zh-CN"/>
        </w:rPr>
        <w:t>，</w:t>
      </w:r>
      <w:r>
        <w:rPr>
          <w:rFonts w:hint="eastAsia" w:ascii="仿宋_GB2312" w:eastAsia="仿宋_GB2312"/>
          <w:sz w:val="32"/>
          <w:szCs w:val="32"/>
          <w:lang w:eastAsia="zh-CN"/>
        </w:rPr>
        <w:t>年中追加</w:t>
      </w:r>
      <w:r>
        <w:rPr>
          <w:rFonts w:ascii="仿宋_GB2312" w:eastAsia="仿宋_GB2312"/>
          <w:sz w:val="32"/>
          <w:szCs w:val="32"/>
          <w:lang w:eastAsia="zh-CN"/>
        </w:rPr>
        <w:t>人员</w:t>
      </w:r>
      <w:r>
        <w:rPr>
          <w:rFonts w:hint="eastAsia" w:ascii="仿宋_GB2312" w:eastAsia="仿宋_GB2312"/>
          <w:sz w:val="32"/>
          <w:szCs w:val="32"/>
          <w:lang w:eastAsia="zh-CN"/>
        </w:rPr>
        <w:t>工资</w:t>
      </w:r>
      <w:r>
        <w:rPr>
          <w:rFonts w:ascii="仿宋_GB2312" w:eastAsia="仿宋_GB2312"/>
          <w:sz w:val="32"/>
          <w:szCs w:val="32"/>
          <w:lang w:eastAsia="zh-CN"/>
        </w:rPr>
        <w:t>、津</w:t>
      </w:r>
      <w:r>
        <w:rPr>
          <w:rFonts w:hint="eastAsia" w:ascii="仿宋_GB2312" w:eastAsia="仿宋_GB2312"/>
          <w:sz w:val="32"/>
          <w:szCs w:val="32"/>
          <w:lang w:eastAsia="zh-CN"/>
        </w:rPr>
        <w:t>贴</w:t>
      </w:r>
      <w:r>
        <w:rPr>
          <w:rFonts w:ascii="仿宋_GB2312" w:eastAsia="仿宋_GB2312"/>
          <w:sz w:val="32"/>
          <w:szCs w:val="32"/>
          <w:lang w:eastAsia="zh-CN"/>
        </w:rPr>
        <w:t>补贴、奖金等经费。</w:t>
      </w:r>
    </w:p>
    <w:p w14:paraId="2A22F8F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67EDA1C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04BE329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2024年度一般公共预算财政拨款支出235.83万元，占本年支出合计的38.34%。与上年相比，减少15.87万元，下降6.31%，主要原因是：本年单位</w:t>
      </w:r>
      <w:r>
        <w:rPr>
          <w:rFonts w:hint="eastAsia" w:ascii="仿宋_GB2312" w:eastAsia="仿宋_GB2312"/>
          <w:sz w:val="32"/>
          <w:szCs w:val="32"/>
          <w:lang w:eastAsia="zh-CN"/>
        </w:rPr>
        <w:t>长聘人员减少，长聘人员工资福利补贴经费减少；人员一次性</w:t>
      </w:r>
      <w:r>
        <w:rPr>
          <w:rFonts w:ascii="仿宋_GB2312" w:eastAsia="仿宋_GB2312"/>
          <w:sz w:val="32"/>
          <w:szCs w:val="32"/>
          <w:lang w:eastAsia="zh-CN"/>
        </w:rPr>
        <w:t>职业年金缴费</w:t>
      </w:r>
      <w:r>
        <w:rPr>
          <w:rFonts w:hint="eastAsia" w:ascii="仿宋_GB2312" w:eastAsia="仿宋_GB2312"/>
          <w:sz w:val="32"/>
          <w:szCs w:val="32"/>
          <w:lang w:eastAsia="zh-CN"/>
        </w:rPr>
        <w:t>减少</w:t>
      </w:r>
      <w:r>
        <w:rPr>
          <w:rFonts w:ascii="仿宋_GB2312" w:eastAsia="仿宋_GB2312"/>
          <w:sz w:val="32"/>
          <w:szCs w:val="32"/>
          <w:lang w:eastAsia="zh-CN"/>
        </w:rPr>
        <w:t>。与年初预算相比，年初预算数217.78万元，决算数235.83万元，预决算差异率8.29%，主要原因是：</w:t>
      </w:r>
      <w:r>
        <w:rPr>
          <w:rFonts w:hint="eastAsia" w:ascii="仿宋_GB2312" w:eastAsia="仿宋_GB2312"/>
          <w:sz w:val="32"/>
          <w:szCs w:val="32"/>
          <w:lang w:eastAsia="zh-CN"/>
        </w:rPr>
        <w:t>单位本年人员增加</w:t>
      </w:r>
      <w:r>
        <w:rPr>
          <w:rFonts w:ascii="仿宋_GB2312" w:eastAsia="仿宋_GB2312"/>
          <w:sz w:val="32"/>
          <w:szCs w:val="32"/>
          <w:lang w:eastAsia="zh-CN"/>
        </w:rPr>
        <w:t>，</w:t>
      </w:r>
      <w:r>
        <w:rPr>
          <w:rFonts w:hint="eastAsia" w:ascii="仿宋_GB2312" w:eastAsia="仿宋_GB2312"/>
          <w:sz w:val="32"/>
          <w:szCs w:val="32"/>
          <w:lang w:eastAsia="zh-CN"/>
        </w:rPr>
        <w:t>年中追加</w:t>
      </w:r>
      <w:r>
        <w:rPr>
          <w:rFonts w:ascii="仿宋_GB2312" w:eastAsia="仿宋_GB2312"/>
          <w:sz w:val="32"/>
          <w:szCs w:val="32"/>
          <w:lang w:eastAsia="zh-CN"/>
        </w:rPr>
        <w:t>人员</w:t>
      </w:r>
      <w:r>
        <w:rPr>
          <w:rFonts w:hint="eastAsia" w:ascii="仿宋_GB2312" w:eastAsia="仿宋_GB2312"/>
          <w:sz w:val="32"/>
          <w:szCs w:val="32"/>
          <w:lang w:eastAsia="zh-CN"/>
        </w:rPr>
        <w:t>工资</w:t>
      </w:r>
      <w:r>
        <w:rPr>
          <w:rFonts w:ascii="仿宋_GB2312" w:eastAsia="仿宋_GB2312"/>
          <w:sz w:val="32"/>
          <w:szCs w:val="32"/>
          <w:lang w:eastAsia="zh-CN"/>
        </w:rPr>
        <w:t>、津</w:t>
      </w:r>
      <w:r>
        <w:rPr>
          <w:rFonts w:hint="eastAsia" w:ascii="仿宋_GB2312" w:eastAsia="仿宋_GB2312"/>
          <w:sz w:val="32"/>
          <w:szCs w:val="32"/>
          <w:lang w:eastAsia="zh-CN"/>
        </w:rPr>
        <w:t>贴</w:t>
      </w:r>
      <w:r>
        <w:rPr>
          <w:rFonts w:ascii="仿宋_GB2312" w:eastAsia="仿宋_GB2312"/>
          <w:sz w:val="32"/>
          <w:szCs w:val="32"/>
          <w:lang w:eastAsia="zh-CN"/>
        </w:rPr>
        <w:t>补贴、奖金等经费。</w:t>
      </w:r>
    </w:p>
    <w:p w14:paraId="6E6D3A5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F7548CA">
      <w:pPr>
        <w:pStyle w:val="25"/>
        <w:numPr>
          <w:ilvl w:val="0"/>
          <w:numId w:val="1"/>
        </w:numPr>
        <w:spacing w:after="0" w:line="240" w:lineRule="auto"/>
        <w:ind w:firstLineChars="0"/>
        <w:jc w:val="both"/>
        <w:rPr>
          <w:rFonts w:hint="eastAsia" w:ascii="仿宋_GB2312" w:eastAsia="仿宋_GB2312"/>
          <w:sz w:val="32"/>
          <w:szCs w:val="32"/>
          <w:lang w:eastAsia="zh-CN"/>
        </w:rPr>
      </w:pPr>
      <w:r>
        <w:rPr>
          <w:rFonts w:ascii="仿宋_GB2312" w:eastAsia="仿宋_GB2312"/>
          <w:sz w:val="32"/>
          <w:szCs w:val="32"/>
          <w:lang w:eastAsia="zh-CN"/>
        </w:rPr>
        <w:t>社会保障和就业支出（类）24.56万元，占10.41%。</w:t>
      </w:r>
    </w:p>
    <w:p w14:paraId="6CB10CEF">
      <w:pPr>
        <w:pStyle w:val="25"/>
        <w:numPr>
          <w:ilvl w:val="0"/>
          <w:numId w:val="1"/>
        </w:numPr>
        <w:spacing w:after="0" w:line="240" w:lineRule="auto"/>
        <w:ind w:firstLineChars="0"/>
        <w:jc w:val="both"/>
        <w:rPr>
          <w:rFonts w:hint="eastAsia" w:ascii="仿宋_GB2312" w:eastAsia="仿宋_GB2312"/>
          <w:sz w:val="32"/>
          <w:szCs w:val="32"/>
          <w:lang w:eastAsia="zh-CN"/>
        </w:rPr>
      </w:pPr>
      <w:r>
        <w:rPr>
          <w:rFonts w:ascii="仿宋_GB2312" w:eastAsia="仿宋_GB2312"/>
          <w:sz w:val="32"/>
          <w:szCs w:val="32"/>
          <w:lang w:eastAsia="zh-CN"/>
        </w:rPr>
        <w:t>卫生健康支出（类）192.16万元，占81.48%。</w:t>
      </w:r>
    </w:p>
    <w:p w14:paraId="7C4F5E44">
      <w:pPr>
        <w:pStyle w:val="25"/>
        <w:numPr>
          <w:ilvl w:val="0"/>
          <w:numId w:val="1"/>
        </w:numPr>
        <w:spacing w:after="0" w:line="240" w:lineRule="auto"/>
        <w:ind w:firstLineChars="0"/>
        <w:jc w:val="both"/>
        <w:rPr>
          <w:rFonts w:hint="eastAsia" w:ascii="仿宋_GB2312" w:eastAsia="仿宋_GB2312"/>
          <w:sz w:val="32"/>
          <w:szCs w:val="32"/>
          <w:lang w:eastAsia="zh-CN"/>
        </w:rPr>
      </w:pPr>
      <w:r>
        <w:rPr>
          <w:rFonts w:ascii="仿宋_GB2312" w:eastAsia="仿宋_GB2312"/>
          <w:sz w:val="32"/>
          <w:szCs w:val="32"/>
          <w:lang w:eastAsia="zh-CN"/>
        </w:rPr>
        <w:t>住房保障支出（类）19.11万元，占8.10%。</w:t>
      </w:r>
    </w:p>
    <w:p w14:paraId="06AB488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5AA4CF8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1、社会保障和就业支出（类）行政事业单位养老支出（款）机关事业单位基本养老保险缴费支出（项）：支出决算数为24.56万元，比上年决算增加4.77万元，增长24.10%，主要原因是：</w:t>
      </w:r>
      <w:bookmarkStart w:id="0" w:name="_Hlk209267990"/>
      <w:r>
        <w:rPr>
          <w:rFonts w:hint="eastAsia" w:ascii="仿宋_GB2312" w:eastAsia="仿宋_GB2312"/>
          <w:sz w:val="32"/>
          <w:szCs w:val="32"/>
          <w:lang w:eastAsia="zh-CN"/>
        </w:rPr>
        <w:t>单位本年社保缴费基数调增，人员养老保险缴费增加</w:t>
      </w:r>
      <w:bookmarkEnd w:id="0"/>
      <w:r>
        <w:rPr>
          <w:rFonts w:ascii="仿宋_GB2312" w:eastAsia="仿宋_GB2312"/>
          <w:sz w:val="32"/>
          <w:szCs w:val="32"/>
          <w:lang w:eastAsia="zh-CN"/>
        </w:rPr>
        <w:t>。</w:t>
      </w:r>
    </w:p>
    <w:p w14:paraId="2562446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2、社会保障和就业支出（类）行政事业单位养老支出（款）机关事业单位职业年金缴费支出（项）：支出决算数为0.00万元，比上年决算减少5.75万元，下降100.00%，主要原因是：本年单位</w:t>
      </w:r>
      <w:r>
        <w:rPr>
          <w:rFonts w:hint="eastAsia" w:ascii="仿宋_GB2312" w:eastAsia="仿宋_GB2312"/>
          <w:sz w:val="32"/>
          <w:szCs w:val="32"/>
          <w:lang w:eastAsia="zh-CN"/>
        </w:rPr>
        <w:t>人员一次性</w:t>
      </w:r>
      <w:r>
        <w:rPr>
          <w:rFonts w:ascii="仿宋_GB2312" w:eastAsia="仿宋_GB2312"/>
          <w:sz w:val="32"/>
          <w:szCs w:val="32"/>
          <w:lang w:eastAsia="zh-CN"/>
        </w:rPr>
        <w:t>职业年金缴费</w:t>
      </w:r>
      <w:r>
        <w:rPr>
          <w:rFonts w:hint="eastAsia" w:ascii="仿宋_GB2312" w:eastAsia="仿宋_GB2312"/>
          <w:sz w:val="32"/>
          <w:szCs w:val="32"/>
          <w:lang w:eastAsia="zh-CN"/>
        </w:rPr>
        <w:t>减少</w:t>
      </w:r>
      <w:r>
        <w:rPr>
          <w:rFonts w:ascii="仿宋_GB2312" w:eastAsia="仿宋_GB2312"/>
          <w:sz w:val="32"/>
          <w:szCs w:val="32"/>
          <w:lang w:eastAsia="zh-CN"/>
        </w:rPr>
        <w:t>。</w:t>
      </w:r>
    </w:p>
    <w:p w14:paraId="309B4BC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3、卫生健康支出（类）基层医疗卫生机构（款）乡镇卫生院（项）：支出决算数为179.07万元，比上年决算减少47.09万元，下降20.82%，主要原因是：本年</w:t>
      </w:r>
      <w:r>
        <w:rPr>
          <w:rFonts w:hint="eastAsia" w:ascii="仿宋_GB2312" w:eastAsia="仿宋_GB2312"/>
          <w:sz w:val="32"/>
          <w:szCs w:val="32"/>
          <w:lang w:eastAsia="zh-CN"/>
        </w:rPr>
        <w:t>功能科目调整，将</w:t>
      </w:r>
      <w:r>
        <w:rPr>
          <w:rFonts w:ascii="仿宋_GB2312" w:eastAsia="仿宋_GB2312"/>
          <w:sz w:val="32"/>
          <w:szCs w:val="32"/>
          <w:lang w:eastAsia="zh-CN"/>
        </w:rPr>
        <w:t>乡镇卫生院</w:t>
      </w:r>
      <w:r>
        <w:rPr>
          <w:rFonts w:hint="eastAsia" w:ascii="仿宋_GB2312" w:eastAsia="仿宋_GB2312"/>
          <w:sz w:val="32"/>
          <w:szCs w:val="32"/>
          <w:lang w:eastAsia="zh-CN"/>
        </w:rPr>
        <w:t>款项中</w:t>
      </w:r>
      <w:r>
        <w:rPr>
          <w:rFonts w:ascii="仿宋_GB2312" w:eastAsia="仿宋_GB2312"/>
          <w:sz w:val="32"/>
          <w:szCs w:val="32"/>
          <w:lang w:eastAsia="zh-CN"/>
        </w:rPr>
        <w:t>医疗保险缴费、公务员医疗补助、住房公积金</w:t>
      </w:r>
      <w:r>
        <w:rPr>
          <w:rFonts w:hint="eastAsia" w:ascii="仿宋_GB2312" w:eastAsia="仿宋_GB2312"/>
          <w:sz w:val="32"/>
          <w:szCs w:val="32"/>
          <w:lang w:eastAsia="zh-CN"/>
        </w:rPr>
        <w:t>缴费调整至单独科目核算，导致此项经费减少</w:t>
      </w:r>
      <w:r>
        <w:rPr>
          <w:rFonts w:ascii="仿宋_GB2312" w:eastAsia="仿宋_GB2312"/>
          <w:sz w:val="32"/>
          <w:szCs w:val="32"/>
          <w:lang w:eastAsia="zh-CN"/>
        </w:rPr>
        <w:t>。</w:t>
      </w:r>
    </w:p>
    <w:p w14:paraId="7842914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4、卫生健康支出（类）行政事业单位医疗（款）事业单位医疗（项）：支出决算数为10.56万元，比上年决算增加10.56万元，增长100.00%，主要原因是：本年</w:t>
      </w:r>
      <w:r>
        <w:rPr>
          <w:rFonts w:hint="eastAsia" w:ascii="仿宋_GB2312" w:eastAsia="仿宋_GB2312"/>
          <w:sz w:val="32"/>
          <w:szCs w:val="32"/>
          <w:lang w:eastAsia="zh-CN"/>
        </w:rPr>
        <w:t>功能科目调整，将</w:t>
      </w:r>
      <w:r>
        <w:rPr>
          <w:rFonts w:ascii="仿宋_GB2312" w:eastAsia="仿宋_GB2312"/>
          <w:sz w:val="32"/>
          <w:szCs w:val="32"/>
          <w:lang w:eastAsia="zh-CN"/>
        </w:rPr>
        <w:t>乡镇卫生院</w:t>
      </w:r>
      <w:r>
        <w:rPr>
          <w:rFonts w:hint="eastAsia" w:ascii="仿宋_GB2312" w:eastAsia="仿宋_GB2312"/>
          <w:sz w:val="32"/>
          <w:szCs w:val="32"/>
          <w:lang w:eastAsia="zh-CN"/>
        </w:rPr>
        <w:t>款项中职工基本医疗保险缴费调整至单独科目核算，导致此项经费</w:t>
      </w:r>
      <w:r>
        <w:rPr>
          <w:rFonts w:hint="eastAsia" w:ascii="仿宋_GB2312" w:eastAsia="仿宋_GB2312"/>
          <w:sz w:val="32"/>
          <w:szCs w:val="32"/>
          <w:lang w:val="en-US" w:eastAsia="zh-CN"/>
        </w:rPr>
        <w:t>增加</w:t>
      </w:r>
      <w:r>
        <w:rPr>
          <w:rFonts w:ascii="仿宋_GB2312" w:eastAsia="仿宋_GB2312"/>
          <w:sz w:val="32"/>
          <w:szCs w:val="32"/>
          <w:lang w:eastAsia="zh-CN"/>
        </w:rPr>
        <w:t>。</w:t>
      </w:r>
    </w:p>
    <w:p w14:paraId="1EA9669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5、卫生健康支出（类）行政事业单位医疗（款）公务员医疗补助（项）：支出决算数为2.52万元，比上年决算增加2.52万元，增长100.00%，主要原因是：本年</w:t>
      </w:r>
      <w:r>
        <w:rPr>
          <w:rFonts w:hint="eastAsia" w:ascii="仿宋_GB2312" w:eastAsia="仿宋_GB2312"/>
          <w:sz w:val="32"/>
          <w:szCs w:val="32"/>
          <w:lang w:eastAsia="zh-CN"/>
        </w:rPr>
        <w:t>功能科目调整，将</w:t>
      </w:r>
      <w:r>
        <w:rPr>
          <w:rFonts w:ascii="仿宋_GB2312" w:eastAsia="仿宋_GB2312"/>
          <w:sz w:val="32"/>
          <w:szCs w:val="32"/>
          <w:lang w:eastAsia="zh-CN"/>
        </w:rPr>
        <w:t>乡镇卫生院</w:t>
      </w:r>
      <w:r>
        <w:rPr>
          <w:rFonts w:hint="eastAsia" w:ascii="仿宋_GB2312" w:eastAsia="仿宋_GB2312"/>
          <w:sz w:val="32"/>
          <w:szCs w:val="32"/>
          <w:lang w:eastAsia="zh-CN"/>
        </w:rPr>
        <w:t>款项中</w:t>
      </w:r>
      <w:r>
        <w:rPr>
          <w:rFonts w:ascii="仿宋_GB2312" w:eastAsia="仿宋_GB2312"/>
          <w:sz w:val="32"/>
          <w:szCs w:val="32"/>
          <w:lang w:eastAsia="zh-CN"/>
        </w:rPr>
        <w:t>公务员医疗补助</w:t>
      </w:r>
      <w:r>
        <w:rPr>
          <w:rFonts w:hint="eastAsia" w:ascii="仿宋_GB2312" w:eastAsia="仿宋_GB2312"/>
          <w:sz w:val="32"/>
          <w:szCs w:val="32"/>
          <w:lang w:eastAsia="zh-CN"/>
        </w:rPr>
        <w:t>缴费调整至单独科目核算，导致此项经费</w:t>
      </w:r>
      <w:r>
        <w:rPr>
          <w:rFonts w:hint="eastAsia" w:ascii="仿宋_GB2312" w:eastAsia="仿宋_GB2312"/>
          <w:sz w:val="32"/>
          <w:szCs w:val="32"/>
          <w:lang w:val="en-US" w:eastAsia="zh-CN"/>
        </w:rPr>
        <w:t>增加</w:t>
      </w:r>
      <w:r>
        <w:rPr>
          <w:rFonts w:ascii="仿宋_GB2312" w:eastAsia="仿宋_GB2312"/>
          <w:sz w:val="32"/>
          <w:szCs w:val="32"/>
          <w:lang w:eastAsia="zh-CN"/>
        </w:rPr>
        <w:t>。</w:t>
      </w:r>
    </w:p>
    <w:p w14:paraId="0FCC0B6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6、住房保障支出（类）住房改革支出（款）住房公积金（项）：支出决算数为19.11万元，比上年决算增加19.11万元，增长100.00%，主要原因是：本年</w:t>
      </w:r>
      <w:r>
        <w:rPr>
          <w:rFonts w:hint="eastAsia" w:ascii="仿宋_GB2312" w:eastAsia="仿宋_GB2312"/>
          <w:sz w:val="32"/>
          <w:szCs w:val="32"/>
          <w:lang w:eastAsia="zh-CN"/>
        </w:rPr>
        <w:t>功能科目调整，将</w:t>
      </w:r>
      <w:r>
        <w:rPr>
          <w:rFonts w:ascii="仿宋_GB2312" w:eastAsia="仿宋_GB2312"/>
          <w:sz w:val="32"/>
          <w:szCs w:val="32"/>
          <w:lang w:eastAsia="zh-CN"/>
        </w:rPr>
        <w:t>乡镇卫生院</w:t>
      </w:r>
      <w:r>
        <w:rPr>
          <w:rFonts w:hint="eastAsia" w:ascii="仿宋_GB2312" w:eastAsia="仿宋_GB2312"/>
          <w:sz w:val="32"/>
          <w:szCs w:val="32"/>
          <w:lang w:eastAsia="zh-CN"/>
        </w:rPr>
        <w:t>款项中</w:t>
      </w:r>
      <w:r>
        <w:rPr>
          <w:rFonts w:ascii="仿宋_GB2312" w:eastAsia="仿宋_GB2312"/>
          <w:sz w:val="32"/>
          <w:szCs w:val="32"/>
          <w:lang w:eastAsia="zh-CN"/>
        </w:rPr>
        <w:t>住房公积金</w:t>
      </w:r>
      <w:r>
        <w:rPr>
          <w:rFonts w:hint="eastAsia" w:ascii="仿宋_GB2312" w:eastAsia="仿宋_GB2312"/>
          <w:sz w:val="32"/>
          <w:szCs w:val="32"/>
          <w:lang w:eastAsia="zh-CN"/>
        </w:rPr>
        <w:t>缴费调整至单独科目核算，导致此项经费</w:t>
      </w:r>
      <w:r>
        <w:rPr>
          <w:rFonts w:hint="eastAsia" w:ascii="仿宋_GB2312" w:eastAsia="仿宋_GB2312"/>
          <w:sz w:val="32"/>
          <w:szCs w:val="32"/>
          <w:lang w:val="en-US" w:eastAsia="zh-CN"/>
        </w:rPr>
        <w:t>增加</w:t>
      </w:r>
      <w:r>
        <w:rPr>
          <w:rFonts w:ascii="仿宋_GB2312" w:eastAsia="仿宋_GB2312"/>
          <w:sz w:val="32"/>
          <w:szCs w:val="32"/>
          <w:lang w:eastAsia="zh-CN"/>
        </w:rPr>
        <w:t>。</w:t>
      </w:r>
    </w:p>
    <w:p w14:paraId="750DD56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2F4747F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235.83万元，其中：人员经费233.38万元，包括：基本工资、津贴补贴、奖金、绩效工资、机关事业单位基本养老保险缴费、职工基本医疗保险缴费、公务员医疗补助缴费、其他社会保障缴费和住房公积金。</w:t>
      </w:r>
    </w:p>
    <w:p w14:paraId="1FC86B3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公用经费2.45万元，包括：公务用车运行维护费。</w:t>
      </w:r>
    </w:p>
    <w:p w14:paraId="6957E4C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0D86F63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B41E5D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51D81D1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1D711B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A2DC1A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2024年度财政拨款“三公”经费支出2.45万元，比上年增加1.55万元，增长172.22%，主要原因是：</w:t>
      </w:r>
      <w:bookmarkStart w:id="1" w:name="_Hlk208327975"/>
      <w:r>
        <w:rPr>
          <w:rFonts w:hint="eastAsia" w:ascii="仿宋_GB2312" w:eastAsia="仿宋_GB2312"/>
          <w:sz w:val="32"/>
          <w:szCs w:val="32"/>
          <w:lang w:eastAsia="zh-CN"/>
        </w:rPr>
        <w:t>单位本年车辆出行次数增加，车辆燃</w:t>
      </w:r>
      <w:r>
        <w:rPr>
          <w:rFonts w:ascii="仿宋_GB2312" w:eastAsia="仿宋_GB2312"/>
          <w:sz w:val="32"/>
          <w:szCs w:val="32"/>
          <w:lang w:eastAsia="zh-CN"/>
        </w:rPr>
        <w:t>油费</w:t>
      </w:r>
      <w:r>
        <w:rPr>
          <w:rFonts w:hint="eastAsia" w:ascii="仿宋_GB2312" w:eastAsia="仿宋_GB2312"/>
          <w:sz w:val="32"/>
          <w:szCs w:val="32"/>
          <w:lang w:eastAsia="zh-CN"/>
        </w:rPr>
        <w:t>、维修费</w:t>
      </w:r>
      <w:r>
        <w:rPr>
          <w:rFonts w:ascii="仿宋_GB2312" w:eastAsia="仿宋_GB2312"/>
          <w:sz w:val="32"/>
          <w:szCs w:val="32"/>
          <w:lang w:eastAsia="zh-CN"/>
        </w:rPr>
        <w:t>增加</w:t>
      </w:r>
      <w:bookmarkEnd w:id="1"/>
      <w:r>
        <w:rPr>
          <w:rFonts w:ascii="仿宋_GB2312" w:eastAsia="仿宋_GB2312"/>
          <w:sz w:val="32"/>
          <w:szCs w:val="32"/>
          <w:lang w:eastAsia="zh-CN"/>
        </w:rPr>
        <w:t>。其中：因公出国（境）费支出0.00万元,占0.00%，与上年相比无变化，主要原因是：</w:t>
      </w:r>
      <w:bookmarkStart w:id="2" w:name="_Hlk207114081"/>
      <w:bookmarkStart w:id="3" w:name="_Hlk207720892"/>
      <w:r>
        <w:rPr>
          <w:rFonts w:hint="eastAsia" w:ascii="仿宋_GB2312" w:eastAsia="仿宋_GB2312"/>
          <w:sz w:val="32"/>
          <w:szCs w:val="32"/>
          <w:lang w:eastAsia="zh-CN"/>
        </w:rPr>
        <w:t>我单位上年度与本年度均无</w:t>
      </w:r>
      <w:bookmarkEnd w:id="2"/>
      <w:r>
        <w:rPr>
          <w:rFonts w:hint="eastAsia" w:ascii="仿宋_GB2312" w:eastAsia="仿宋_GB2312"/>
          <w:sz w:val="32"/>
          <w:szCs w:val="32"/>
          <w:lang w:eastAsia="zh-CN"/>
        </w:rPr>
        <w:t>此项经费</w:t>
      </w:r>
      <w:bookmarkEnd w:id="3"/>
      <w:r>
        <w:rPr>
          <w:rFonts w:ascii="仿宋_GB2312" w:eastAsia="仿宋_GB2312"/>
          <w:sz w:val="32"/>
          <w:szCs w:val="32"/>
          <w:lang w:eastAsia="zh-CN"/>
        </w:rPr>
        <w:t>；公务用车购置及运行维护费支出2.45万元，占100.00%，比上年增加1.55万元，增长172.22%，主要原因是：</w:t>
      </w:r>
      <w:r>
        <w:rPr>
          <w:rFonts w:hint="eastAsia" w:ascii="仿宋_GB2312" w:eastAsia="仿宋_GB2312"/>
          <w:sz w:val="32"/>
          <w:szCs w:val="32"/>
          <w:lang w:eastAsia="zh-CN"/>
        </w:rPr>
        <w:t>单位本年车辆出行次数增加，车辆燃</w:t>
      </w:r>
      <w:r>
        <w:rPr>
          <w:rFonts w:ascii="仿宋_GB2312" w:eastAsia="仿宋_GB2312"/>
          <w:sz w:val="32"/>
          <w:szCs w:val="32"/>
          <w:lang w:eastAsia="zh-CN"/>
        </w:rPr>
        <w:t>油费</w:t>
      </w:r>
      <w:r>
        <w:rPr>
          <w:rFonts w:hint="eastAsia" w:ascii="仿宋_GB2312" w:eastAsia="仿宋_GB2312"/>
          <w:sz w:val="32"/>
          <w:szCs w:val="32"/>
          <w:lang w:eastAsia="zh-CN"/>
        </w:rPr>
        <w:t>、维修费</w:t>
      </w:r>
      <w:r>
        <w:rPr>
          <w:rFonts w:ascii="仿宋_GB2312" w:eastAsia="仿宋_GB2312"/>
          <w:sz w:val="32"/>
          <w:szCs w:val="32"/>
          <w:lang w:eastAsia="zh-CN"/>
        </w:rPr>
        <w:t>增加；公务接待费支出0.00万元，占0.00%，与上年相比无变化，主要原因是：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49B09EB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5F550C5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4" w:name="_Hlk207127465"/>
      <w:r>
        <w:rPr>
          <w:rFonts w:ascii="仿宋_GB2312" w:eastAsia="仿宋_GB2312"/>
          <w:sz w:val="32"/>
          <w:szCs w:val="32"/>
          <w:lang w:eastAsia="zh-CN"/>
        </w:rPr>
        <w:t>本单位本年无因公出国（境）费</w:t>
      </w:r>
      <w:bookmarkEnd w:id="4"/>
      <w:r>
        <w:rPr>
          <w:rFonts w:ascii="仿宋_GB2312" w:eastAsia="仿宋_GB2312"/>
          <w:sz w:val="32"/>
          <w:szCs w:val="32"/>
          <w:lang w:eastAsia="zh-CN"/>
        </w:rPr>
        <w:t>。单位全年安排的因公出国（境）团组0个，因公出国（境）0人次。</w:t>
      </w:r>
    </w:p>
    <w:p w14:paraId="3739A9C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公务用车购置及运行维护费2.45万元，其中：公务用车购置费0.00万元，公务用车运行维护费2.45万元。公务用车运行维护费开支内容包括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w:t>
      </w:r>
      <w:bookmarkStart w:id="9" w:name="_GoBack"/>
      <w:bookmarkEnd w:id="9"/>
      <w:r>
        <w:rPr>
          <w:rFonts w:ascii="仿宋_GB2312" w:eastAsia="仿宋_GB2312"/>
          <w:sz w:val="32"/>
          <w:szCs w:val="32"/>
          <w:lang w:eastAsia="zh-CN"/>
        </w:rPr>
        <w:t>用车保有量3辆。国有资产占用情况中固定资产车辆3辆，与公务用车保有量差异原因是：</w:t>
      </w:r>
      <w:bookmarkStart w:id="5" w:name="_Hlk208326029"/>
      <w:r>
        <w:rPr>
          <w:rFonts w:hint="eastAsia" w:ascii="仿宋_GB2312" w:eastAsia="仿宋_GB2312"/>
          <w:sz w:val="32"/>
          <w:szCs w:val="32"/>
          <w:lang w:eastAsia="zh-CN"/>
        </w:rPr>
        <w:t>本单位固定资产车辆与公务用车保有量一致无差异</w:t>
      </w:r>
      <w:bookmarkEnd w:id="5"/>
      <w:r>
        <w:rPr>
          <w:rFonts w:ascii="仿宋_GB2312" w:eastAsia="仿宋_GB2312"/>
          <w:sz w:val="32"/>
          <w:szCs w:val="32"/>
          <w:lang w:eastAsia="zh-CN"/>
        </w:rPr>
        <w:t>。</w:t>
      </w:r>
    </w:p>
    <w:p w14:paraId="7644413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6" w:name="_Hlk207128367"/>
      <w:r>
        <w:rPr>
          <w:rFonts w:ascii="仿宋_GB2312" w:eastAsia="仿宋_GB2312"/>
          <w:sz w:val="32"/>
          <w:szCs w:val="32"/>
          <w:lang w:eastAsia="zh-CN"/>
        </w:rPr>
        <w:t>本单位本年无公务接待费</w:t>
      </w:r>
      <w:bookmarkEnd w:id="6"/>
      <w:r>
        <w:rPr>
          <w:rFonts w:ascii="仿宋_GB2312" w:eastAsia="仿宋_GB2312"/>
          <w:sz w:val="32"/>
          <w:szCs w:val="32"/>
          <w:lang w:eastAsia="zh-CN"/>
        </w:rPr>
        <w:t>。单位全年安排的国内公务接待0批次，0人次。</w:t>
      </w:r>
    </w:p>
    <w:p w14:paraId="2005E0E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与全年预算相比，财政拨款“三公”经费支出全年预算数2.45万元，决算数2.45万元，预决算差异率0.00%，主要原因是：</w:t>
      </w:r>
      <w:bookmarkStart w:id="7" w:name="_Hlk207110149"/>
      <w:r>
        <w:rPr>
          <w:rFonts w:hint="eastAsia" w:ascii="仿宋_GB2312" w:eastAsia="仿宋_GB2312"/>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；公务用车运行维护费全年预算数2.45万元，决算数2.45万元，预决算差异率0.00%，主要原因是：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DF0A95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5AC577C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7EBC0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2024年度乌鲁木齐市米东区柏杨河卫生院（人口和计划生育生殖健康服务站）单位（事业单位）公用经费支出2.45万元，比上年减少7.99万元，下降76.53%，主要原因是：单位</w:t>
      </w:r>
      <w:r>
        <w:rPr>
          <w:rFonts w:hint="eastAsia" w:ascii="仿宋_GB2312" w:eastAsia="仿宋_GB2312"/>
          <w:sz w:val="32"/>
          <w:szCs w:val="32"/>
          <w:lang w:eastAsia="zh-CN"/>
        </w:rPr>
        <w:t>本年取暖费、劳务费、其他交通费减少</w:t>
      </w:r>
      <w:r>
        <w:rPr>
          <w:rFonts w:ascii="仿宋_GB2312" w:eastAsia="仿宋_GB2312"/>
          <w:sz w:val="32"/>
          <w:szCs w:val="32"/>
          <w:lang w:eastAsia="zh-CN"/>
        </w:rPr>
        <w:t>。</w:t>
      </w:r>
    </w:p>
    <w:p w14:paraId="1ADBC3B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21571B0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5262C28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411C856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4668992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截至2024年12月31日，房屋1,530.00平方米，价值93.51万元。</w:t>
      </w:r>
      <w:r>
        <w:rPr>
          <w:rFonts w:ascii="仿宋_GB2312" w:eastAsia="仿宋_GB2312"/>
          <w:sz w:val="32"/>
          <w:szCs w:val="32"/>
          <w:lang w:eastAsia="zh-CN"/>
        </w:rPr>
        <w:t>车辆3辆，价值70.81万元，其中：副部（省）级及以上领导用车0辆、主要负责人用车0辆、机要通信用车0辆、应急保障用车0辆、执法执勤用车0辆、特种专业技术用车3辆、离退休干部服务用车0辆、其他用车0辆，其他用车主要是：单位</w:t>
      </w:r>
      <w:r>
        <w:rPr>
          <w:rFonts w:hint="eastAsia" w:ascii="仿宋_GB2312" w:eastAsia="仿宋_GB2312"/>
          <w:sz w:val="32"/>
          <w:szCs w:val="32"/>
          <w:lang w:eastAsia="zh-CN"/>
        </w:rPr>
        <w:t>无其他</w:t>
      </w:r>
      <w:r>
        <w:rPr>
          <w:rFonts w:ascii="仿宋_GB2312" w:eastAsia="仿宋_GB2312"/>
          <w:sz w:val="32"/>
          <w:szCs w:val="32"/>
          <w:lang w:eastAsia="zh-CN"/>
        </w:rPr>
        <w:t>用车;单价100万元（含）以上设备（不含车辆）0台（套）。</w:t>
      </w:r>
    </w:p>
    <w:p w14:paraId="08C1D3B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2EDDDD3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648.72万元，实际执行总额615.07万元；预算绩效评价项目0.00个，全年预算数0.00万元，全年执行数0.00万元。预算绩效管理取得的成效：一是健康管理精准化，医护人员借助完善的健康档案，全面了解居民健康状况、疾病史和生活习惯，能够精准制定个性化健康管理方案，实现疾病早发现、早诊断、早治疗；二是改变高危健康行为，在建档随访过程中，通过宣传教育和健康指导，居民健康意识显著提高，更加注重自身健康管理，主动改善生活方式，如合理饮食、适量运动、戒烟限酒等，从源头上预防疾病发生，促进全民健康素养提升大力宣传健康体检，并下村为居民体检，早发现早治疗，并指导患者养成健康的生活方式。发现的问题及原因：一是党建活动形式虽多样，但部分活动的深度还不够，党员在参与过程中对一些党建知识和理念的理解还停留在表面，未能充分挖掘其内涵并转化为实际行动的指导</w:t>
      </w:r>
      <w:r>
        <w:rPr>
          <w:rFonts w:hint="eastAsia" w:ascii="仿宋_GB2312" w:eastAsia="仿宋_GB2312"/>
          <w:sz w:val="32"/>
          <w:szCs w:val="32"/>
          <w:lang w:eastAsia="zh-CN"/>
        </w:rPr>
        <w:t>；</w:t>
      </w:r>
      <w:r>
        <w:rPr>
          <w:rFonts w:ascii="仿宋_GB2312" w:eastAsia="仿宋_GB2312"/>
          <w:sz w:val="32"/>
          <w:szCs w:val="32"/>
          <w:lang w:eastAsia="zh-CN"/>
        </w:rPr>
        <w:t>二是在党纪学习教育和党风廉政教育方面，虽然开展了不少活动，但针对个别党员的监督和跟踪落实机制还不够完善，存在个别党员学习效果不佳、未能将廉政要求切实贯彻到日常工作中的情况</w:t>
      </w:r>
      <w:r>
        <w:rPr>
          <w:rFonts w:hint="eastAsia" w:ascii="仿宋_GB2312" w:eastAsia="仿宋_GB2312"/>
          <w:sz w:val="32"/>
          <w:szCs w:val="32"/>
          <w:lang w:eastAsia="zh-CN"/>
        </w:rPr>
        <w:t>；</w:t>
      </w:r>
      <w:r>
        <w:rPr>
          <w:rFonts w:ascii="仿宋_GB2312" w:eastAsia="仿宋_GB2312"/>
          <w:sz w:val="32"/>
          <w:szCs w:val="32"/>
          <w:lang w:eastAsia="zh-CN"/>
        </w:rPr>
        <w:t>三是主题教育成果的巩固和拓展还需加强，部分调研成果虽已形成，但在实际工作中的应用和推广还不够到位，未能充分发挥主题教育对推动单位整体发展的长效作用。下一步改进措施：一是深化党建活动内涵</w:t>
      </w:r>
      <w:r>
        <w:rPr>
          <w:rFonts w:hint="eastAsia" w:ascii="仿宋_GB2312" w:eastAsia="仿宋_GB2312"/>
          <w:sz w:val="32"/>
          <w:szCs w:val="32"/>
          <w:lang w:eastAsia="zh-CN"/>
        </w:rPr>
        <w:t>，</w:t>
      </w:r>
      <w:r>
        <w:rPr>
          <w:rFonts w:ascii="仿宋_GB2312" w:eastAsia="仿宋_GB2312"/>
          <w:sz w:val="32"/>
          <w:szCs w:val="32"/>
          <w:lang w:eastAsia="zh-CN"/>
        </w:rPr>
        <w:t>精心设计党建活动方案，在保持形式多样的基础上，注重活动的深度挖掘</w:t>
      </w:r>
      <w:r>
        <w:rPr>
          <w:rFonts w:hint="eastAsia" w:ascii="仿宋_GB2312" w:eastAsia="仿宋_GB2312"/>
          <w:sz w:val="32"/>
          <w:szCs w:val="32"/>
          <w:lang w:eastAsia="zh-CN"/>
        </w:rPr>
        <w:t>；</w:t>
      </w:r>
      <w:r>
        <w:rPr>
          <w:rFonts w:ascii="仿宋_GB2312" w:eastAsia="仿宋_GB2312"/>
          <w:sz w:val="32"/>
          <w:szCs w:val="32"/>
          <w:lang w:eastAsia="zh-CN"/>
        </w:rPr>
        <w:t>二是完善监督落实机制加强对党纪学习教育和党风廉政教育的监督跟踪，建立党员个人学习档案，记录党员参与学习活动情况以及学习后的实际表现</w:t>
      </w:r>
      <w:r>
        <w:rPr>
          <w:rFonts w:hint="eastAsia" w:ascii="仿宋_GB2312" w:eastAsia="仿宋_GB2312"/>
          <w:sz w:val="32"/>
          <w:szCs w:val="32"/>
          <w:lang w:eastAsia="zh-CN"/>
        </w:rPr>
        <w:t>；</w:t>
      </w:r>
      <w:r>
        <w:rPr>
          <w:rFonts w:ascii="仿宋_GB2312" w:eastAsia="仿宋_GB2312"/>
          <w:sz w:val="32"/>
          <w:szCs w:val="32"/>
          <w:lang w:eastAsia="zh-CN"/>
        </w:rPr>
        <w:t>三是巩固拓展主题教育成果</w:t>
      </w:r>
      <w:r>
        <w:rPr>
          <w:rFonts w:hint="eastAsia" w:ascii="仿宋_GB2312" w:eastAsia="仿宋_GB2312"/>
          <w:sz w:val="32"/>
          <w:szCs w:val="32"/>
          <w:lang w:eastAsia="zh-CN"/>
        </w:rPr>
        <w:t>，</w:t>
      </w:r>
      <w:r>
        <w:rPr>
          <w:rFonts w:ascii="仿宋_GB2312" w:eastAsia="仿宋_GB2312"/>
          <w:sz w:val="32"/>
          <w:szCs w:val="32"/>
          <w:lang w:eastAsia="zh-CN"/>
        </w:rPr>
        <w:t>建立主题教育成果转化跟踪机制，明确各部门在应用调研成果方面的职责，定期对成果应用情况进行评估。具体附部门整体支出绩效自评表。</w:t>
      </w:r>
      <w:bookmarkStart w:id="8" w:name="_Hlk174962300"/>
    </w:p>
    <w:p w14:paraId="4C404AE0">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2BE2D3F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5B0CA66E">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5D0C7A7">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8B5D2C1">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乌鲁木齐市米东区柏杨河卫生院（人口和计划生育生殖健康服务站）</w:t>
            </w:r>
          </w:p>
        </w:tc>
      </w:tr>
      <w:tr w14:paraId="31332E11">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9D73813">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786B2890">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329712B9">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724907DC">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6E2F0FCD">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39014A18">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6806F1F5">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2B4D6908">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4057565E">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49F69A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65CC9B69">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672DF3E5">
            <w:pPr>
              <w:jc w:val="center"/>
              <w:rPr>
                <w:rFonts w:hint="eastAsia" w:ascii="宋体" w:hAnsi="宋体" w:eastAsia="宋体" w:cs="宋体"/>
                <w:sz w:val="18"/>
                <w:szCs w:val="18"/>
              </w:rPr>
            </w:pPr>
            <w:r>
              <w:rPr>
                <w:rFonts w:hint="eastAsia" w:ascii="宋体" w:hAnsi="宋体" w:eastAsia="宋体" w:cs="宋体"/>
                <w:sz w:val="18"/>
                <w:szCs w:val="18"/>
              </w:rPr>
              <w:t>217.78</w:t>
            </w:r>
          </w:p>
        </w:tc>
        <w:tc>
          <w:tcPr>
            <w:tcW w:w="1276" w:type="dxa"/>
            <w:tcBorders>
              <w:top w:val="nil"/>
              <w:left w:val="nil"/>
              <w:bottom w:val="single" w:color="auto" w:sz="4" w:space="0"/>
              <w:right w:val="single" w:color="auto" w:sz="4" w:space="0"/>
            </w:tcBorders>
            <w:vAlign w:val="center"/>
          </w:tcPr>
          <w:p w14:paraId="112C5665">
            <w:pPr>
              <w:jc w:val="center"/>
              <w:rPr>
                <w:rFonts w:hint="eastAsia" w:ascii="宋体" w:hAnsi="宋体" w:eastAsia="宋体" w:cs="宋体"/>
                <w:sz w:val="18"/>
                <w:szCs w:val="18"/>
              </w:rPr>
            </w:pPr>
            <w:r>
              <w:rPr>
                <w:rFonts w:hint="eastAsia" w:ascii="宋体" w:hAnsi="宋体" w:eastAsia="宋体" w:cs="宋体"/>
                <w:sz w:val="18"/>
                <w:szCs w:val="18"/>
              </w:rPr>
              <w:t>648.72</w:t>
            </w:r>
          </w:p>
        </w:tc>
        <w:tc>
          <w:tcPr>
            <w:tcW w:w="1701" w:type="dxa"/>
            <w:tcBorders>
              <w:top w:val="nil"/>
              <w:left w:val="nil"/>
              <w:bottom w:val="single" w:color="auto" w:sz="4" w:space="0"/>
              <w:right w:val="single" w:color="auto" w:sz="4" w:space="0"/>
            </w:tcBorders>
            <w:vAlign w:val="center"/>
          </w:tcPr>
          <w:p w14:paraId="4A0BFF91">
            <w:pPr>
              <w:jc w:val="center"/>
              <w:rPr>
                <w:rFonts w:hint="eastAsia" w:ascii="宋体" w:hAnsi="宋体" w:eastAsia="宋体" w:cs="宋体"/>
                <w:sz w:val="18"/>
                <w:szCs w:val="18"/>
              </w:rPr>
            </w:pPr>
            <w:r>
              <w:rPr>
                <w:rFonts w:hint="eastAsia" w:ascii="宋体" w:hAnsi="宋体" w:eastAsia="宋体" w:cs="宋体"/>
                <w:sz w:val="18"/>
                <w:szCs w:val="18"/>
              </w:rPr>
              <w:t>615.07</w:t>
            </w:r>
          </w:p>
        </w:tc>
        <w:tc>
          <w:tcPr>
            <w:tcW w:w="1134" w:type="dxa"/>
            <w:tcBorders>
              <w:top w:val="nil"/>
              <w:left w:val="nil"/>
              <w:bottom w:val="single" w:color="auto" w:sz="4" w:space="0"/>
              <w:right w:val="single" w:color="auto" w:sz="4" w:space="0"/>
            </w:tcBorders>
            <w:vAlign w:val="center"/>
          </w:tcPr>
          <w:p w14:paraId="61053398">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4C12F4DE">
            <w:pPr>
              <w:jc w:val="center"/>
              <w:rPr>
                <w:rFonts w:hint="eastAsia" w:ascii="宋体" w:hAnsi="宋体" w:eastAsia="宋体" w:cs="宋体"/>
                <w:sz w:val="18"/>
                <w:szCs w:val="18"/>
              </w:rPr>
            </w:pPr>
            <w:r>
              <w:rPr>
                <w:rFonts w:hint="eastAsia" w:ascii="宋体" w:hAnsi="宋体" w:eastAsia="宋体" w:cs="宋体"/>
                <w:sz w:val="18"/>
                <w:szCs w:val="18"/>
              </w:rPr>
              <w:t>94.81%</w:t>
            </w:r>
          </w:p>
        </w:tc>
        <w:tc>
          <w:tcPr>
            <w:tcW w:w="720" w:type="dxa"/>
            <w:tcBorders>
              <w:top w:val="nil"/>
              <w:left w:val="nil"/>
              <w:bottom w:val="single" w:color="auto" w:sz="4" w:space="0"/>
              <w:right w:val="single" w:color="auto" w:sz="4" w:space="0"/>
            </w:tcBorders>
            <w:vAlign w:val="center"/>
          </w:tcPr>
          <w:p w14:paraId="3C931A9E">
            <w:pPr>
              <w:jc w:val="center"/>
              <w:rPr>
                <w:rFonts w:hint="eastAsia" w:ascii="宋体" w:hAnsi="宋体" w:eastAsia="宋体" w:cs="宋体"/>
                <w:sz w:val="18"/>
                <w:szCs w:val="18"/>
              </w:rPr>
            </w:pPr>
            <w:r>
              <w:rPr>
                <w:rFonts w:hint="eastAsia" w:ascii="宋体" w:hAnsi="宋体" w:eastAsia="宋体" w:cs="宋体"/>
                <w:sz w:val="18"/>
                <w:szCs w:val="18"/>
              </w:rPr>
              <w:t>9.48</w:t>
            </w:r>
          </w:p>
        </w:tc>
      </w:tr>
      <w:tr w14:paraId="1EDBB381">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ED099D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B6FA00D">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35DB79F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06BE8619">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182C3A7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01E37B82">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59EB32B9">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257483C">
            <w:pPr>
              <w:jc w:val="center"/>
              <w:rPr>
                <w:rFonts w:hint="eastAsia" w:ascii="宋体" w:hAnsi="宋体" w:eastAsia="宋体" w:cs="宋体"/>
                <w:sz w:val="18"/>
                <w:szCs w:val="18"/>
              </w:rPr>
            </w:pPr>
            <w:r>
              <w:rPr>
                <w:rFonts w:hint="eastAsia" w:ascii="宋体" w:hAnsi="宋体" w:eastAsia="宋体"/>
                <w:sz w:val="18"/>
                <w:szCs w:val="18"/>
              </w:rPr>
              <w:t>-</w:t>
            </w:r>
          </w:p>
        </w:tc>
      </w:tr>
      <w:tr w14:paraId="5FF87752">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2168B1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9229BD2">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0BE77AD2">
            <w:pPr>
              <w:jc w:val="center"/>
              <w:rPr>
                <w:rFonts w:hint="eastAsia" w:ascii="宋体" w:hAnsi="宋体" w:eastAsia="宋体" w:cs="宋体"/>
                <w:sz w:val="18"/>
                <w:szCs w:val="18"/>
              </w:rPr>
            </w:pPr>
            <w:r>
              <w:rPr>
                <w:rFonts w:hint="eastAsia" w:ascii="宋体" w:hAnsi="宋体" w:eastAsia="宋体" w:cs="宋体"/>
                <w:sz w:val="18"/>
                <w:szCs w:val="18"/>
              </w:rPr>
              <w:t>217.78</w:t>
            </w:r>
          </w:p>
        </w:tc>
        <w:tc>
          <w:tcPr>
            <w:tcW w:w="1276" w:type="dxa"/>
            <w:tcBorders>
              <w:top w:val="nil"/>
              <w:left w:val="nil"/>
              <w:bottom w:val="single" w:color="auto" w:sz="4" w:space="0"/>
              <w:right w:val="single" w:color="auto" w:sz="4" w:space="0"/>
            </w:tcBorders>
            <w:vAlign w:val="center"/>
          </w:tcPr>
          <w:p w14:paraId="11EE1179">
            <w:pPr>
              <w:jc w:val="center"/>
              <w:rPr>
                <w:rFonts w:hint="eastAsia" w:ascii="宋体" w:hAnsi="宋体" w:eastAsia="宋体" w:cs="宋体"/>
                <w:sz w:val="18"/>
                <w:szCs w:val="18"/>
              </w:rPr>
            </w:pPr>
            <w:r>
              <w:rPr>
                <w:rFonts w:hint="eastAsia" w:ascii="宋体" w:hAnsi="宋体" w:eastAsia="宋体" w:cs="宋体"/>
                <w:sz w:val="18"/>
                <w:szCs w:val="18"/>
              </w:rPr>
              <w:t>235.83</w:t>
            </w:r>
          </w:p>
        </w:tc>
        <w:tc>
          <w:tcPr>
            <w:tcW w:w="1701" w:type="dxa"/>
            <w:tcBorders>
              <w:top w:val="nil"/>
              <w:left w:val="nil"/>
              <w:bottom w:val="single" w:color="auto" w:sz="4" w:space="0"/>
              <w:right w:val="single" w:color="auto" w:sz="4" w:space="0"/>
            </w:tcBorders>
            <w:vAlign w:val="center"/>
          </w:tcPr>
          <w:p w14:paraId="083165CC">
            <w:pPr>
              <w:jc w:val="center"/>
              <w:rPr>
                <w:rFonts w:hint="eastAsia" w:ascii="宋体" w:hAnsi="宋体" w:eastAsia="宋体" w:cs="宋体"/>
                <w:sz w:val="18"/>
                <w:szCs w:val="18"/>
              </w:rPr>
            </w:pPr>
            <w:r>
              <w:rPr>
                <w:rFonts w:hint="eastAsia" w:ascii="宋体" w:hAnsi="宋体" w:eastAsia="宋体" w:cs="宋体"/>
                <w:sz w:val="18"/>
                <w:szCs w:val="18"/>
              </w:rPr>
              <w:t>235.83</w:t>
            </w:r>
          </w:p>
        </w:tc>
        <w:tc>
          <w:tcPr>
            <w:tcW w:w="1134" w:type="dxa"/>
            <w:tcBorders>
              <w:top w:val="nil"/>
              <w:left w:val="nil"/>
              <w:bottom w:val="single" w:color="auto" w:sz="4" w:space="0"/>
              <w:right w:val="single" w:color="auto" w:sz="4" w:space="0"/>
            </w:tcBorders>
            <w:vAlign w:val="center"/>
          </w:tcPr>
          <w:p w14:paraId="2B23181D">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54BAF243">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F9A51A1">
            <w:pPr>
              <w:jc w:val="center"/>
              <w:rPr>
                <w:rFonts w:hint="eastAsia" w:ascii="宋体" w:hAnsi="宋体" w:eastAsia="宋体" w:cs="宋体"/>
                <w:sz w:val="18"/>
                <w:szCs w:val="18"/>
              </w:rPr>
            </w:pPr>
            <w:r>
              <w:rPr>
                <w:rFonts w:hint="eastAsia" w:ascii="宋体" w:hAnsi="宋体" w:eastAsia="宋体"/>
                <w:sz w:val="18"/>
                <w:szCs w:val="18"/>
              </w:rPr>
              <w:t>-</w:t>
            </w:r>
          </w:p>
        </w:tc>
      </w:tr>
      <w:tr w14:paraId="03A6475A">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384E0C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E99F3F9">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020ACB0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4F938067">
            <w:pPr>
              <w:jc w:val="center"/>
              <w:rPr>
                <w:rFonts w:hint="eastAsia" w:ascii="宋体" w:hAnsi="宋体" w:eastAsia="宋体" w:cs="宋体"/>
                <w:sz w:val="18"/>
                <w:szCs w:val="18"/>
              </w:rPr>
            </w:pPr>
            <w:r>
              <w:rPr>
                <w:rFonts w:hint="eastAsia" w:ascii="宋体" w:hAnsi="宋体" w:eastAsia="宋体" w:cs="宋体"/>
                <w:sz w:val="18"/>
                <w:szCs w:val="18"/>
              </w:rPr>
              <w:t>412.89</w:t>
            </w:r>
          </w:p>
        </w:tc>
        <w:tc>
          <w:tcPr>
            <w:tcW w:w="1701" w:type="dxa"/>
            <w:tcBorders>
              <w:top w:val="nil"/>
              <w:left w:val="nil"/>
              <w:bottom w:val="single" w:color="auto" w:sz="4" w:space="0"/>
              <w:right w:val="single" w:color="auto" w:sz="4" w:space="0"/>
            </w:tcBorders>
            <w:vAlign w:val="center"/>
          </w:tcPr>
          <w:p w14:paraId="1C7D987A">
            <w:pPr>
              <w:jc w:val="center"/>
              <w:rPr>
                <w:rFonts w:hint="eastAsia" w:ascii="宋体" w:hAnsi="宋体" w:eastAsia="宋体" w:cs="宋体"/>
                <w:sz w:val="18"/>
                <w:szCs w:val="18"/>
              </w:rPr>
            </w:pPr>
            <w:r>
              <w:rPr>
                <w:rFonts w:hint="eastAsia" w:ascii="宋体" w:hAnsi="宋体" w:eastAsia="宋体" w:cs="宋体"/>
                <w:sz w:val="18"/>
                <w:szCs w:val="18"/>
              </w:rPr>
              <w:t>379.24</w:t>
            </w:r>
          </w:p>
        </w:tc>
        <w:tc>
          <w:tcPr>
            <w:tcW w:w="1134" w:type="dxa"/>
            <w:tcBorders>
              <w:top w:val="nil"/>
              <w:left w:val="nil"/>
              <w:bottom w:val="single" w:color="auto" w:sz="4" w:space="0"/>
              <w:right w:val="single" w:color="auto" w:sz="4" w:space="0"/>
            </w:tcBorders>
            <w:vAlign w:val="center"/>
          </w:tcPr>
          <w:p w14:paraId="23391AE8">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66733CEE">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E3A5B2E">
            <w:pPr>
              <w:jc w:val="center"/>
              <w:rPr>
                <w:rFonts w:hint="eastAsia" w:ascii="宋体" w:hAnsi="宋体" w:eastAsia="宋体" w:cs="宋体"/>
                <w:sz w:val="18"/>
                <w:szCs w:val="18"/>
              </w:rPr>
            </w:pPr>
            <w:r>
              <w:rPr>
                <w:rFonts w:hint="eastAsia" w:ascii="宋体" w:hAnsi="宋体" w:eastAsia="宋体" w:cs="宋体"/>
                <w:sz w:val="18"/>
                <w:szCs w:val="18"/>
              </w:rPr>
              <w:t>-</w:t>
            </w:r>
          </w:p>
        </w:tc>
      </w:tr>
      <w:tr w14:paraId="73EE6434">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62DD46D">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1D476ACD">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20BCF7F5">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0DDB1594">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54716BE">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7E59D2C9">
            <w:pPr>
              <w:rPr>
                <w:rFonts w:hint="eastAsia" w:ascii="宋体" w:hAnsi="宋体" w:eastAsia="宋体" w:cs="宋体"/>
                <w:sz w:val="18"/>
                <w:szCs w:val="18"/>
                <w:lang w:eastAsia="zh-CN"/>
              </w:rPr>
            </w:pPr>
            <w:r>
              <w:rPr>
                <w:rFonts w:hint="eastAsia" w:ascii="宋体" w:hAnsi="宋体" w:eastAsia="宋体" w:cs="宋体"/>
                <w:sz w:val="18"/>
                <w:szCs w:val="18"/>
                <w:lang w:eastAsia="zh-CN"/>
              </w:rPr>
              <w:t>我院的主要职责：为辖区居民身体健康提供医疗和预防保健服务，受区卫生行政主管部门的委托，承担所在乡（镇）的公共卫生管理工作。推动卫生健康的发展、提高了医疗水平、提高医疗条件、改善医疗环境。二、2024年我院主要工作任务，以公共卫生服务为主，提供预防、保健、基本医疗、康复、健康教育和计划生育技术服务等为主要内容的综合性卫生服务；1、按照国家规范要求获得健康管理人数的比例，反应高血压患者健康管理服务的数量，规范高血压健康档案的填写，提高服务质量；2、按照国家基本公共卫生服务规范，发放健康教育印刷资料的种类，数量和内容；开展每月一次健康教育知识讲座，开展公众健康咨询服务，开展个性化健康教育服务，每年按照区疾控中心下发主题宣传日，进行健康教育宣传。3、2024年按照辖区总人口数，建立居民健康档案达到75%，规范电子健康档案报送率，通过智能客户端，电视、APP,网站等向个人开放，使居民健康档案真实完整。</w:t>
            </w:r>
          </w:p>
        </w:tc>
        <w:tc>
          <w:tcPr>
            <w:tcW w:w="4547" w:type="dxa"/>
            <w:gridSpan w:val="4"/>
            <w:tcBorders>
              <w:top w:val="single" w:color="auto" w:sz="4" w:space="0"/>
              <w:left w:val="nil"/>
              <w:bottom w:val="single" w:color="auto" w:sz="4" w:space="0"/>
              <w:right w:val="single" w:color="auto" w:sz="4" w:space="0"/>
            </w:tcBorders>
          </w:tcPr>
          <w:p w14:paraId="13AEB06D">
            <w:pPr>
              <w:rPr>
                <w:rFonts w:hint="eastAsia" w:ascii="宋体" w:hAnsi="宋体" w:eastAsia="宋体" w:cs="宋体"/>
                <w:sz w:val="18"/>
                <w:szCs w:val="18"/>
                <w:lang w:eastAsia="zh-CN"/>
              </w:rPr>
            </w:pPr>
            <w:r>
              <w:rPr>
                <w:rFonts w:hint="eastAsia" w:ascii="宋体" w:hAnsi="宋体" w:eastAsia="宋体" w:cs="宋体"/>
                <w:sz w:val="18"/>
                <w:szCs w:val="18"/>
                <w:lang w:eastAsia="zh-CN"/>
              </w:rPr>
              <w:t>1、全面及时了解居民的健康状况坚定了一定的基础,提高群众的健康文明的生活方式和健康意识；2、为辖区人民群众提供更好的医疗服务,维护社会稳定；3、全年完成辖区内常住居民电子健康档案建档率96.10%，使健康管理精准化，医护人员借助完善的健康档案，全面了解居民健康状况、疾病史和生活习惯，能够精准制定个性化健康管理方案，实现疾病早发现、早诊断、早治疗。；4、高血压患者规范管理率87.14%，重视高血压患者规范管理工作，高血压规范化管理在临床中的应用，能够借助建立患者个人档案、科学的健康指导、针对性饮食干预以及定期随访、药物指导、积极组织高血压自管小组活动、加大慢病宣传力度等方式进行有效干预，进而引导患者积极参与健康生活，提高患者对自身疾病及并发症危害的了解和认识程度，增加患者的治疗积极性，提升治疗有效率。；5、健康教育知识讲座次数12次，通过健康教育知识讲座加强了村民对高血压，糖尿病、艾滋病等慢性病的预防和防治意识，预防慢性病，增进健康；倡导村民合理膳食，适量运动、戒烟限酒、心理平衡等健康生活方式；提高了村民的健康文明的生活方式和健康意识。</w:t>
            </w:r>
          </w:p>
        </w:tc>
      </w:tr>
      <w:tr w14:paraId="76CA0EDC">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EF41BF8">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EBFB741">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24DF594">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12F22D8A">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52FD57D9">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031DEF0E">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5EC89A36">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4966C883">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182AF49F">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03F4BC7B">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4E9BA845">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131A351B">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辖区内常住居民电子健康档案建档率</w:t>
            </w:r>
          </w:p>
        </w:tc>
        <w:tc>
          <w:tcPr>
            <w:tcW w:w="1276" w:type="dxa"/>
            <w:tcBorders>
              <w:top w:val="nil"/>
              <w:left w:val="nil"/>
              <w:bottom w:val="single" w:color="auto" w:sz="4" w:space="0"/>
              <w:right w:val="single" w:color="auto" w:sz="4" w:space="0"/>
            </w:tcBorders>
            <w:noWrap/>
            <w:vAlign w:val="center"/>
          </w:tcPr>
          <w:p w14:paraId="4564C23A">
            <w:pPr>
              <w:jc w:val="center"/>
              <w:rPr>
                <w:rFonts w:hint="eastAsia" w:ascii="宋体" w:hAnsi="宋体" w:eastAsia="宋体" w:cs="宋体"/>
                <w:sz w:val="18"/>
                <w:szCs w:val="18"/>
              </w:rPr>
            </w:pPr>
            <w:r>
              <w:rPr>
                <w:rFonts w:hint="eastAsia" w:ascii="宋体" w:hAnsi="宋体" w:eastAsia="宋体" w:cs="宋体"/>
                <w:sz w:val="18"/>
                <w:szCs w:val="18"/>
              </w:rPr>
              <w:t>&gt;=75%</w:t>
            </w:r>
          </w:p>
        </w:tc>
        <w:tc>
          <w:tcPr>
            <w:tcW w:w="1701" w:type="dxa"/>
            <w:tcBorders>
              <w:top w:val="nil"/>
              <w:left w:val="nil"/>
              <w:bottom w:val="single" w:color="auto" w:sz="4" w:space="0"/>
              <w:right w:val="single" w:color="auto" w:sz="4" w:space="0"/>
            </w:tcBorders>
            <w:noWrap/>
            <w:vAlign w:val="center"/>
          </w:tcPr>
          <w:p w14:paraId="02503260">
            <w:pPr>
              <w:rPr>
                <w:rFonts w:hint="eastAsia" w:ascii="宋体" w:hAnsi="宋体" w:eastAsia="宋体" w:cs="宋体"/>
                <w:sz w:val="18"/>
                <w:szCs w:val="18"/>
                <w:lang w:eastAsia="zh-CN"/>
              </w:rPr>
            </w:pPr>
            <w:r>
              <w:rPr>
                <w:rFonts w:hint="eastAsia" w:ascii="宋体" w:hAnsi="宋体" w:eastAsia="宋体" w:cs="宋体"/>
                <w:sz w:val="18"/>
                <w:szCs w:val="18"/>
                <w:lang w:eastAsia="zh-CN"/>
              </w:rPr>
              <w:t>国家基本公共卫生服务规范第三版和自治区基层医疗卫生机构绩效考核方案（试行）的通知</w:t>
            </w:r>
          </w:p>
        </w:tc>
        <w:tc>
          <w:tcPr>
            <w:tcW w:w="1134" w:type="dxa"/>
            <w:tcBorders>
              <w:top w:val="nil"/>
              <w:left w:val="nil"/>
              <w:bottom w:val="single" w:color="auto" w:sz="4" w:space="0"/>
              <w:right w:val="single" w:color="auto" w:sz="4" w:space="0"/>
            </w:tcBorders>
            <w:noWrap/>
            <w:vAlign w:val="center"/>
          </w:tcPr>
          <w:p w14:paraId="1069A4C3">
            <w:pPr>
              <w:jc w:val="center"/>
              <w:rPr>
                <w:rFonts w:hint="eastAsia" w:ascii="宋体" w:hAnsi="宋体" w:eastAsia="宋体" w:cs="宋体"/>
                <w:sz w:val="18"/>
                <w:szCs w:val="18"/>
              </w:rPr>
            </w:pPr>
            <w:r>
              <w:rPr>
                <w:rFonts w:hint="eastAsia" w:ascii="宋体" w:hAnsi="宋体" w:eastAsia="宋体" w:cs="宋体"/>
                <w:sz w:val="18"/>
                <w:szCs w:val="18"/>
              </w:rPr>
              <w:t>96.10%</w:t>
            </w:r>
          </w:p>
        </w:tc>
        <w:tc>
          <w:tcPr>
            <w:tcW w:w="992" w:type="dxa"/>
            <w:tcBorders>
              <w:top w:val="nil"/>
              <w:left w:val="nil"/>
              <w:bottom w:val="single" w:color="auto" w:sz="4" w:space="0"/>
              <w:right w:val="single" w:color="auto" w:sz="4" w:space="0"/>
            </w:tcBorders>
            <w:noWrap/>
            <w:vAlign w:val="center"/>
          </w:tcPr>
          <w:p w14:paraId="09E6F529">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5E4944B2">
            <w:pPr>
              <w:jc w:val="center"/>
              <w:rPr>
                <w:rFonts w:hint="eastAsia" w:ascii="宋体" w:hAnsi="宋体" w:eastAsia="宋体" w:cs="宋体"/>
                <w:sz w:val="18"/>
                <w:szCs w:val="18"/>
              </w:rPr>
            </w:pPr>
            <w:r>
              <w:rPr>
                <w:rFonts w:hint="eastAsia" w:ascii="宋体" w:hAnsi="宋体" w:eastAsia="宋体" w:cs="宋体"/>
                <w:sz w:val="18"/>
                <w:szCs w:val="18"/>
              </w:rPr>
              <w:t>30</w:t>
            </w:r>
          </w:p>
        </w:tc>
      </w:tr>
      <w:tr w14:paraId="2873FCF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C0A049B">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413D1392">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C9AABF4">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高血压患者规范管理率</w:t>
            </w:r>
          </w:p>
        </w:tc>
        <w:tc>
          <w:tcPr>
            <w:tcW w:w="1276" w:type="dxa"/>
            <w:tcBorders>
              <w:top w:val="nil"/>
              <w:left w:val="nil"/>
              <w:bottom w:val="single" w:color="auto" w:sz="4" w:space="0"/>
              <w:right w:val="single" w:color="auto" w:sz="4" w:space="0"/>
            </w:tcBorders>
            <w:noWrap/>
            <w:vAlign w:val="center"/>
          </w:tcPr>
          <w:p w14:paraId="4CA10568">
            <w:pPr>
              <w:jc w:val="center"/>
              <w:rPr>
                <w:rFonts w:hint="eastAsia" w:ascii="宋体" w:hAnsi="宋体" w:eastAsia="宋体" w:cs="宋体"/>
                <w:sz w:val="18"/>
                <w:szCs w:val="18"/>
              </w:rPr>
            </w:pPr>
            <w:r>
              <w:rPr>
                <w:rFonts w:hint="eastAsia" w:ascii="宋体" w:hAnsi="宋体" w:eastAsia="宋体" w:cs="宋体"/>
                <w:sz w:val="18"/>
                <w:szCs w:val="18"/>
              </w:rPr>
              <w:t>&gt;=60%</w:t>
            </w:r>
          </w:p>
        </w:tc>
        <w:tc>
          <w:tcPr>
            <w:tcW w:w="1701" w:type="dxa"/>
            <w:tcBorders>
              <w:top w:val="nil"/>
              <w:left w:val="nil"/>
              <w:bottom w:val="single" w:color="auto" w:sz="4" w:space="0"/>
              <w:right w:val="single" w:color="auto" w:sz="4" w:space="0"/>
            </w:tcBorders>
            <w:noWrap/>
            <w:vAlign w:val="center"/>
          </w:tcPr>
          <w:p w14:paraId="7B1442BE">
            <w:pPr>
              <w:rPr>
                <w:rFonts w:hint="eastAsia" w:ascii="宋体" w:hAnsi="宋体" w:eastAsia="宋体" w:cs="宋体"/>
                <w:sz w:val="18"/>
                <w:szCs w:val="18"/>
                <w:lang w:eastAsia="zh-CN"/>
              </w:rPr>
            </w:pPr>
            <w:r>
              <w:rPr>
                <w:rFonts w:hint="eastAsia" w:ascii="宋体" w:hAnsi="宋体" w:eastAsia="宋体" w:cs="宋体"/>
                <w:sz w:val="18"/>
                <w:szCs w:val="18"/>
                <w:lang w:eastAsia="zh-CN"/>
              </w:rPr>
              <w:t>国家基本公共卫生服务规范第三版和自治区基层医疗卫生机构绩效考核方案（试行）的通知</w:t>
            </w:r>
          </w:p>
        </w:tc>
        <w:tc>
          <w:tcPr>
            <w:tcW w:w="1134" w:type="dxa"/>
            <w:tcBorders>
              <w:top w:val="nil"/>
              <w:left w:val="nil"/>
              <w:bottom w:val="single" w:color="auto" w:sz="4" w:space="0"/>
              <w:right w:val="single" w:color="auto" w:sz="4" w:space="0"/>
            </w:tcBorders>
            <w:noWrap/>
            <w:vAlign w:val="center"/>
          </w:tcPr>
          <w:p w14:paraId="375B7141">
            <w:pPr>
              <w:jc w:val="center"/>
              <w:rPr>
                <w:rFonts w:hint="eastAsia" w:ascii="宋体" w:hAnsi="宋体" w:eastAsia="宋体" w:cs="宋体"/>
                <w:sz w:val="18"/>
                <w:szCs w:val="18"/>
              </w:rPr>
            </w:pPr>
            <w:r>
              <w:rPr>
                <w:rFonts w:hint="eastAsia" w:ascii="宋体" w:hAnsi="宋体" w:eastAsia="宋体" w:cs="宋体"/>
                <w:sz w:val="18"/>
                <w:szCs w:val="18"/>
              </w:rPr>
              <w:t>87.14%</w:t>
            </w:r>
          </w:p>
        </w:tc>
        <w:tc>
          <w:tcPr>
            <w:tcW w:w="992" w:type="dxa"/>
            <w:tcBorders>
              <w:top w:val="nil"/>
              <w:left w:val="nil"/>
              <w:bottom w:val="single" w:color="auto" w:sz="4" w:space="0"/>
              <w:right w:val="single" w:color="auto" w:sz="4" w:space="0"/>
            </w:tcBorders>
            <w:noWrap/>
            <w:vAlign w:val="center"/>
          </w:tcPr>
          <w:p w14:paraId="2155BE15">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760399B6">
            <w:pPr>
              <w:jc w:val="center"/>
              <w:rPr>
                <w:rFonts w:hint="eastAsia" w:ascii="宋体" w:hAnsi="宋体" w:eastAsia="宋体" w:cs="宋体"/>
                <w:sz w:val="18"/>
                <w:szCs w:val="18"/>
              </w:rPr>
            </w:pPr>
            <w:r>
              <w:rPr>
                <w:rFonts w:hint="eastAsia" w:ascii="宋体" w:hAnsi="宋体" w:eastAsia="宋体" w:cs="宋体"/>
                <w:sz w:val="18"/>
                <w:szCs w:val="18"/>
              </w:rPr>
              <w:t>30</w:t>
            </w:r>
          </w:p>
        </w:tc>
      </w:tr>
      <w:tr w14:paraId="592FE4D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4D2956AF">
            <w:pPr>
              <w:jc w:val="center"/>
              <w:rPr>
                <w:rFonts w:hint="eastAsia" w:ascii="宋体" w:hAnsi="宋体" w:eastAsia="宋体" w:cs="宋体"/>
                <w:sz w:val="18"/>
                <w:szCs w:val="18"/>
              </w:rPr>
            </w:pPr>
          </w:p>
        </w:tc>
        <w:tc>
          <w:tcPr>
            <w:tcW w:w="1417" w:type="dxa"/>
            <w:tcBorders>
              <w:top w:val="single" w:color="auto" w:sz="4" w:space="0"/>
              <w:left w:val="nil"/>
              <w:bottom w:val="single" w:color="auto" w:sz="4" w:space="0"/>
              <w:right w:val="single" w:color="auto" w:sz="4" w:space="0"/>
            </w:tcBorders>
            <w:noWrap/>
            <w:vAlign w:val="center"/>
          </w:tcPr>
          <w:p w14:paraId="22E1F9CE">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single" w:color="auto" w:sz="4" w:space="0"/>
              <w:left w:val="nil"/>
              <w:bottom w:val="single" w:color="auto" w:sz="4" w:space="0"/>
              <w:right w:val="single" w:color="auto" w:sz="4" w:space="0"/>
            </w:tcBorders>
            <w:noWrap/>
            <w:vAlign w:val="center"/>
          </w:tcPr>
          <w:p w14:paraId="6D57B49B">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健康教育知识讲座次数</w:t>
            </w:r>
          </w:p>
        </w:tc>
        <w:tc>
          <w:tcPr>
            <w:tcW w:w="1276" w:type="dxa"/>
            <w:tcBorders>
              <w:top w:val="single" w:color="auto" w:sz="4" w:space="0"/>
              <w:left w:val="nil"/>
              <w:bottom w:val="single" w:color="auto" w:sz="4" w:space="0"/>
              <w:right w:val="single" w:color="auto" w:sz="4" w:space="0"/>
            </w:tcBorders>
            <w:noWrap/>
            <w:vAlign w:val="center"/>
          </w:tcPr>
          <w:p w14:paraId="67D4205C">
            <w:pPr>
              <w:jc w:val="center"/>
              <w:rPr>
                <w:rFonts w:hint="eastAsia" w:ascii="宋体" w:hAnsi="宋体" w:eastAsia="宋体" w:cs="宋体"/>
                <w:sz w:val="18"/>
                <w:szCs w:val="18"/>
              </w:rPr>
            </w:pPr>
            <w:r>
              <w:rPr>
                <w:rFonts w:hint="eastAsia" w:ascii="宋体" w:hAnsi="宋体" w:eastAsia="宋体" w:cs="宋体"/>
                <w:sz w:val="18"/>
                <w:szCs w:val="18"/>
              </w:rPr>
              <w:t>&gt;=12次</w:t>
            </w:r>
          </w:p>
        </w:tc>
        <w:tc>
          <w:tcPr>
            <w:tcW w:w="1701" w:type="dxa"/>
            <w:tcBorders>
              <w:top w:val="single" w:color="auto" w:sz="4" w:space="0"/>
              <w:left w:val="nil"/>
              <w:bottom w:val="single" w:color="auto" w:sz="4" w:space="0"/>
              <w:right w:val="single" w:color="auto" w:sz="4" w:space="0"/>
            </w:tcBorders>
            <w:noWrap/>
            <w:vAlign w:val="center"/>
          </w:tcPr>
          <w:p w14:paraId="358BA4CF">
            <w:pPr>
              <w:rPr>
                <w:rFonts w:hint="eastAsia" w:ascii="宋体" w:hAnsi="宋体" w:eastAsia="宋体" w:cs="宋体"/>
                <w:sz w:val="18"/>
                <w:szCs w:val="18"/>
                <w:lang w:eastAsia="zh-CN"/>
              </w:rPr>
            </w:pPr>
            <w:r>
              <w:rPr>
                <w:rFonts w:hint="eastAsia" w:ascii="宋体" w:hAnsi="宋体" w:eastAsia="宋体" w:cs="宋体"/>
                <w:sz w:val="18"/>
                <w:szCs w:val="18"/>
                <w:lang w:eastAsia="zh-CN"/>
              </w:rPr>
              <w:t>国家基本公共卫生服务规范第三版和自治区基层医疗卫生机构绩效考核方案（试行）的通知</w:t>
            </w:r>
          </w:p>
        </w:tc>
        <w:tc>
          <w:tcPr>
            <w:tcW w:w="1134" w:type="dxa"/>
            <w:tcBorders>
              <w:top w:val="single" w:color="auto" w:sz="4" w:space="0"/>
              <w:left w:val="nil"/>
              <w:bottom w:val="single" w:color="auto" w:sz="4" w:space="0"/>
              <w:right w:val="single" w:color="auto" w:sz="4" w:space="0"/>
            </w:tcBorders>
            <w:noWrap/>
            <w:vAlign w:val="center"/>
          </w:tcPr>
          <w:p w14:paraId="2868FB54">
            <w:pPr>
              <w:jc w:val="center"/>
              <w:rPr>
                <w:rFonts w:hint="eastAsia" w:ascii="宋体" w:hAnsi="宋体" w:eastAsia="宋体" w:cs="宋体"/>
                <w:sz w:val="18"/>
                <w:szCs w:val="18"/>
              </w:rPr>
            </w:pPr>
            <w:r>
              <w:rPr>
                <w:rFonts w:hint="eastAsia" w:ascii="宋体" w:hAnsi="宋体" w:eastAsia="宋体" w:cs="宋体"/>
                <w:sz w:val="18"/>
                <w:szCs w:val="18"/>
              </w:rPr>
              <w:t>12次</w:t>
            </w:r>
          </w:p>
        </w:tc>
        <w:tc>
          <w:tcPr>
            <w:tcW w:w="992" w:type="dxa"/>
            <w:tcBorders>
              <w:top w:val="single" w:color="auto" w:sz="4" w:space="0"/>
              <w:left w:val="nil"/>
              <w:bottom w:val="single" w:color="auto" w:sz="4" w:space="0"/>
              <w:right w:val="single" w:color="auto" w:sz="4" w:space="0"/>
            </w:tcBorders>
            <w:noWrap/>
            <w:vAlign w:val="center"/>
          </w:tcPr>
          <w:p w14:paraId="7369F7F3">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38DB8A2F">
            <w:pPr>
              <w:jc w:val="center"/>
              <w:rPr>
                <w:rFonts w:hint="eastAsia" w:ascii="宋体" w:hAnsi="宋体" w:eastAsia="宋体" w:cs="宋体"/>
                <w:sz w:val="18"/>
                <w:szCs w:val="18"/>
              </w:rPr>
            </w:pPr>
            <w:r>
              <w:rPr>
                <w:rFonts w:hint="eastAsia" w:ascii="宋体" w:hAnsi="宋体" w:eastAsia="宋体" w:cs="宋体"/>
                <w:sz w:val="18"/>
                <w:szCs w:val="18"/>
              </w:rPr>
              <w:t>30</w:t>
            </w:r>
          </w:p>
        </w:tc>
      </w:tr>
      <w:tr w14:paraId="5018FA1E">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00EAF799">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1336090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620F2AC0">
            <w:pPr>
              <w:jc w:val="center"/>
              <w:rPr>
                <w:rFonts w:hint="eastAsia" w:ascii="宋体" w:hAnsi="宋体" w:eastAsia="宋体" w:cs="宋体"/>
                <w:sz w:val="18"/>
                <w:szCs w:val="18"/>
              </w:rPr>
            </w:pPr>
            <w:r>
              <w:rPr>
                <w:rFonts w:hint="eastAsia" w:ascii="宋体" w:hAnsi="宋体" w:eastAsia="宋体" w:cs="宋体"/>
                <w:sz w:val="18"/>
                <w:szCs w:val="18"/>
              </w:rPr>
              <w:t>99.48</w:t>
            </w:r>
          </w:p>
        </w:tc>
      </w:tr>
      <w:bookmarkEnd w:id="8"/>
    </w:tbl>
    <w:p w14:paraId="28DF5309">
      <w:pPr>
        <w:rPr>
          <w:rFonts w:hint="eastAsia" w:ascii="宋体" w:hAnsi="宋体" w:eastAsia="宋体" w:cs="宋体"/>
          <w:b/>
          <w:bCs/>
          <w:sz w:val="18"/>
          <w:szCs w:val="18"/>
          <w:lang w:eastAsia="zh-CN"/>
        </w:rPr>
      </w:pPr>
    </w:p>
    <w:p w14:paraId="5139CBC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5F3305E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37CA7A36">
      <w:pPr>
        <w:rPr>
          <w:rFonts w:hint="eastAsia"/>
          <w:lang w:eastAsia="zh-CN"/>
        </w:rPr>
      </w:pPr>
      <w:r>
        <w:rPr>
          <w:sz w:val="0"/>
          <w:szCs w:val="0"/>
          <w:lang w:eastAsia="zh-CN"/>
        </w:rPr>
        <w:br w:type="page"/>
      </w:r>
    </w:p>
    <w:p w14:paraId="6E18E7A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27DD9D0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5236A2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E89825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25614C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3015A8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C203E3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2165DC3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C1DF87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C110E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233533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57DC91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165049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3C7BA0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B08640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B31C006">
      <w:pPr>
        <w:rPr>
          <w:rFonts w:hint="eastAsia"/>
          <w:lang w:eastAsia="zh-CN"/>
        </w:rPr>
      </w:pPr>
      <w:r>
        <w:rPr>
          <w:sz w:val="0"/>
          <w:szCs w:val="0"/>
          <w:lang w:eastAsia="zh-CN"/>
        </w:rPr>
        <w:br w:type="page"/>
      </w:r>
    </w:p>
    <w:p w14:paraId="17D485A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755A5AC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015934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A217F3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30BD3A9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549ABB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6FBFBE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1AD6BA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F0B884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878A6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933E37"/>
    <w:multiLevelType w:val="multilevel"/>
    <w:tmpl w:val="76933E37"/>
    <w:lvl w:ilvl="0" w:tentative="0">
      <w:start w:val="1"/>
      <w:numFmt w:val="decimal"/>
      <w:lvlText w:val="%1."/>
      <w:lvlJc w:val="left"/>
      <w:pPr>
        <w:ind w:left="1080" w:hanging="440"/>
      </w:p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1F6ADE"/>
    <w:rsid w:val="000C1F68"/>
    <w:rsid w:val="001518C3"/>
    <w:rsid w:val="001F6ADE"/>
    <w:rsid w:val="00470114"/>
    <w:rsid w:val="00771DD2"/>
    <w:rsid w:val="00C27489"/>
    <w:rsid w:val="00C54779"/>
    <w:rsid w:val="00CD0E3D"/>
    <w:rsid w:val="00D93379"/>
    <w:rsid w:val="00F41370"/>
    <w:rsid w:val="134216A3"/>
    <w:rsid w:val="3E0A5841"/>
    <w:rsid w:val="73273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 w:type="paragraph" w:styleId="2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7014</Words>
  <Characters>7704</Characters>
  <Lines>241</Lines>
  <Paragraphs>202</Paragraphs>
  <TotalTime>0</TotalTime>
  <ScaleCrop>false</ScaleCrop>
  <LinksUpToDate>false</LinksUpToDate>
  <CharactersWithSpaces>7714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2025-09-29T08:00:00Z</dcterms:created>
  <dc:creator>回上.LAPTOP-7R4U860U</dc:creator>
  <cp:lastModifiedBy>.</cp:lastModifiedBy>
  <dcterms:modified xsi:type="dcterms:W3CDTF">2025-11-20T04:18:14Z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eyJoZGlkIjoiYjYwNjEzMDY1YmY2YWIzMWRmOWNiOTYxNmUyNmI0OTQiLCJ1c2VySWQiOiI0MDk1MDg2NjAifQ==</vt:lpwstr>
  </property>
  <property fmtid="{D5CDD505-2E9C-101B-9397-08002B2CF9AE}" pid="4" name="ICV">
    <vt:lpwstr>E34B6668F0E547CE9C0CBF847576EBD9_12</vt:lpwstr>
  </property>
</Properties>
</file>