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bookmarkStart w:id="1" w:name="_GoBack"/>
      <w:bookmarkEnd w:id="1"/>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乌鲁木齐市米东区柏杨河哈萨克</w:t>
      </w:r>
      <w:r>
        <w:rPr>
          <w:rFonts w:hint="eastAsia" w:ascii="宋体" w:eastAsia="黑体"/>
          <w:sz w:val="44"/>
          <w:szCs w:val="44"/>
          <w:lang w:eastAsia="zh-CN"/>
        </w:rPr>
        <w:t>族乡</w:t>
      </w:r>
    </w:p>
    <w:p>
      <w:pPr>
        <w:spacing w:after="0" w:line="240" w:lineRule="auto"/>
        <w:jc w:val="center"/>
        <w:outlineLvl w:val="0"/>
        <w:rPr>
          <w:rFonts w:ascii="宋体" w:eastAsia="黑体"/>
          <w:sz w:val="44"/>
          <w:szCs w:val="44"/>
          <w:lang w:eastAsia="zh-CN"/>
        </w:rPr>
      </w:pPr>
      <w:r>
        <w:rPr>
          <w:rFonts w:ascii="宋体" w:eastAsia="黑体"/>
          <w:sz w:val="44"/>
          <w:szCs w:val="44"/>
          <w:lang w:eastAsia="zh-CN"/>
        </w:rPr>
        <w:t>人民政府</w:t>
      </w:r>
    </w:p>
    <w:p>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after="0" w:line="240" w:lineRule="auto"/>
        <w:jc w:val="center"/>
        <w:rPr>
          <w:rFonts w:ascii="黑体" w:eastAsia="黑体"/>
          <w:sz w:val="32"/>
          <w:szCs w:val="32"/>
          <w:lang w:eastAsia="zh-CN"/>
        </w:rPr>
      </w:pPr>
      <w:r>
        <w:rPr>
          <w:rFonts w:ascii="黑体" w:eastAsia="黑体"/>
          <w:b/>
          <w:sz w:val="32"/>
          <w:szCs w:val="32"/>
          <w:lang w:eastAsia="zh-CN"/>
        </w:rPr>
        <w:t>目  录</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落实国家政策，严格依法行政，发展农村经济、文化和社会事业，提供公共服务，维护社会稳定和长治久安。从主要职能上体现的就是服务，为农民更好</w:t>
      </w:r>
      <w:r>
        <w:rPr>
          <w:rFonts w:hint="eastAsia" w:ascii="仿宋_GB2312" w:eastAsia="仿宋_GB2312"/>
          <w:sz w:val="32"/>
          <w:szCs w:val="32"/>
          <w:lang w:eastAsia="zh-CN"/>
        </w:rPr>
        <w:t>地</w:t>
      </w:r>
      <w:r>
        <w:rPr>
          <w:rFonts w:ascii="仿宋_GB2312" w:eastAsia="仿宋_GB2312"/>
          <w:sz w:val="32"/>
          <w:szCs w:val="32"/>
          <w:lang w:eastAsia="zh-CN"/>
        </w:rPr>
        <w:t>搞好服务。为此，我们必须全面落实党的根本宗旨，以人民群众的根本利益为出发点的落脚点，按照新时期农民所需所盼来确定</w:t>
      </w:r>
      <w:r>
        <w:rPr>
          <w:rFonts w:hint="eastAsia" w:ascii="仿宋_GB2312" w:eastAsia="仿宋_GB2312"/>
          <w:sz w:val="32"/>
          <w:szCs w:val="32"/>
          <w:lang w:eastAsia="zh-CN"/>
        </w:rPr>
        <w:t>乡村</w:t>
      </w:r>
      <w:r>
        <w:rPr>
          <w:rFonts w:ascii="仿宋_GB2312" w:eastAsia="仿宋_GB2312"/>
          <w:sz w:val="32"/>
          <w:szCs w:val="32"/>
          <w:lang w:eastAsia="zh-CN"/>
        </w:rPr>
        <w:t>工作职能的转换，从</w:t>
      </w:r>
      <w:r>
        <w:rPr>
          <w:rFonts w:hint="eastAsia" w:ascii="仿宋_GB2312" w:eastAsia="仿宋_GB2312"/>
          <w:sz w:val="32"/>
          <w:szCs w:val="32"/>
          <w:lang w:eastAsia="zh-CN"/>
        </w:rPr>
        <w:t>乡村</w:t>
      </w:r>
      <w:r>
        <w:rPr>
          <w:rFonts w:ascii="仿宋_GB2312" w:eastAsia="仿宋_GB2312"/>
          <w:sz w:val="32"/>
          <w:szCs w:val="32"/>
          <w:lang w:eastAsia="zh-CN"/>
        </w:rPr>
        <w:t>工作机制改进入手，切实解决困扰乡</w:t>
      </w:r>
      <w:r>
        <w:rPr>
          <w:rFonts w:hint="eastAsia" w:ascii="仿宋_GB2312" w:eastAsia="仿宋_GB2312"/>
          <w:sz w:val="32"/>
          <w:szCs w:val="32"/>
          <w:lang w:eastAsia="zh-CN"/>
        </w:rPr>
        <w:t>“</w:t>
      </w:r>
      <w:r>
        <w:rPr>
          <w:rFonts w:ascii="仿宋_GB2312" w:eastAsia="仿宋_GB2312"/>
          <w:sz w:val="32"/>
          <w:szCs w:val="32"/>
          <w:lang w:eastAsia="zh-CN"/>
        </w:rPr>
        <w:t>人往哪里去、钱从哪里来、事该怎么办</w:t>
      </w:r>
      <w:r>
        <w:rPr>
          <w:rFonts w:hint="eastAsia" w:ascii="仿宋_GB2312" w:eastAsia="仿宋_GB2312"/>
          <w:sz w:val="32"/>
          <w:szCs w:val="32"/>
          <w:lang w:eastAsia="zh-CN"/>
        </w:rPr>
        <w:t>”</w:t>
      </w:r>
      <w:r>
        <w:rPr>
          <w:rFonts w:ascii="仿宋_GB2312" w:eastAsia="仿宋_GB2312"/>
          <w:sz w:val="32"/>
          <w:szCs w:val="32"/>
          <w:lang w:eastAsia="zh-CN"/>
        </w:rPr>
        <w:t>三个核心问题，使乡与群众利益得以统一，发展得以同步。柏杨河</w:t>
      </w:r>
      <w:r>
        <w:rPr>
          <w:rFonts w:hint="eastAsia" w:ascii="仿宋_GB2312" w:eastAsia="仿宋_GB2312"/>
          <w:sz w:val="32"/>
          <w:szCs w:val="32"/>
          <w:lang w:eastAsia="zh-CN"/>
        </w:rPr>
        <w:t>乡地</w:t>
      </w:r>
      <w:r>
        <w:rPr>
          <w:rFonts w:ascii="仿宋_GB2312" w:eastAsia="仿宋_GB2312"/>
          <w:sz w:val="32"/>
          <w:szCs w:val="32"/>
          <w:lang w:eastAsia="zh-CN"/>
        </w:rPr>
        <w:t>处乌鲁木齐市边界，是米东区的重点乡镇之一，下设6个行政村，涉及财政资金数额大，项目繁杂，基本上涵盖了米东区所有的财政资金种类。</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乌鲁木齐市米东区柏杨河哈萨克</w:t>
      </w:r>
      <w:r>
        <w:rPr>
          <w:rFonts w:hint="eastAsia" w:ascii="仿宋_GB2312" w:eastAsia="仿宋_GB2312"/>
          <w:sz w:val="32"/>
          <w:szCs w:val="32"/>
          <w:lang w:eastAsia="zh-CN"/>
        </w:rPr>
        <w:t>族乡</w:t>
      </w:r>
      <w:r>
        <w:rPr>
          <w:rFonts w:ascii="仿宋_GB2312" w:eastAsia="仿宋_GB2312"/>
          <w:sz w:val="32"/>
          <w:szCs w:val="32"/>
          <w:lang w:eastAsia="zh-CN"/>
        </w:rPr>
        <w:t>人民政府2024年度，实有人数90人，其中：在职人员75人，增加1人；离休人员0人，较上年无变化；退休人员15人，增加4人。</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乌鲁木齐市米东区柏杨河哈萨克</w:t>
      </w:r>
      <w:r>
        <w:rPr>
          <w:rFonts w:hint="eastAsia" w:ascii="仿宋_GB2312" w:eastAsia="仿宋_GB2312"/>
          <w:sz w:val="32"/>
          <w:szCs w:val="32"/>
          <w:lang w:eastAsia="zh-CN"/>
        </w:rPr>
        <w:t>族乡</w:t>
      </w:r>
      <w:r>
        <w:rPr>
          <w:rFonts w:ascii="仿宋_GB2312" w:eastAsia="仿宋_GB2312"/>
          <w:sz w:val="32"/>
          <w:szCs w:val="32"/>
          <w:lang w:eastAsia="zh-CN"/>
        </w:rPr>
        <w:t>人民政府无下属预算单位，下设</w:t>
      </w:r>
      <w:r>
        <w:rPr>
          <w:rFonts w:hint="eastAsia" w:ascii="仿宋_GB2312" w:eastAsia="仿宋_GB2312"/>
          <w:sz w:val="32"/>
          <w:szCs w:val="32"/>
          <w:lang w:eastAsia="zh-CN"/>
        </w:rPr>
        <w:t>10</w:t>
      </w:r>
      <w:r>
        <w:rPr>
          <w:rFonts w:ascii="仿宋_GB2312" w:eastAsia="仿宋_GB2312"/>
          <w:sz w:val="32"/>
          <w:szCs w:val="32"/>
          <w:lang w:eastAsia="zh-CN"/>
        </w:rPr>
        <w:t>个科室，分别是：党政综合办公室、党建工作办公室、经济发展和</w:t>
      </w:r>
      <w:r>
        <w:rPr>
          <w:rFonts w:hint="eastAsia" w:ascii="仿宋_GB2312" w:eastAsia="仿宋_GB2312"/>
          <w:sz w:val="32"/>
          <w:szCs w:val="32"/>
          <w:lang w:eastAsia="zh-CN"/>
        </w:rPr>
        <w:t>财政</w:t>
      </w:r>
      <w:r>
        <w:rPr>
          <w:rFonts w:ascii="仿宋_GB2312" w:eastAsia="仿宋_GB2312"/>
          <w:sz w:val="32"/>
          <w:szCs w:val="32"/>
          <w:lang w:eastAsia="zh-CN"/>
        </w:rPr>
        <w:t>办公室、社会事务办公室、综合执法办公室、农业发展服务中心、公共文化服务中心、村镇建设发展中心、综治和网格化服务中心、便民服务中心。</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2024年度收入总计1,507.90万元，其中：本年收入合计1,507.90万元，使用非财政拨款结余（含专用结余）0.00万元，年初结转和结余0.00万元。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2024年度支出总计1,507.90万元，其中：本年支出合计1,507.90万元，结余分配0.00万元，年末结转和结余0.00万元。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收入支出总体与上年相比，减少1,079.67万元，下降41.73%，主要原因是：</w:t>
      </w:r>
      <w:r>
        <w:rPr>
          <w:rFonts w:hint="eastAsia" w:ascii="仿宋_GB2312" w:eastAsia="仿宋_GB2312"/>
          <w:sz w:val="32"/>
          <w:szCs w:val="32"/>
          <w:lang w:eastAsia="zh-CN"/>
        </w:rPr>
        <w:t>本年单位长聘人员减少，工资及津贴补贴经费减少；本年单位办公费、劳务费等经费较上年减少；村级运转项目经费减少</w:t>
      </w:r>
      <w:r>
        <w:rPr>
          <w:rFonts w:ascii="仿宋_GB2312" w:eastAsia="仿宋_GB2312"/>
          <w:sz w:val="32"/>
          <w:szCs w:val="32"/>
          <w:lang w:eastAsia="zh-CN"/>
        </w:rPr>
        <w:t>。</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本年收入1,507.90万元，其中：财政拨款收入1,507.90万元,占100.00%；上级补助收入0.00万元,占0.00%；事业收入0.00万元，占0.00%；经营收入0.00万元,占0.00%；附属单位上缴收入0.00万元，占0.00%；其他收入0.00万元，占0.00%。</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本年支出1,507.90万元，其中：基本支出1,484.15万元，占98.42%；项目支出23.75万元，占1.58%；上缴上级支出0.00万元，占0.00%；经营支出0.00万元，占0.00%；对附属单位补助支出0.00万元，占0.00%。</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1,507.90万元，其中：年初财政拨款结转和结余0.00万元，本年财政拨款收入1,507.90万元。财政拨款支出总计1,507.90万元，其中：年末财政拨款结转和结余0.00万元，本年财政拨款支出1,507.90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财政拨款收入支出总体与上年相比，减少1,079.67万元，下降41.73%，主要原因是：</w:t>
      </w:r>
      <w:r>
        <w:rPr>
          <w:rFonts w:hint="eastAsia" w:ascii="仿宋_GB2312" w:eastAsia="仿宋_GB2312"/>
          <w:sz w:val="32"/>
          <w:szCs w:val="32"/>
          <w:lang w:eastAsia="zh-CN"/>
        </w:rPr>
        <w:t>本年单位长聘人员减少，工资及津贴补贴经费减少；本年单位办公费、劳务费等经费较上年减少；村级运转项目经费减少</w:t>
      </w:r>
      <w:r>
        <w:rPr>
          <w:rFonts w:ascii="仿宋_GB2312" w:eastAsia="仿宋_GB2312"/>
          <w:sz w:val="32"/>
          <w:szCs w:val="32"/>
          <w:lang w:eastAsia="zh-CN"/>
        </w:rPr>
        <w:t>。与年初预算相比，年初预算数2,710.43万元，决算数1,507.90万元，预决算差异率-44.37%，主要原因是：</w:t>
      </w:r>
      <w:r>
        <w:rPr>
          <w:rFonts w:hint="eastAsia" w:ascii="仿宋_GB2312" w:eastAsia="仿宋_GB2312"/>
          <w:sz w:val="32"/>
          <w:szCs w:val="32"/>
          <w:lang w:eastAsia="zh-CN"/>
        </w:rPr>
        <w:t>单位长聘人员减少，工资及津贴补贴经费较预算减少；单位办公费、劳务费等经费较预算减少</w:t>
      </w:r>
      <w:r>
        <w:rPr>
          <w:rFonts w:ascii="仿宋_GB2312" w:eastAsia="仿宋_GB2312"/>
          <w:sz w:val="32"/>
          <w:szCs w:val="32"/>
          <w:lang w:eastAsia="zh-CN"/>
        </w:rPr>
        <w:t>。</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2024年度一般公共预算财政拨款支出1,507.90万元，占本年支出合计的100.00%。与上年相比，减少1,079.67万元，下降41.73%，主要原因是：</w:t>
      </w:r>
      <w:r>
        <w:rPr>
          <w:rFonts w:hint="eastAsia" w:ascii="仿宋_GB2312" w:eastAsia="仿宋_GB2312"/>
          <w:sz w:val="32"/>
          <w:szCs w:val="32"/>
          <w:lang w:eastAsia="zh-CN"/>
        </w:rPr>
        <w:t>本年单位长聘人员减少，工资及津贴补贴经费减少；本年单位办公费、劳务费等经费较上年减少；村级运转项目经费减少</w:t>
      </w:r>
      <w:r>
        <w:rPr>
          <w:rFonts w:ascii="仿宋_GB2312" w:eastAsia="仿宋_GB2312"/>
          <w:sz w:val="32"/>
          <w:szCs w:val="32"/>
          <w:lang w:eastAsia="zh-CN"/>
        </w:rPr>
        <w:t>。与年初预算相比，年初预算数2,710.43万元，决算数1,507.90万元，预决算差异率-44.37%，主要原因是：</w:t>
      </w:r>
      <w:r>
        <w:rPr>
          <w:rFonts w:hint="eastAsia" w:ascii="仿宋_GB2312" w:eastAsia="仿宋_GB2312"/>
          <w:sz w:val="32"/>
          <w:szCs w:val="32"/>
          <w:lang w:eastAsia="zh-CN"/>
        </w:rPr>
        <w:t>单位长聘人员减少，工资及津贴补贴经费较预算减少；单位办公费、劳务费等经费较预算减少</w:t>
      </w:r>
      <w:r>
        <w:rPr>
          <w:rFonts w:ascii="仿宋_GB2312" w:eastAsia="仿宋_GB2312"/>
          <w:sz w:val="32"/>
          <w:szCs w:val="32"/>
          <w:lang w:eastAsia="zh-CN"/>
        </w:rPr>
        <w:t>。</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一般公共服务支出（类）557.03万元，占36.94%。</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社会保障和就业支出（类）381.48万元，占25.30%。</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卫生健康支出（类）54.08万元，占3.59%。</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农林水支出（类）515.06万元，占34.16%。</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交通运输支出（类）0.24万元，占0.02%。</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1、一般公共服务支出（类）政府办公厅（室）及相关机构事务（款）行政运行（项）：支出决算数为550.03万元，比上年决算减少806.52万元，下降59.45%，主要原因是：</w:t>
      </w:r>
      <w:r>
        <w:rPr>
          <w:rFonts w:hint="eastAsia" w:ascii="仿宋_GB2312" w:eastAsia="仿宋_GB2312"/>
          <w:sz w:val="32"/>
          <w:szCs w:val="32"/>
          <w:lang w:eastAsia="zh-CN"/>
        </w:rPr>
        <w:t>本年单位长聘人员减少，工资及津贴补贴经费减少；本年单位办公费、劳务费等经费较上年减少。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2、一般公共服务支出（类）组织事务（款）其他组织事务支出（项）：支出决算数为7.00万元，比上年决算增加7.00万元，增长100.00%，主要原因是：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选调生</w:t>
      </w:r>
      <w:r>
        <w:rPr>
          <w:rFonts w:hint="eastAsia" w:ascii="仿宋_GB2312" w:eastAsia="仿宋_GB2312"/>
          <w:sz w:val="32"/>
          <w:szCs w:val="32"/>
          <w:lang w:eastAsia="zh-CN"/>
        </w:rPr>
        <w:t>办公经费。</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3、社会保障和就业支出（类）民政管理事务（款）基层政权建设和社区治理（项）：支出决算数为220.98万元，比上年决算减少226.26万元，下降50.59%，主要原因是：</w:t>
      </w:r>
      <w:r>
        <w:rPr>
          <w:rFonts w:hint="eastAsia" w:ascii="仿宋_GB2312" w:eastAsia="仿宋_GB2312"/>
          <w:sz w:val="32"/>
          <w:szCs w:val="32"/>
          <w:lang w:eastAsia="zh-CN"/>
        </w:rPr>
        <w:t>单位新进人员职级低于调出人员，新进人员工资基数低，导致单位人员工资、津贴补贴等人员经费减少。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4、社会保障和就业支出（类）行政事业单位养老支出（款）机关事业单位基本养老保险缴费支出（项）：支出决算数为146.40万元，比上年决算增加15.93万元，增长12.21%，主要原因是：</w:t>
      </w:r>
      <w:r>
        <w:rPr>
          <w:rFonts w:hint="eastAsia" w:ascii="仿宋_GB2312" w:eastAsia="仿宋_GB2312"/>
          <w:sz w:val="32"/>
          <w:szCs w:val="32"/>
          <w:lang w:eastAsia="zh-CN"/>
        </w:rPr>
        <w:t>本年单位人员社保基数调增，</w:t>
      </w:r>
      <w:r>
        <w:rPr>
          <w:rFonts w:ascii="仿宋_GB2312" w:eastAsia="仿宋_GB2312"/>
          <w:sz w:val="32"/>
          <w:szCs w:val="32"/>
          <w:lang w:eastAsia="zh-CN"/>
        </w:rPr>
        <w:t>基本养老保险缴费</w:t>
      </w:r>
      <w:r>
        <w:rPr>
          <w:rFonts w:hint="eastAsia" w:ascii="仿宋_GB2312" w:eastAsia="仿宋_GB2312"/>
          <w:sz w:val="32"/>
          <w:szCs w:val="32"/>
          <w:lang w:eastAsia="zh-CN"/>
        </w:rPr>
        <w:t>增加</w:t>
      </w:r>
      <w:r>
        <w:rPr>
          <w:rFonts w:ascii="仿宋_GB2312" w:eastAsia="仿宋_GB2312"/>
          <w:sz w:val="32"/>
          <w:szCs w:val="32"/>
          <w:lang w:eastAsia="zh-CN"/>
        </w:rPr>
        <w:t>。</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5、社会保障和就业支出（类）行政事业单位养老支出（款）机关事业单位职业年金缴费支出（项）：支出决算数为14.11万元，比上年决算增加14.11万元，增长100.00%，主要原因是：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6、卫生健康支出（类）公共卫生（款）突发公共卫生事件应急处置（项）：支出决算数为23.51万元，比上年决算增加3.71万元，增长18.74%，主要原因是：</w:t>
      </w:r>
      <w:r>
        <w:rPr>
          <w:rFonts w:hint="eastAsia" w:ascii="仿宋_GB2312" w:eastAsia="仿宋_GB2312"/>
          <w:sz w:val="32"/>
          <w:szCs w:val="32"/>
          <w:lang w:eastAsia="zh-CN"/>
        </w:rPr>
        <w:t>单位本年应急防控物资项目经费增加。</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w:t>
      </w:r>
      <w:r>
        <w:rPr>
          <w:rFonts w:hint="eastAsia" w:ascii="仿宋_GB2312" w:eastAsia="仿宋_GB2312"/>
          <w:sz w:val="32"/>
          <w:szCs w:val="32"/>
          <w:lang w:eastAsia="zh-CN"/>
        </w:rPr>
        <w:t>计划生育</w:t>
      </w:r>
      <w:r>
        <w:rPr>
          <w:rFonts w:ascii="仿宋_GB2312" w:eastAsia="仿宋_GB2312"/>
          <w:sz w:val="32"/>
          <w:szCs w:val="32"/>
          <w:lang w:eastAsia="zh-CN"/>
        </w:rPr>
        <w:t>事务（款）</w:t>
      </w:r>
      <w:r>
        <w:rPr>
          <w:rFonts w:hint="eastAsia" w:ascii="仿宋_GB2312" w:eastAsia="仿宋_GB2312"/>
          <w:sz w:val="32"/>
          <w:szCs w:val="32"/>
          <w:lang w:eastAsia="zh-CN"/>
        </w:rPr>
        <w:t>计划生育</w:t>
      </w:r>
      <w:r>
        <w:rPr>
          <w:rFonts w:ascii="仿宋_GB2312" w:eastAsia="仿宋_GB2312"/>
          <w:sz w:val="32"/>
          <w:szCs w:val="32"/>
          <w:lang w:eastAsia="zh-CN"/>
        </w:rPr>
        <w:t>服务（项）：支出决算数为30.57万元，比上年决算减少2.47万元，下降7.48%，主要原因是：</w:t>
      </w:r>
      <w:r>
        <w:rPr>
          <w:rFonts w:hint="eastAsia" w:ascii="仿宋_GB2312" w:eastAsia="仿宋_GB2312"/>
          <w:sz w:val="32"/>
          <w:szCs w:val="32"/>
          <w:lang w:eastAsia="zh-CN"/>
        </w:rPr>
        <w:t>单位新进人员职级低于调出人员，新进人员工资基数低，导致单位人员工资、津贴补贴等人员经费减少。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8、农林水支出（类）农业农村（款）事业运行（项）：支出决算数为514.06万元，比上年决算减少7.86万元，下降1.51%，主要原因是：</w:t>
      </w:r>
      <w:r>
        <w:rPr>
          <w:rFonts w:hint="eastAsia" w:ascii="仿宋_GB2312" w:eastAsia="仿宋_GB2312"/>
          <w:sz w:val="32"/>
          <w:szCs w:val="32"/>
          <w:lang w:eastAsia="zh-CN"/>
        </w:rPr>
        <w:t>单位本年长聘人员减少，长聘人员工资福利费用减少。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9、农林水支出（类）农业农村（款）对高校毕业生到基层任职补助（项）：支出决算数为1.00万元，比上年决算增加1.00万元，增长100.00%，主要原因是：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高校毕业生补助</w:t>
      </w:r>
      <w:r>
        <w:rPr>
          <w:rFonts w:hint="eastAsia" w:ascii="仿宋_GB2312" w:eastAsia="仿宋_GB2312"/>
          <w:sz w:val="32"/>
          <w:szCs w:val="32"/>
          <w:lang w:eastAsia="zh-CN"/>
        </w:rPr>
        <w:t>办公费</w:t>
      </w:r>
      <w:r>
        <w:rPr>
          <w:rFonts w:ascii="仿宋_GB2312" w:eastAsia="仿宋_GB2312"/>
          <w:sz w:val="32"/>
          <w:szCs w:val="32"/>
          <w:lang w:eastAsia="zh-CN"/>
        </w:rPr>
        <w:t>。</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10、农林水支出（类）农村综合改革（款）对村级公益事业建设的补助（项）：支出决算数为0.00万元，比上年决算减少40.50万元，下降100.00%，主要原因是：</w:t>
      </w:r>
      <w:r>
        <w:rPr>
          <w:rFonts w:hint="eastAsia" w:ascii="仿宋_GB2312" w:eastAsia="仿宋_GB2312"/>
          <w:sz w:val="32"/>
          <w:szCs w:val="32"/>
          <w:lang w:eastAsia="zh-CN"/>
        </w:rPr>
        <w:t>本年度我单位</w:t>
      </w:r>
      <w:r>
        <w:rPr>
          <w:rFonts w:ascii="仿宋_GB2312" w:eastAsia="仿宋_GB2312"/>
          <w:sz w:val="32"/>
          <w:szCs w:val="32"/>
          <w:lang w:eastAsia="zh-CN"/>
        </w:rPr>
        <w:t>村级</w:t>
      </w:r>
      <w:r>
        <w:rPr>
          <w:rFonts w:hint="eastAsia" w:ascii="仿宋_GB2312" w:eastAsia="仿宋_GB2312"/>
          <w:sz w:val="32"/>
          <w:szCs w:val="32"/>
          <w:lang w:eastAsia="zh-CN"/>
        </w:rPr>
        <w:t>办公费减少。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11、农林水支出（类）农村综合改革（款）对村集体经济组织的补助（项）：支出决算数为0.00万元，比上年决算减少37.80万元，下降100.00%，主要原因是：</w:t>
      </w:r>
      <w:r>
        <w:rPr>
          <w:rFonts w:hint="eastAsia" w:ascii="仿宋_GB2312" w:eastAsia="仿宋_GB2312"/>
          <w:sz w:val="32"/>
          <w:szCs w:val="32"/>
          <w:lang w:eastAsia="zh-CN"/>
        </w:rPr>
        <w:t>本年单位</w:t>
      </w:r>
      <w:bookmarkStart w:id="0" w:name="_Hlk211349173"/>
      <w:r>
        <w:rPr>
          <w:rFonts w:hint="eastAsia" w:ascii="仿宋_GB2312" w:eastAsia="仿宋_GB2312"/>
          <w:sz w:val="32"/>
          <w:szCs w:val="32"/>
          <w:lang w:eastAsia="zh-CN"/>
        </w:rPr>
        <w:t>村级运转项目经费减少</w:t>
      </w:r>
      <w:bookmarkEnd w:id="0"/>
      <w:r>
        <w:rPr>
          <w:rFonts w:hint="eastAsia" w:ascii="仿宋_GB2312" w:eastAsia="仿宋_GB2312"/>
          <w:sz w:val="32"/>
          <w:szCs w:val="32"/>
          <w:lang w:eastAsia="zh-CN"/>
        </w:rPr>
        <w:t>。</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12、交通运输支出（类）邮政业支出（款）邮政普遍服务与特殊服务（项）：支出决算数为0.12万元，比上年决算减少0.12万元，下降50.00%，主要原因是：</w:t>
      </w:r>
      <w:r>
        <w:rPr>
          <w:rFonts w:hint="eastAsia" w:ascii="仿宋_GB2312" w:eastAsia="仿宋_GB2312"/>
          <w:sz w:val="32"/>
          <w:szCs w:val="32"/>
          <w:lang w:eastAsia="zh-CN"/>
        </w:rPr>
        <w:t>本年功能科目调整，将农牧区投递员补贴项目资金调整至</w:t>
      </w:r>
      <w:r>
        <w:rPr>
          <w:rFonts w:ascii="仿宋_GB2312" w:eastAsia="仿宋_GB2312"/>
          <w:sz w:val="32"/>
          <w:szCs w:val="32"/>
          <w:lang w:eastAsia="zh-CN"/>
        </w:rPr>
        <w:t>其他邮政业支出</w:t>
      </w:r>
      <w:r>
        <w:rPr>
          <w:rFonts w:hint="eastAsia" w:ascii="仿宋_GB2312" w:eastAsia="仿宋_GB2312"/>
          <w:sz w:val="32"/>
          <w:szCs w:val="32"/>
          <w:lang w:eastAsia="zh-CN"/>
        </w:rPr>
        <w:t>款项中核算，导致此经费减少。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13、交通运输支出（类）邮政业支出（款）其他邮政业支出（项）：支出决算数为0.12万元，比上年决算增加0.12万元，增长100.00%，主要原因是：</w:t>
      </w:r>
      <w:r>
        <w:rPr>
          <w:rFonts w:hint="eastAsia" w:ascii="仿宋_GB2312" w:eastAsia="仿宋_GB2312"/>
          <w:sz w:val="32"/>
          <w:szCs w:val="32"/>
          <w:lang w:eastAsia="zh-CN"/>
        </w:rPr>
        <w:t>本年功能科目调整，将农牧区投递员补贴项目资金由</w:t>
      </w:r>
      <w:r>
        <w:rPr>
          <w:rFonts w:ascii="仿宋_GB2312" w:eastAsia="仿宋_GB2312"/>
          <w:sz w:val="32"/>
          <w:szCs w:val="32"/>
          <w:lang w:eastAsia="zh-CN"/>
        </w:rPr>
        <w:t>邮政普遍服务与特殊服务</w:t>
      </w:r>
      <w:r>
        <w:rPr>
          <w:rFonts w:hint="eastAsia" w:ascii="仿宋_GB2312" w:eastAsia="仿宋_GB2312"/>
          <w:sz w:val="32"/>
          <w:szCs w:val="32"/>
          <w:lang w:eastAsia="zh-CN"/>
        </w:rPr>
        <w:t>款项调整至本款项中核算，导致此经费增加。</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1,484.15万元，其中：人员经费1,273.42万元，包括：基本工资、津贴补贴、奖金、绩效工资、机关事业单位基本养老保险缴费、职业年金缴费、职工基本医疗保险缴费、公务员医疗补助缴费、其他社会保障缴费和住房公积金。</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公用经费210.73万元，包括：办公费、水费、电费、取暖费、劳务费、工会经费、福利费、公务用车运行维护费和其他交通费用。</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2024年度财政拨款“三公”经费支出7.12万元，比上年增加7.12万元，增长100%，主要原因是：</w:t>
      </w:r>
      <w:r>
        <w:rPr>
          <w:rFonts w:hint="eastAsia" w:ascii="仿宋_GB2312" w:eastAsia="仿宋_GB2312"/>
          <w:sz w:val="32"/>
          <w:szCs w:val="32"/>
          <w:lang w:eastAsia="zh-CN"/>
        </w:rPr>
        <w:t>单位本年车辆出行次数增加，车辆维修维护费、燃油费增加</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；公务用车购置及运行维护费支出7.12万元，占100.00%，比上年增加7.12万元，增长100%，主要原因是：</w:t>
      </w:r>
      <w:r>
        <w:rPr>
          <w:rFonts w:hint="eastAsia" w:ascii="仿宋_GB2312" w:eastAsia="仿宋_GB2312"/>
          <w:sz w:val="32"/>
          <w:szCs w:val="32"/>
          <w:lang w:eastAsia="zh-CN"/>
        </w:rPr>
        <w:t>单位本年车辆出行次数增加，车辆维修维护费、燃油费增加</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公务用车购置及运行维护费7.12万元，其中：公务用车购置费0.00万元，公务用车运行维护费7.12万元。公务用车运行维护费开支内容包括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。公务用车购置数0辆，公务用车保有量3辆。国有资产占用情况中固定资产车辆17辆，与公务用车保有量差异原因是：</w:t>
      </w:r>
      <w:r>
        <w:rPr>
          <w:rFonts w:hint="eastAsia" w:ascii="仿宋_GB2312" w:eastAsia="仿宋_GB2312"/>
          <w:sz w:val="32"/>
          <w:szCs w:val="32"/>
          <w:lang w:eastAsia="zh-CN"/>
        </w:rPr>
        <w:t>差异车辆为一般业务用车14辆，车辆费用未使用财政拨款公务用车运行维护费支付</w:t>
      </w:r>
      <w:r>
        <w:rPr>
          <w:rFonts w:ascii="仿宋_GB2312" w:eastAsia="仿宋_GB2312"/>
          <w:sz w:val="32"/>
          <w:szCs w:val="32"/>
          <w:lang w:eastAsia="zh-CN"/>
        </w:rPr>
        <w:t>。</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与全年预算相比，财政拨款“三公”经费支出全年预算数7.12万元，决算数7.12万元，预决算差异率0.00%，主要原因是：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；公务用车运行维护费全年预算数7.12万元，决算数7.12万元，预决算差异率0.00%，主要原因是：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2024年度乌鲁木齐市米东区柏杨河哈萨克</w:t>
      </w:r>
      <w:r>
        <w:rPr>
          <w:rFonts w:hint="eastAsia" w:ascii="仿宋_GB2312" w:eastAsia="仿宋_GB2312"/>
          <w:sz w:val="32"/>
          <w:szCs w:val="32"/>
          <w:lang w:eastAsia="zh-CN"/>
        </w:rPr>
        <w:t>族乡</w:t>
      </w:r>
      <w:r>
        <w:rPr>
          <w:rFonts w:ascii="仿宋_GB2312" w:eastAsia="仿宋_GB2312"/>
          <w:sz w:val="32"/>
          <w:szCs w:val="32"/>
          <w:lang w:eastAsia="zh-CN"/>
        </w:rPr>
        <w:t>人民政府单位（行政单位和参照公务员法管理事业单位）机关运行经费支出210.73万元，比上年减少425.21万元，下降66.86%，主要原因是：</w:t>
      </w:r>
      <w:r>
        <w:rPr>
          <w:rFonts w:hint="eastAsia" w:ascii="仿宋_GB2312" w:eastAsia="仿宋_GB2312"/>
          <w:sz w:val="32"/>
          <w:szCs w:val="32"/>
          <w:lang w:eastAsia="zh-CN"/>
        </w:rPr>
        <w:t>本年单位</w:t>
      </w:r>
      <w:r>
        <w:rPr>
          <w:rFonts w:ascii="仿宋_GB2312" w:eastAsia="仿宋_GB2312"/>
          <w:sz w:val="32"/>
          <w:szCs w:val="32"/>
          <w:lang w:eastAsia="zh-CN"/>
        </w:rPr>
        <w:t>办公费、水费、电费、劳务费</w:t>
      </w:r>
      <w:r>
        <w:rPr>
          <w:rFonts w:hint="eastAsia" w:ascii="仿宋_GB2312" w:eastAsia="仿宋_GB2312"/>
          <w:sz w:val="32"/>
          <w:szCs w:val="32"/>
          <w:lang w:eastAsia="zh-CN"/>
        </w:rPr>
        <w:t>减少</w:t>
      </w:r>
      <w:r>
        <w:rPr>
          <w:rFonts w:ascii="仿宋_GB2312" w:eastAsia="仿宋_GB2312"/>
          <w:sz w:val="32"/>
          <w:szCs w:val="32"/>
          <w:lang w:eastAsia="zh-CN"/>
        </w:rPr>
        <w:t>。</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2024年度政府采购支出总额30.16万元，其中：政府采购货物支出15.22万元、政府采购工程支出0.00万元、政府采购服务支出14.94万元。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授予中小企业合同金额8.21万元，占政府采购支出总额的27.22%，其中：授予小微企业合同金额7.73万元，占政府采购支出总额的25.63%。</w:t>
      </w:r>
    </w:p>
    <w:p>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截至2024年12月31日，房屋3,301.51平方米，价值278.06万元。</w:t>
      </w:r>
      <w:r>
        <w:rPr>
          <w:rFonts w:ascii="仿宋_GB2312" w:eastAsia="仿宋_GB2312"/>
          <w:sz w:val="32"/>
          <w:szCs w:val="32"/>
          <w:lang w:eastAsia="zh-CN"/>
        </w:rPr>
        <w:t>车辆17辆，价值227.47万元，其中：副部（省）级及以上领导用车0辆、主要负责人用车0辆、机要通信用车0辆、应急保障用车0辆、执法执勤用车0辆、特种专业技术用车0辆、离退休干部服务用车0辆、其他用车17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;单价100万元（含）以上设备（不含车辆）0台（套）。</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1,507.89</w:t>
      </w:r>
      <w:r>
        <w:rPr>
          <w:rFonts w:ascii="仿宋_GB2312" w:eastAsia="仿宋_GB2312"/>
          <w:sz w:val="32"/>
          <w:szCs w:val="32"/>
          <w:lang w:eastAsia="zh-CN"/>
        </w:rPr>
        <w:t>万元，实际执行总额</w:t>
      </w:r>
      <w:r>
        <w:rPr>
          <w:rFonts w:hint="eastAsia" w:ascii="仿宋_GB2312" w:eastAsia="仿宋_GB2312"/>
          <w:sz w:val="32"/>
          <w:szCs w:val="32"/>
          <w:lang w:eastAsia="zh-CN"/>
        </w:rPr>
        <w:t>1,507.89</w:t>
      </w:r>
      <w:r>
        <w:rPr>
          <w:rFonts w:ascii="仿宋_GB2312" w:eastAsia="仿宋_GB2312"/>
          <w:sz w:val="32"/>
          <w:szCs w:val="32"/>
          <w:lang w:eastAsia="zh-CN"/>
        </w:rPr>
        <w:t>万元；预算绩效评价项目</w:t>
      </w:r>
      <w:r>
        <w:rPr>
          <w:rFonts w:hint="eastAsia" w:ascii="仿宋_GB2312" w:eastAsia="仿宋_GB2312"/>
          <w:sz w:val="32"/>
          <w:szCs w:val="32"/>
          <w:lang w:eastAsia="zh-CN"/>
        </w:rPr>
        <w:t>2</w:t>
      </w:r>
      <w:r>
        <w:rPr>
          <w:rFonts w:ascii="仿宋_GB2312" w:eastAsia="仿宋_GB2312"/>
          <w:sz w:val="32"/>
          <w:szCs w:val="32"/>
          <w:lang w:eastAsia="zh-CN"/>
        </w:rPr>
        <w:t>个，全年预算数</w:t>
      </w:r>
      <w:r>
        <w:rPr>
          <w:rFonts w:hint="eastAsia" w:ascii="仿宋_GB2312" w:eastAsia="仿宋_GB2312"/>
          <w:sz w:val="32"/>
          <w:szCs w:val="32"/>
          <w:lang w:eastAsia="zh-CN"/>
        </w:rPr>
        <w:t>23.63</w:t>
      </w:r>
      <w:r>
        <w:rPr>
          <w:rFonts w:ascii="仿宋_GB2312" w:eastAsia="仿宋_GB2312"/>
          <w:sz w:val="32"/>
          <w:szCs w:val="32"/>
          <w:lang w:eastAsia="zh-CN"/>
        </w:rPr>
        <w:t>万元，全年执行数</w:t>
      </w:r>
      <w:r>
        <w:rPr>
          <w:rFonts w:hint="eastAsia" w:ascii="仿宋_GB2312" w:eastAsia="仿宋_GB2312"/>
          <w:sz w:val="32"/>
          <w:szCs w:val="32"/>
          <w:lang w:eastAsia="zh-CN"/>
        </w:rPr>
        <w:t>23.63</w:t>
      </w:r>
      <w:r>
        <w:rPr>
          <w:rFonts w:ascii="仿宋_GB2312" w:eastAsia="仿宋_GB2312"/>
          <w:sz w:val="32"/>
          <w:szCs w:val="32"/>
          <w:lang w:eastAsia="zh-CN"/>
        </w:rPr>
        <w:t>万元。预算绩效管理取得的成效：一是我单位将吸收借鉴先进地区农业发展成功经验、加强业务知识培养，提高思想认识，及时研究并协调解决乡村振兴战略推动过程中存在的具体问题与现实困难，保证乡村振兴各种任务在我乡不折不扣落地落实。围绕党建引领促进产业发展带动村民增收致富</w:t>
      </w:r>
      <w:r>
        <w:rPr>
          <w:rFonts w:hint="eastAsia" w:ascii="仿宋_GB2312" w:eastAsia="仿宋_GB2312"/>
          <w:sz w:val="32"/>
          <w:szCs w:val="32"/>
          <w:lang w:eastAsia="zh-CN"/>
        </w:rPr>
        <w:t>；</w:t>
      </w:r>
      <w:r>
        <w:rPr>
          <w:rFonts w:ascii="仿宋_GB2312" w:eastAsia="仿宋_GB2312"/>
          <w:sz w:val="32"/>
          <w:szCs w:val="32"/>
          <w:lang w:eastAsia="zh-CN"/>
        </w:rPr>
        <w:t>二是有力推动文旅开发与乡村振兴统筹发展，打造集自然风光、乡村度假、冰雪体验为一体的城郊旅游康养目的地。发现的问题及原因：一是部门职能不明确，个别工作分工不清晰，且人员培训和绩效考核制度不够完善，考核方案部分内容和人员名单更新滞后。预算编制的科学性和合理性还有待提高。在预算编制时，考虑的还是相对不足，主要表现在预算调整数较大，导致年初预算数和执行数相差较大</w:t>
      </w:r>
      <w:r>
        <w:rPr>
          <w:rFonts w:hint="eastAsia" w:ascii="仿宋_GB2312" w:eastAsia="仿宋_GB2312"/>
          <w:sz w:val="32"/>
          <w:szCs w:val="32"/>
          <w:lang w:eastAsia="zh-CN"/>
        </w:rPr>
        <w:t>；</w:t>
      </w:r>
      <w:r>
        <w:rPr>
          <w:rFonts w:ascii="仿宋_GB2312" w:eastAsia="仿宋_GB2312"/>
          <w:sz w:val="32"/>
          <w:szCs w:val="32"/>
          <w:lang w:eastAsia="zh-CN"/>
        </w:rPr>
        <w:t>二是部门整体绩效指标应从单位全局高度出发，围绕部门单位履职的核心任务，分析提炼部门单位年度目标，再细化为具体的三级指标，以结果性、效益性指标为主。同时，参考资料也是首先以中央、自治区、乌鲁木齐市的文件、批准的规划为主，不是仅依赖于部门单位的工作计划，多设置过程性、产出性的指标，而非部门碎片工作的简单整合。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w:t>
      </w:r>
      <w:r>
        <w:rPr>
          <w:rFonts w:hint="eastAsia" w:ascii="仿宋_GB2312" w:eastAsia="仿宋_GB2312"/>
          <w:sz w:val="32"/>
          <w:szCs w:val="32"/>
          <w:lang w:eastAsia="zh-CN"/>
        </w:rPr>
        <w:t>；</w:t>
      </w:r>
      <w:r>
        <w:rPr>
          <w:rFonts w:ascii="仿宋_GB2312" w:eastAsia="仿宋_GB2312"/>
          <w:sz w:val="32"/>
          <w:szCs w:val="32"/>
          <w:lang w:eastAsia="zh-CN"/>
        </w:rPr>
        <w:t>二是提高部门整体支出绩效目标设定的合理性。部门整体绩效目标不是项目里的指标提取，而是反映部门开展预算绩效管理工作的规范性和执行力。要树立全局观，在执行部门整体绩效管理工作时，从部门的职能入手，围绕农村农业的重点工作，以预算资金为主线，梳理集中反映部门履职效能、社会效应等效果的个性化、效益类绩效指标</w:t>
      </w:r>
      <w:r>
        <w:rPr>
          <w:rFonts w:hint="eastAsia" w:ascii="仿宋_GB2312" w:eastAsia="仿宋_GB2312"/>
          <w:sz w:val="32"/>
          <w:szCs w:val="32"/>
          <w:lang w:eastAsia="zh-CN"/>
        </w:rPr>
        <w:t>；三是</w:t>
      </w:r>
      <w:r>
        <w:rPr>
          <w:rFonts w:ascii="仿宋_GB2312" w:eastAsia="仿宋_GB2312"/>
          <w:sz w:val="32"/>
          <w:szCs w:val="32"/>
          <w:lang w:eastAsia="zh-CN"/>
        </w:rPr>
        <w:t>提高资产安全管理责任意识，设计并运行内部控制规范体系建立并完善各</w:t>
      </w:r>
      <w:r>
        <w:rPr>
          <w:rFonts w:hint="eastAsia" w:ascii="仿宋_GB2312" w:eastAsia="仿宋_GB2312"/>
          <w:sz w:val="32"/>
          <w:szCs w:val="32"/>
          <w:lang w:eastAsia="zh-CN"/>
        </w:rPr>
        <w:t>部门</w:t>
      </w:r>
      <w:r>
        <w:rPr>
          <w:rFonts w:ascii="仿宋_GB2312" w:eastAsia="仿宋_GB2312"/>
          <w:sz w:val="32"/>
          <w:szCs w:val="32"/>
          <w:lang w:eastAsia="zh-CN"/>
        </w:rPr>
        <w:t>内部资产管理制度、风险防控及处置制度等重要的内部控制体系，使资产管理</w:t>
      </w:r>
      <w:r>
        <w:rPr>
          <w:rFonts w:hint="eastAsia" w:ascii="仿宋_GB2312" w:eastAsia="仿宋_GB2312"/>
          <w:sz w:val="32"/>
          <w:szCs w:val="32"/>
          <w:lang w:eastAsia="zh-CN"/>
        </w:rPr>
        <w:t>各</w:t>
      </w:r>
      <w:r>
        <w:rPr>
          <w:rFonts w:ascii="仿宋_GB2312" w:eastAsia="仿宋_GB2312"/>
          <w:sz w:val="32"/>
          <w:szCs w:val="32"/>
          <w:lang w:eastAsia="zh-CN"/>
        </w:rPr>
        <w:t>项业务活动在内控体系完善的环境下实施运作。与此同时，建立资产管理责任制，增强相关人员的责任意识，对于资产处理，严格执行文件要求，履行</w:t>
      </w:r>
      <w:r>
        <w:rPr>
          <w:rFonts w:hint="eastAsia" w:ascii="仿宋_GB2312" w:eastAsia="仿宋_GB2312"/>
          <w:sz w:val="32"/>
          <w:szCs w:val="32"/>
          <w:lang w:eastAsia="zh-CN"/>
        </w:rPr>
        <w:t>必需的</w:t>
      </w:r>
      <w:r>
        <w:rPr>
          <w:rFonts w:ascii="仿宋_GB2312" w:eastAsia="仿宋_GB2312"/>
          <w:sz w:val="32"/>
          <w:szCs w:val="32"/>
          <w:lang w:eastAsia="zh-CN"/>
        </w:rPr>
        <w:t>审批程序</w:t>
      </w:r>
      <w:r>
        <w:rPr>
          <w:rFonts w:hint="eastAsia" w:ascii="仿宋_GB2312" w:eastAsia="仿宋_GB2312"/>
          <w:sz w:val="32"/>
          <w:szCs w:val="32"/>
          <w:lang w:eastAsia="zh-CN"/>
        </w:rPr>
        <w:t>；</w:t>
      </w:r>
      <w:r>
        <w:rPr>
          <w:rFonts w:ascii="仿宋_GB2312" w:eastAsia="仿宋_GB2312"/>
          <w:sz w:val="32"/>
          <w:szCs w:val="32"/>
          <w:lang w:eastAsia="zh-CN"/>
        </w:rPr>
        <w:t>四是重视对项目和资金的过程化管理，加强对项目的延伸性监管，建立健全项</w:t>
      </w:r>
      <w:r>
        <w:rPr>
          <w:rFonts w:hint="eastAsia" w:ascii="仿宋_GB2312" w:eastAsia="仿宋_GB2312"/>
          <w:sz w:val="32"/>
          <w:szCs w:val="32"/>
          <w:lang w:eastAsia="zh-CN"/>
        </w:rPr>
        <w:t>目监</w:t>
      </w:r>
      <w:r>
        <w:rPr>
          <w:rFonts w:ascii="仿宋_GB2312" w:eastAsia="仿宋_GB2312"/>
          <w:sz w:val="32"/>
          <w:szCs w:val="32"/>
          <w:lang w:eastAsia="zh-CN"/>
        </w:rPr>
        <w:t>督管理制度，落实各级项目监督管理责任。一方面，主管部门应加强对项目实施过程的监管意识，建立重点项目实施过程的绩效反馈机制。另一方面，资金使用单位应加强对项目实施的风险管控意识，加强对项目实施的过程控制。具体附部门整体支出绩效自评表，项目支出绩效自评表和部门评价报告。</w:t>
      </w:r>
    </w:p>
    <w:p>
      <w:pPr>
        <w:rPr>
          <w:rFonts w:ascii="仿宋_GB2312" w:eastAsia="仿宋_GB2312"/>
          <w:sz w:val="32"/>
          <w:szCs w:val="32"/>
          <w:lang w:eastAsia="zh-CN"/>
        </w:rPr>
      </w:pPr>
      <w:r>
        <w:rPr>
          <w:rFonts w:ascii="仿宋_GB2312" w:eastAsia="仿宋_GB2312"/>
          <w:sz w:val="32"/>
          <w:szCs w:val="32"/>
          <w:lang w:eastAsia="zh-CN"/>
        </w:rPr>
        <w:br w:type="page"/>
      </w:r>
    </w:p>
    <w:p>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tblPrEx>
          <w:tblLayout w:type="fixed"/>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乌鲁木齐市米东区柏杨河哈萨克族乡人民政府</w:t>
            </w:r>
          </w:p>
        </w:tc>
        <w:tc>
          <w:tcPr>
            <w:tcW w:w="284" w:type="dxa"/>
            <w:tcBorders>
              <w:top w:val="nil"/>
              <w:left w:val="nil"/>
              <w:bottom w:val="nil"/>
              <w:right w:val="nil"/>
            </w:tcBorders>
            <w:noWrap/>
            <w:vAlign w:val="center"/>
          </w:tcPr>
          <w:p>
            <w:pPr>
              <w:spacing w:after="0" w:line="240" w:lineRule="auto"/>
              <w:rPr>
                <w:rFonts w:ascii="宋体" w:hAnsi="宋体" w:eastAsia="宋体" w:cs="宋体"/>
                <w:b/>
                <w:bCs/>
                <w:sz w:val="18"/>
                <w:szCs w:val="18"/>
                <w:lang w:eastAsia="zh-CN"/>
              </w:rPr>
            </w:pPr>
          </w:p>
        </w:tc>
      </w:tr>
      <w:tr>
        <w:tblPrEx>
          <w:tblLayout w:type="fixed"/>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b/>
                <w:bCs/>
                <w:sz w:val="18"/>
                <w:szCs w:val="18"/>
                <w:lang w:eastAsia="zh-CN"/>
              </w:rPr>
            </w:pPr>
          </w:p>
        </w:tc>
      </w:tr>
      <w:tr>
        <w:tblPrEx>
          <w:tblLayout w:type="fixed"/>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2,710.42</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1,507.89</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1,507.89</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b/>
                <w:bCs/>
                <w:sz w:val="18"/>
                <w:szCs w:val="18"/>
                <w:lang w:eastAsia="zh-CN"/>
              </w:rPr>
            </w:pPr>
          </w:p>
        </w:tc>
      </w:tr>
      <w:tr>
        <w:tblPrEx>
          <w:tblLayout w:type="fixed"/>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2,686.92</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1,484.15</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1,484.15</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23.50</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23.74</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23.74</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pPr>
              <w:spacing w:after="0" w:line="240" w:lineRule="auto"/>
              <w:rPr>
                <w:rFonts w:ascii="宋体" w:hAnsi="宋体" w:eastAsia="宋体" w:cs="宋体"/>
                <w:b/>
                <w:bCs/>
                <w:sz w:val="18"/>
                <w:szCs w:val="18"/>
                <w:lang w:eastAsia="zh-CN"/>
              </w:rPr>
            </w:pPr>
          </w:p>
        </w:tc>
      </w:tr>
      <w:tr>
        <w:tblPrEx>
          <w:tblLayout w:type="fixed"/>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主要职能。落实国家政策，严格依法行政，发展农村经济、文化和社会事业，提供公共服务，维护社会稳定和长治久安。从主要职能上体现的就是服务，为农民更好的搞好服务。为此，我们必须全面落实党的根本宗旨，以人民群众的根本利益为出发点的落脚点，按照新时期农民所需所盼来确定乡工作职能的转换，从乡工作机制改进入手，切实解决困扰乡“人往哪里去、钱从哪里来、事该怎么办”三个核心问题，使乡与群众利益得以统一，发展得以同步。大力实施乡村振兴战略，发挥我乡资源优势，大力发展特色产业，确保巩固拓展脱贫攻坚成果同乡村振兴有效衔接责任落实，工作落实，政策落实到位，巩固成果更加明显，乡村振兴全面推进，不断提升干部理论素养，增强干部乡村振兴工作能力。2024年重点工作如下：一、凝心铸魂筑牢根本，推动党的政治建设走深走实。二、坚定坚决保稳定防风险，社会稳定局面持续巩固。三、全力以赴兴项目抓建设，经济社会发展基础更牢固。四、实干笃行谋振兴促发展，农业农村发展迈出新步伐。五、全心全意惠民生谋福祉，群众幸福指数得到新提升。六、锲而不舍护生态治污染，描绘美丽柏杨河新画卷。七、奋力推进高水平法治建设，真抓实干开创新局面。</w:t>
            </w:r>
          </w:p>
        </w:tc>
        <w:tc>
          <w:tcPr>
            <w:tcW w:w="4547" w:type="dxa"/>
            <w:gridSpan w:val="4"/>
            <w:tcBorders>
              <w:top w:val="single" w:color="auto" w:sz="4" w:space="0"/>
              <w:left w:val="nil"/>
              <w:bottom w:val="single" w:color="auto" w:sz="4" w:space="0"/>
              <w:right w:val="single" w:color="auto" w:sz="4" w:space="0"/>
            </w:tcBorders>
          </w:tcPr>
          <w:p>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落实国家政策，严格依法行政，发展农村经济、文化和社会事业，提供公共服务，维护社会稳定和长治久安。从主要职能上体现的就是服务，为农民更好的搞好服务。为此，我们必须全面落实党的根本宗旨，以人民群众的根本利益为出发点的落脚点，按照新时期农民所需所盼来确定乡工作职能的转换，从乡工作机制改进入手，切实解决困扰乡“人往哪里去、钱从哪里来、事该怎么办”三个核心问题，使乡与群众利益得以统一，发展得以同步。大力实施乡村振兴战略，发挥我乡资源优势，大力发展特色产业，确保巩固拓展脱贫攻坚成果同乡村振兴有效衔接责任落实，工作落实，政策落实到位，巩固成果更加明显，乡村振兴全面推进，不断提升干部理论素养，增强干部乡村振兴工作能力。一、是农牧业生产根基稳固。全乡农业种植规模达21066亩，其中，粮食作物11845亩，瓜果类1002亩、蔬菜类124亩、食用菌48亩；棉花4536亩、油料718亩及其他作物2790亩。各类牲畜存栏量3.38万头（只），出栏量4.43万头（只），家禽出栏量21.9万羽。二、是特色产业活力迸发。不断加大林果蔬菜种植、骆驼与肉牛养殖、百万蛋鸡养殖等产业培育力度，农产品附加值显著提升。依托“天山龙脊”项目，以哈熊沟景区为主体，申请“哈熊沟”商标，主要涵盖富有民族特色的服装、精致的哈萨克民族刺绣品，以及源自本地的肉品与奶制品，全力塑造品牌形象，深度彰显独特文化与品质；溪畔、栖居等一批民宿渐成规模，有力推动文旅开发与乡村振兴统筹发展，打造集自然风光、乡村度假、冰雪体验为一体的城郊旅游康养目的地。三、是项目建设稳步迈进。梧桐窝子村和红柳村“西延干渠魏家泉分水口引水灌溉连通工程”及高标准农田建设项目成效显著，村民人均增收约500元，村集体增收50万元。阿合阿德尔村老村委会改造提升为柏杨牧歌哈萨克风情园，已正常营业。协调米东北部沙漠光伏基地项目落地，人均增收15564元。</w:t>
            </w:r>
          </w:p>
        </w:tc>
        <w:tc>
          <w:tcPr>
            <w:tcW w:w="284" w:type="dxa"/>
            <w:tcBorders>
              <w:top w:val="nil"/>
              <w:left w:val="nil"/>
              <w:bottom w:val="nil"/>
              <w:right w:val="nil"/>
            </w:tcBorders>
            <w:noWrap/>
            <w:vAlign w:val="center"/>
          </w:tcPr>
          <w:p>
            <w:pPr>
              <w:spacing w:after="0" w:line="240" w:lineRule="auto"/>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pPr>
              <w:spacing w:after="0" w:line="240" w:lineRule="auto"/>
              <w:rPr>
                <w:rFonts w:ascii="宋体" w:hAnsi="宋体" w:eastAsia="宋体" w:cs="宋体"/>
                <w:b/>
                <w:bCs/>
                <w:sz w:val="18"/>
                <w:szCs w:val="18"/>
                <w:lang w:eastAsia="zh-CN"/>
              </w:rPr>
            </w:pPr>
          </w:p>
        </w:tc>
      </w:tr>
      <w:tr>
        <w:tblPrEx>
          <w:tblLayout w:type="fixed"/>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2024年打造“一村一品”模式村个数</w:t>
            </w:r>
          </w:p>
        </w:tc>
        <w:tc>
          <w:tcPr>
            <w:tcW w:w="127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=1个</w:t>
            </w:r>
          </w:p>
        </w:tc>
        <w:tc>
          <w:tcPr>
            <w:tcW w:w="1701" w:type="dxa"/>
            <w:tcBorders>
              <w:top w:val="nil"/>
              <w:left w:val="nil"/>
              <w:bottom w:val="single" w:color="auto" w:sz="4" w:space="0"/>
              <w:right w:val="single" w:color="auto" w:sz="4" w:space="0"/>
            </w:tcBorders>
            <w:noWrap/>
            <w:vAlign w:val="center"/>
          </w:tcPr>
          <w:p>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2024年柏杨河乡重点工作计划</w:t>
            </w:r>
          </w:p>
        </w:tc>
        <w:tc>
          <w:tcPr>
            <w:tcW w:w="1134"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1个</w:t>
            </w:r>
          </w:p>
        </w:tc>
        <w:tc>
          <w:tcPr>
            <w:tcW w:w="992"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pPr>
              <w:spacing w:after="0" w:line="240" w:lineRule="auto"/>
              <w:jc w:val="center"/>
              <w:rPr>
                <w:rFonts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完成2024年乡村振兴承包地供水保障村个数</w:t>
            </w:r>
          </w:p>
        </w:tc>
        <w:tc>
          <w:tcPr>
            <w:tcW w:w="127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=2个</w:t>
            </w:r>
          </w:p>
        </w:tc>
        <w:tc>
          <w:tcPr>
            <w:tcW w:w="1701" w:type="dxa"/>
            <w:tcBorders>
              <w:top w:val="nil"/>
              <w:left w:val="nil"/>
              <w:bottom w:val="single" w:color="auto" w:sz="4" w:space="0"/>
              <w:right w:val="single" w:color="auto" w:sz="4" w:space="0"/>
            </w:tcBorders>
            <w:noWrap/>
            <w:vAlign w:val="center"/>
          </w:tcPr>
          <w:p>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2024年柏杨河乡重点工作计划</w:t>
            </w:r>
          </w:p>
        </w:tc>
        <w:tc>
          <w:tcPr>
            <w:tcW w:w="1134"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2个</w:t>
            </w:r>
          </w:p>
        </w:tc>
        <w:tc>
          <w:tcPr>
            <w:tcW w:w="992"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2024年建设骆驼养殖、加工产业村个数</w:t>
            </w:r>
          </w:p>
        </w:tc>
        <w:tc>
          <w:tcPr>
            <w:tcW w:w="1276"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=1个</w:t>
            </w:r>
          </w:p>
        </w:tc>
        <w:tc>
          <w:tcPr>
            <w:tcW w:w="1701" w:type="dxa"/>
            <w:tcBorders>
              <w:top w:val="single" w:color="auto" w:sz="4" w:space="0"/>
              <w:left w:val="nil"/>
              <w:bottom w:val="single" w:color="auto" w:sz="4" w:space="0"/>
              <w:right w:val="single" w:color="auto" w:sz="4" w:space="0"/>
            </w:tcBorders>
            <w:noWrap/>
            <w:vAlign w:val="center"/>
          </w:tcPr>
          <w:p>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2024年柏杨河乡重点工作计划</w:t>
            </w:r>
          </w:p>
        </w:tc>
        <w:tc>
          <w:tcPr>
            <w:tcW w:w="1134"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1个</w:t>
            </w:r>
          </w:p>
        </w:tc>
        <w:tc>
          <w:tcPr>
            <w:tcW w:w="992"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r>
        <w:tblPrEx>
          <w:tblLayout w:type="fixed"/>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284" w:type="dxa"/>
            <w:tcBorders>
              <w:top w:val="nil"/>
              <w:left w:val="nil"/>
              <w:bottom w:val="nil"/>
              <w:right w:val="nil"/>
            </w:tcBorders>
            <w:noWrap/>
            <w:vAlign w:val="center"/>
          </w:tcPr>
          <w:p>
            <w:pPr>
              <w:spacing w:after="0" w:line="240" w:lineRule="auto"/>
              <w:jc w:val="center"/>
              <w:rPr>
                <w:rFonts w:ascii="宋体" w:hAnsi="宋体" w:eastAsia="宋体" w:cs="宋体"/>
                <w:sz w:val="18"/>
                <w:szCs w:val="18"/>
                <w:lang w:eastAsia="zh-CN"/>
              </w:rPr>
            </w:pPr>
          </w:p>
        </w:tc>
      </w:tr>
    </w:tbl>
    <w:p>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2024年农牧区投递员补贴乌财资环[2024]42号</w:t>
            </w:r>
          </w:p>
        </w:tc>
      </w:tr>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乌鲁木齐市米东区柏杨河哈萨克族乡人民政府</w:t>
            </w:r>
          </w:p>
        </w:tc>
        <w:tc>
          <w:tcPr>
            <w:tcW w:w="1275" w:type="dxa"/>
            <w:gridSpan w:val="2"/>
            <w:tcBorders>
              <w:top w:val="nil"/>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乌鲁木齐市米东区柏杨河哈萨克族乡人民政府</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0.12</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tblPrEx>
          <w:tblLayout w:type="fixed"/>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tblPrEx>
          <w:tblLayout w:type="fixed"/>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乡2024年需支付农牧区投递员1人，1200元/人/年，共计补贴资金1200元。补贴资金到位后，我乡及时发放补助。通过合理解决农牧区投递员报酬问题，解决因投递队伍不稳定因素造成的党报党刊以及邮件投递深度不够、邮件安全得不到保障、投递频次较低、传递时限较长等突出问题。加强农牧区投递员队伍建设，积极推进农牧区通邮服务，进一步促进农牧区经济发展和社会稳定</w:t>
            </w:r>
          </w:p>
        </w:tc>
        <w:tc>
          <w:tcPr>
            <w:tcW w:w="4677" w:type="dxa"/>
            <w:gridSpan w:val="7"/>
            <w:tcBorders>
              <w:top w:val="single" w:color="auto" w:sz="4" w:space="0"/>
              <w:left w:val="nil"/>
              <w:bottom w:val="single" w:color="auto" w:sz="4" w:space="0"/>
              <w:right w:val="single" w:color="000000" w:sz="4" w:space="0"/>
            </w:tcBorders>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乡2024年需支付农牧区投递员1人，1200元/年/人，共计补贴资金1200元，2024年度投递员补助按时足额拨付，并及时发放，近几年通过发放投递员补助，我乡投递员稳定，没有出现离职情况，并能做好乡镇村庄区域邮政服务，切实为农村经济发展和社会稳定做出贡献。</w:t>
            </w:r>
          </w:p>
        </w:tc>
      </w:tr>
      <w:tr>
        <w:tblPrEx>
          <w:tblLayout w:type="fixed"/>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tblPrEx>
          <w:tblLayout w:type="fixed"/>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农牧区投递员补助数</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农牧区投递员财政补贴发放准确率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比预期效果好，已经完成补贴精准发放。</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资金使用合格率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比预期效果好，已经完成补贴精准发放。</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补贴按期发放率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比预期效果好，已经完成补贴精准发放。</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人员每月补贴金额</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=100元</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100元</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提高农牧区邮政服务能力</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农牧区投递员满意度</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比预期效果好，已经完成补贴精准发放。</w:t>
            </w:r>
          </w:p>
        </w:tc>
      </w:tr>
      <w:tr>
        <w:tblPrEx>
          <w:tblLayout w:type="fixed"/>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p>
        </w:tc>
      </w:tr>
    </w:tbl>
    <w:p>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传染病防控支出(上年结转资金)</w:t>
            </w:r>
          </w:p>
        </w:tc>
      </w:tr>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乌鲁木齐市米东区柏杨河哈萨克族乡人民政府</w:t>
            </w:r>
          </w:p>
        </w:tc>
        <w:tc>
          <w:tcPr>
            <w:tcW w:w="1275" w:type="dxa"/>
            <w:gridSpan w:val="2"/>
            <w:tcBorders>
              <w:top w:val="nil"/>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乌鲁木齐市米东区柏杨河哈萨克族乡人民政府</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125"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275"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23.51</w:t>
            </w:r>
          </w:p>
        </w:tc>
        <w:tc>
          <w:tcPr>
            <w:tcW w:w="113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tblPrEx>
          <w:tblLayout w:type="fixed"/>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tblPrEx>
          <w:tblLayout w:type="fixed"/>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用于结算2022年传染病防控支出。</w:t>
            </w:r>
          </w:p>
        </w:tc>
        <w:tc>
          <w:tcPr>
            <w:tcW w:w="4677" w:type="dxa"/>
            <w:gridSpan w:val="7"/>
            <w:tcBorders>
              <w:top w:val="single" w:color="auto" w:sz="4" w:space="0"/>
              <w:left w:val="nil"/>
              <w:bottom w:val="single" w:color="auto" w:sz="4" w:space="0"/>
              <w:right w:val="single" w:color="000000" w:sz="4" w:space="0"/>
            </w:tcBorders>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项目资金主要用于结算2022年传染病防控应付账款.此项项目可有效保障社会稳定。</w:t>
            </w:r>
          </w:p>
        </w:tc>
      </w:tr>
      <w:tr>
        <w:tblPrEx>
          <w:tblLayout w:type="fixed"/>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tblPrEx>
          <w:tblLayout w:type="fixed"/>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传染病防控应付账款笔数</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=10笔</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10笔</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资金拨付准确率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资金使用合格率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&lt;=100%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预算控制率</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&lt;=100%</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保障社会稳定</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保障项目顺利实施</w:t>
            </w:r>
          </w:p>
        </w:tc>
        <w:tc>
          <w:tcPr>
            <w:tcW w:w="1125"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w:t>
            </w:r>
          </w:p>
        </w:tc>
        <w:tc>
          <w:tcPr>
            <w:tcW w:w="1229" w:type="dxa"/>
            <w:tcBorders>
              <w:top w:val="nil"/>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color w:val="000000"/>
                <w:sz w:val="18"/>
                <w:szCs w:val="18"/>
                <w:lang w:eastAsia="zh-CN"/>
              </w:rPr>
            </w:pPr>
          </w:p>
        </w:tc>
      </w:tr>
      <w:tr>
        <w:tblPrEx>
          <w:tblLayout w:type="fixed"/>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pPr>
              <w:spacing w:after="0" w:line="240" w:lineRule="auto"/>
              <w:jc w:val="center"/>
              <w:rPr>
                <w:rFonts w:ascii="宋体" w:hAnsi="宋体" w:eastAsia="宋体" w:cs="宋体"/>
                <w:b/>
                <w:bCs/>
                <w:color w:val="000000"/>
                <w:sz w:val="18"/>
                <w:szCs w:val="18"/>
                <w:lang w:eastAsia="zh-CN"/>
              </w:rPr>
            </w:pPr>
          </w:p>
        </w:tc>
      </w:tr>
    </w:tbl>
    <w:p>
      <w:pPr>
        <w:rPr>
          <w:rFonts w:ascii="仿宋_GB2312" w:eastAsia="仿宋_GB2312"/>
          <w:sz w:val="32"/>
          <w:szCs w:val="32"/>
        </w:rPr>
      </w:pPr>
      <w:r>
        <w:rPr>
          <w:rFonts w:ascii="仿宋_GB2312" w:eastAsia="仿宋_GB2312"/>
          <w:sz w:val="32"/>
          <w:szCs w:val="32"/>
        </w:rPr>
        <w:br w:type="page"/>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pPr>
        <w:spacing w:after="0" w:line="240" w:lineRule="auto"/>
        <w:ind w:firstLine="640" w:firstLineChars="200"/>
        <w:rPr>
          <w:rFonts w:ascii="仿宋_GB2312" w:eastAsia="仿宋_GB2312"/>
          <w:sz w:val="32"/>
          <w:szCs w:val="32"/>
          <w:lang w:eastAsia="zh-CN"/>
        </w:rPr>
      </w:pP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814EC"/>
    <w:rsid w:val="004814EC"/>
    <w:rsid w:val="006A56D3"/>
    <w:rsid w:val="0073347F"/>
    <w:rsid w:val="008C7ABB"/>
    <w:rsid w:val="009F4200"/>
    <w:rsid w:val="00E93846"/>
    <w:rsid w:val="03E92685"/>
    <w:rsid w:val="0EEB6C23"/>
    <w:rsid w:val="11105741"/>
    <w:rsid w:val="128B0E42"/>
    <w:rsid w:val="1BC43B94"/>
    <w:rsid w:val="677D22DE"/>
    <w:rsid w:val="7E28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1709</Words>
  <Characters>9745</Characters>
  <Lines>81</Lines>
  <Paragraphs>22</Paragraphs>
  <TotalTime>167</TotalTime>
  <ScaleCrop>false</ScaleCrop>
  <LinksUpToDate>false</LinksUpToDate>
  <CharactersWithSpaces>11432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2025-09-29T07:07:00Z</dcterms:created>
  <dc:creator>ldan</dc:creator>
  <cp:lastModifiedBy>Administrator</cp:lastModifiedBy>
  <dcterms:modified xsi:type="dcterms:W3CDTF">2026-07-27T09:33:08Z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C5E451120FE04058BAFEB85CBDF264F2_12</vt:lpwstr>
  </property>
</Properties>
</file>