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B469CE">
      <w:pPr>
        <w:spacing w:after="0" w:line="240" w:lineRule="auto"/>
        <w:rPr>
          <w:rFonts w:hint="eastAsia" w:ascii="宋体" w:eastAsia="宋体"/>
          <w:sz w:val="32"/>
          <w:szCs w:val="32"/>
        </w:rPr>
      </w:pPr>
    </w:p>
    <w:p w14:paraId="4A4BE252">
      <w:pPr>
        <w:spacing w:after="0" w:line="240" w:lineRule="auto"/>
        <w:rPr>
          <w:rFonts w:hint="eastAsia" w:ascii="宋体" w:eastAsia="宋体"/>
          <w:sz w:val="44"/>
          <w:szCs w:val="44"/>
        </w:rPr>
      </w:pPr>
    </w:p>
    <w:p w14:paraId="5C364AF7">
      <w:pPr>
        <w:spacing w:after="0" w:line="240" w:lineRule="auto"/>
        <w:rPr>
          <w:rFonts w:hint="eastAsia" w:ascii="宋体" w:eastAsia="宋体"/>
          <w:sz w:val="44"/>
          <w:szCs w:val="44"/>
        </w:rPr>
      </w:pPr>
    </w:p>
    <w:p w14:paraId="29E6C424">
      <w:pPr>
        <w:spacing w:after="0" w:line="240" w:lineRule="auto"/>
        <w:rPr>
          <w:rFonts w:hint="eastAsia" w:ascii="宋体" w:eastAsia="宋体"/>
          <w:sz w:val="44"/>
          <w:szCs w:val="44"/>
        </w:rPr>
      </w:pPr>
    </w:p>
    <w:p w14:paraId="14FF6DD3">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乌鲁木齐市米东区档案馆</w:t>
      </w:r>
    </w:p>
    <w:p w14:paraId="2624FBD7">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73DE25D1">
      <w:pPr>
        <w:rPr>
          <w:rFonts w:hint="eastAsia"/>
          <w:lang w:eastAsia="zh-CN"/>
        </w:rPr>
      </w:pPr>
      <w:r>
        <w:rPr>
          <w:sz w:val="0"/>
          <w:szCs w:val="0"/>
          <w:lang w:eastAsia="zh-CN"/>
        </w:rPr>
        <w:br w:type="page"/>
      </w:r>
    </w:p>
    <w:p w14:paraId="2C5DC467">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24447877">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71CE26E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0CB826B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0FB130FE">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1BB127D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765212F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45AF2A0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6BEB6E4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41F1CA8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73F3238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51A81D9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3983C80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0F9E7C4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4E129CA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3B10FCA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15BA474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264E0F4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1BAC89A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452ABA3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1336C04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367C082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4F5203F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186E9989">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6604D3D7">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623FCC5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448F6C1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4D328E9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27940CD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75BD8ED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041D95D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E091FF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3F1BDA3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A8F2C2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519D822C">
      <w:pPr>
        <w:rPr>
          <w:rFonts w:hint="eastAsia"/>
          <w:lang w:eastAsia="zh-CN"/>
        </w:rPr>
      </w:pPr>
      <w:r>
        <w:rPr>
          <w:sz w:val="0"/>
          <w:szCs w:val="0"/>
          <w:lang w:eastAsia="zh-CN"/>
        </w:rPr>
        <w:br w:type="page"/>
      </w:r>
    </w:p>
    <w:p w14:paraId="2297C00E">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32AFAC6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1875EB0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贯彻执行《中华人民共和国档案法》及党和国家有关方针、政策，贯彻落实自治区、乌鲁木齐市关于档案工作的方针、政策、法律和法规；依照《中华人民共和国档案法》和《自治区实施〈中华人民共和国档案法〉办法》开展本行政区域内档案工作；拟定本行政区域内档案事业发展规划和档案工作的章程、制度，并对全区档案事业的发展进行统筹规划、宏观管理；集中统一管理米东新区党政机关的重要档案资料，保守党和国家机密、维护档案的完整、确保档案资料的安全；负责整理、征集、接收全区本行政区域内单位及个人重要的档案资料；推进档案工作的科学化管理和现代化建设，做好档案史料的编研、出版工作，为全区的经济建设和社会发展提供利用；收集散失的档案文件和史料；负责全区档案的宣传工作；组织并指导全区档案理论及科学技术研究、档案保护，专业技术人员的培训、职称推荐以及档案资料的审定工作；负责对馆藏档案和资料进行科学系统的管理和开发、利用工作，确保档案资料的完整与安全；完成米东区委交办的有关工作。</w:t>
      </w:r>
    </w:p>
    <w:p w14:paraId="7EC6057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0DCCA09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乌鲁木齐市米东区档案馆2024年度，实有人数17人，其中：在职人员9人，增加1人；离休人员0人，较上年无变化；退休人员8人，较上年无变化</w:t>
      </w:r>
      <w:r>
        <w:rPr>
          <w:rFonts w:hint="eastAsia" w:ascii="仿宋_GB2312" w:eastAsia="仿宋_GB2312"/>
          <w:sz w:val="32"/>
          <w:szCs w:val="32"/>
          <w:lang w:eastAsia="zh-CN"/>
        </w:rPr>
        <w:t>。</w:t>
      </w:r>
    </w:p>
    <w:p w14:paraId="7E398C2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乌鲁木齐市米东区档案馆无下属预算单位，下设2个科室，分别是：综合科、业务科。</w:t>
      </w:r>
    </w:p>
    <w:p w14:paraId="00C2C96E">
      <w:pPr>
        <w:rPr>
          <w:rFonts w:hint="eastAsia"/>
          <w:lang w:eastAsia="zh-CN"/>
        </w:rPr>
      </w:pPr>
      <w:r>
        <w:rPr>
          <w:sz w:val="0"/>
          <w:szCs w:val="0"/>
          <w:lang w:eastAsia="zh-CN"/>
        </w:rPr>
        <w:br w:type="page"/>
      </w:r>
    </w:p>
    <w:p w14:paraId="4BB62DD8">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270989B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33F60DE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2024年度收入总计130.98万元，其中：本年收入合计130.98万元，使用非财政拨款结余（含专用结余）0.00万元，年初结转和结余0.00万元。</w:t>
      </w:r>
    </w:p>
    <w:p w14:paraId="017FFC2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2024年度支出总计130.98万元，其中：本年支出合计127.97万元，结余分配0.00万元，年末结转和结余3.00万元。</w:t>
      </w:r>
    </w:p>
    <w:p w14:paraId="25F96EF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收入支出总体与上年相比，减少19.54万元，下降12.98%，主要原因是：</w:t>
      </w:r>
      <w:r>
        <w:rPr>
          <w:rFonts w:hint="eastAsia" w:ascii="仿宋_GB2312" w:eastAsia="仿宋_GB2312"/>
          <w:sz w:val="32"/>
          <w:szCs w:val="32"/>
          <w:lang w:eastAsia="zh-CN"/>
        </w:rPr>
        <w:t>上年补发部分人员奖金、绩效工资等，本年正常发放，导致相关经费较上年减少</w:t>
      </w:r>
      <w:r>
        <w:rPr>
          <w:rFonts w:ascii="仿宋_GB2312" w:eastAsia="仿宋_GB2312"/>
          <w:sz w:val="32"/>
          <w:szCs w:val="32"/>
          <w:lang w:eastAsia="zh-CN"/>
        </w:rPr>
        <w:t>。</w:t>
      </w:r>
    </w:p>
    <w:p w14:paraId="6D21AFF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4067DC8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本年收入130.98万元，其中：财政拨款收入130.98万元,占100.00%；上级补助收入0.00万元,占0.00%；事业收入0.00万元，占0.00%；经营收入0.00万元,占0.00%；附属单位上缴收入0.00万元，占0.00%；其他收入0.00万元，占0.00%。</w:t>
      </w:r>
    </w:p>
    <w:p w14:paraId="6B84D23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6182066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本年支出127.97万元，其中：基本支出127.97万元，占100.00%；项目支出0.00万元，占0.00%；上缴上级支出0.00万元，占0.00%；经营支出0.00万元，占0.00%；对附属单位补助支出0.00万元，占0.00%。</w:t>
      </w:r>
    </w:p>
    <w:p w14:paraId="543DCAD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619B268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2024年度财政拨款收入总计130.98万元，其中：年初财政拨款结转和结余0.00万元，本年财政拨款收入130.98万元。财政拨款支出总计130.98万元，其中：年末财政拨款结转和结余3.00万元，本年财政拨款支出127.97万元。</w:t>
      </w:r>
    </w:p>
    <w:p w14:paraId="1822822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财政拨款收入支出总体与上年相比，减少19.54万元，下降12.98%，主要原因是：</w:t>
      </w:r>
      <w:r>
        <w:rPr>
          <w:rFonts w:hint="eastAsia" w:ascii="仿宋_GB2312" w:eastAsia="仿宋_GB2312"/>
          <w:sz w:val="32"/>
          <w:szCs w:val="32"/>
          <w:lang w:eastAsia="zh-CN"/>
        </w:rPr>
        <w:t>上年补发部分人员奖金、绩效工资等，本年正常发放，导致相关经费较上年减少</w:t>
      </w:r>
      <w:r>
        <w:rPr>
          <w:rFonts w:ascii="仿宋_GB2312" w:eastAsia="仿宋_GB2312"/>
          <w:sz w:val="32"/>
          <w:szCs w:val="32"/>
          <w:lang w:eastAsia="zh-CN"/>
        </w:rPr>
        <w:t>。与年初预算相比，年初预算数132.51万元，决算数130.98万元，预决算差异率-1.15%，主要原因是：</w:t>
      </w:r>
      <w:r>
        <w:rPr>
          <w:rFonts w:hint="eastAsia" w:ascii="仿宋_GB2312" w:eastAsia="仿宋_GB2312"/>
          <w:sz w:val="32"/>
          <w:szCs w:val="32"/>
          <w:lang w:eastAsia="zh-CN"/>
        </w:rPr>
        <w:t>本年单位实际发放人员工资、津补贴等人员经费小于年初预算安排金额</w:t>
      </w:r>
      <w:r>
        <w:rPr>
          <w:rFonts w:ascii="仿宋_GB2312" w:eastAsia="仿宋_GB2312"/>
          <w:sz w:val="32"/>
          <w:szCs w:val="32"/>
          <w:lang w:eastAsia="zh-CN"/>
        </w:rPr>
        <w:t>。</w:t>
      </w:r>
    </w:p>
    <w:p w14:paraId="7EE8F6D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4A51EDDE">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441F492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2024年度一般公共预算财政拨款支出127.97万元，占本年支出合计的100.00%。与上年相比，减少6.63万元，下降4.93%，主要原因是：</w:t>
      </w:r>
      <w:r>
        <w:rPr>
          <w:rFonts w:hint="eastAsia" w:ascii="仿宋_GB2312" w:eastAsia="仿宋_GB2312"/>
          <w:sz w:val="32"/>
          <w:szCs w:val="32"/>
          <w:lang w:eastAsia="zh-CN"/>
        </w:rPr>
        <w:t>上年补发部分人员奖金、绩效工资等，本年正常发放，导致相关经费较上年减少</w:t>
      </w:r>
      <w:r>
        <w:rPr>
          <w:rFonts w:ascii="仿宋_GB2312" w:eastAsia="仿宋_GB2312"/>
          <w:sz w:val="32"/>
          <w:szCs w:val="32"/>
          <w:lang w:eastAsia="zh-CN"/>
        </w:rPr>
        <w:t>。与年初预算相比，年初预算数132.51万元，决算数127.97万元，预决算差异率-3.43%，主要原因是：</w:t>
      </w:r>
      <w:r>
        <w:rPr>
          <w:rFonts w:hint="eastAsia" w:ascii="仿宋_GB2312" w:eastAsia="仿宋_GB2312"/>
          <w:sz w:val="32"/>
          <w:szCs w:val="32"/>
          <w:lang w:eastAsia="zh-CN"/>
        </w:rPr>
        <w:t>本年单位实际发放人员工资、津补贴等人员经费小于年初预算安排金额</w:t>
      </w:r>
      <w:r>
        <w:rPr>
          <w:rFonts w:ascii="仿宋_GB2312" w:eastAsia="仿宋_GB2312"/>
          <w:sz w:val="32"/>
          <w:szCs w:val="32"/>
          <w:lang w:eastAsia="zh-CN"/>
        </w:rPr>
        <w:t>。</w:t>
      </w:r>
    </w:p>
    <w:p w14:paraId="7F46E98F">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5E7B0537">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一般公共服务支出（类）115.37万元，占90.15%。</w:t>
      </w:r>
    </w:p>
    <w:p w14:paraId="3083E8F8">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社会保障和就业支出（类）12.60万元，占9.85%。</w:t>
      </w:r>
    </w:p>
    <w:p w14:paraId="4F8D51B4">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7B843789">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1、一般公共服务支出（类）档案事务（款）行政运行（项）：支出决算数为0.00万元，比上年决算减少123.15万元，下降100.00%，主要原因是：</w:t>
      </w:r>
      <w:r>
        <w:rPr>
          <w:rFonts w:hint="eastAsia" w:ascii="仿宋_GB2312" w:eastAsia="仿宋_GB2312"/>
          <w:sz w:val="32"/>
          <w:szCs w:val="32"/>
          <w:lang w:eastAsia="zh-CN"/>
        </w:rPr>
        <w:t>单位科目调整，本年将人员工资、津补贴等人员经费从本科目调整至机关服务科目反映</w:t>
      </w:r>
      <w:r>
        <w:rPr>
          <w:rFonts w:ascii="仿宋_GB2312" w:eastAsia="仿宋_GB2312"/>
          <w:sz w:val="32"/>
          <w:szCs w:val="32"/>
          <w:lang w:eastAsia="zh-CN"/>
        </w:rPr>
        <w:t>。</w:t>
      </w:r>
    </w:p>
    <w:p w14:paraId="1A53781C">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2、一般公共服务支出（类）档案事务（款）机关服务（项）：支出决算数为115.37万元，比上年决算增加115.37万元，增长100.00%，主要原因是：</w:t>
      </w:r>
      <w:r>
        <w:rPr>
          <w:rFonts w:hint="eastAsia" w:ascii="仿宋_GB2312" w:eastAsia="仿宋_GB2312"/>
          <w:sz w:val="32"/>
          <w:szCs w:val="32"/>
          <w:lang w:eastAsia="zh-CN"/>
        </w:rPr>
        <w:t>单位科目调整，本年将人员工资、津补贴等人员经费从行政运行科目调整至本科目</w:t>
      </w:r>
      <w:r>
        <w:rPr>
          <w:rFonts w:ascii="仿宋_GB2312" w:eastAsia="仿宋_GB2312"/>
          <w:sz w:val="32"/>
          <w:szCs w:val="32"/>
          <w:lang w:eastAsia="zh-CN"/>
        </w:rPr>
        <w:t>。</w:t>
      </w:r>
    </w:p>
    <w:p w14:paraId="0F338F09">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3、社会保障和就业支出（类）行政事业单位养老支出（款）机关事业单位基本养老保险缴费支出（项）：支出决算数为12.60万元，比上年决算增加1.16万元，增长10.14%，主要原因是：</w:t>
      </w:r>
      <w:bookmarkStart w:id="0" w:name="_Hlk208414579"/>
      <w:r>
        <w:rPr>
          <w:rFonts w:hint="eastAsia" w:ascii="仿宋_GB2312" w:eastAsia="仿宋_GB2312"/>
          <w:sz w:val="32"/>
          <w:szCs w:val="32"/>
          <w:lang w:eastAsia="zh-CN"/>
        </w:rPr>
        <w:t>社保缴费基数调增，人员</w:t>
      </w:r>
      <w:r>
        <w:rPr>
          <w:rFonts w:ascii="仿宋_GB2312" w:eastAsia="仿宋_GB2312"/>
          <w:sz w:val="32"/>
          <w:szCs w:val="32"/>
          <w:lang w:eastAsia="zh-CN"/>
        </w:rPr>
        <w:t>养老保险缴费</w:t>
      </w:r>
      <w:r>
        <w:rPr>
          <w:rFonts w:hint="eastAsia" w:ascii="仿宋_GB2312" w:eastAsia="仿宋_GB2312"/>
          <w:sz w:val="32"/>
          <w:szCs w:val="32"/>
          <w:lang w:eastAsia="zh-CN"/>
        </w:rPr>
        <w:t>增加</w:t>
      </w:r>
      <w:bookmarkEnd w:id="0"/>
      <w:r>
        <w:rPr>
          <w:rFonts w:ascii="仿宋_GB2312" w:eastAsia="仿宋_GB2312"/>
          <w:sz w:val="32"/>
          <w:szCs w:val="32"/>
          <w:lang w:eastAsia="zh-CN"/>
        </w:rPr>
        <w:t>。</w:t>
      </w:r>
    </w:p>
    <w:p w14:paraId="4802FCF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35AFB8D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127.97万元，其中：人员经费124.07万元，包括：基本工资、津贴补贴、奖金、绩效工资、机关事业单位基本养老保险缴费、职工基本医疗保险缴费、公务员医疗补助缴费、其他社会保障缴费和住房公积金。</w:t>
      </w:r>
    </w:p>
    <w:p w14:paraId="31530EE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公用经费3.90万元，包括：办公费、手续费、邮电费、差旅费、维修（护）费、培训费、工会经费和福利费。</w:t>
      </w:r>
    </w:p>
    <w:p w14:paraId="5A6EDAD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69CDD1F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17FD514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6C246C2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4C571AE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44B08D1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w:t>
      </w:r>
      <w:bookmarkStart w:id="1" w:name="_Hlk207143847"/>
      <w:r>
        <w:rPr>
          <w:rFonts w:hint="eastAsia" w:ascii="仿宋_GB2312" w:eastAsia="仿宋_GB2312"/>
          <w:sz w:val="32"/>
          <w:szCs w:val="32"/>
          <w:lang w:eastAsia="zh-CN"/>
        </w:rPr>
        <w:t>我</w:t>
      </w:r>
      <w:bookmarkStart w:id="2" w:name="_Hlk209026967"/>
      <w:r>
        <w:rPr>
          <w:rFonts w:hint="eastAsia" w:ascii="仿宋_GB2312" w:eastAsia="仿宋_GB2312"/>
          <w:sz w:val="32"/>
          <w:szCs w:val="32"/>
          <w:lang w:eastAsia="zh-CN"/>
        </w:rPr>
        <w:t>单位上年度与本年度均无此项经费</w:t>
      </w:r>
      <w:bookmarkEnd w:id="1"/>
      <w:bookmarkEnd w:id="2"/>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4421EF38">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64E309D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w:t>
      </w:r>
      <w:bookmarkStart w:id="3" w:name="_Hlk207143872"/>
      <w:r>
        <w:rPr>
          <w:rFonts w:hint="eastAsia" w:ascii="仿宋_GB2312" w:eastAsia="仿宋_GB2312"/>
          <w:sz w:val="32"/>
          <w:szCs w:val="32"/>
          <w:lang w:eastAsia="zh-CN"/>
        </w:rPr>
        <w:t>单位本年无</w:t>
      </w:r>
      <w:r>
        <w:rPr>
          <w:rFonts w:ascii="仿宋_GB2312" w:eastAsia="仿宋_GB2312"/>
          <w:sz w:val="32"/>
          <w:szCs w:val="32"/>
          <w:lang w:eastAsia="zh-CN"/>
        </w:rPr>
        <w:t>因公出国（境）费</w:t>
      </w:r>
      <w:bookmarkEnd w:id="3"/>
      <w:r>
        <w:rPr>
          <w:rFonts w:ascii="仿宋_GB2312" w:eastAsia="仿宋_GB2312"/>
          <w:sz w:val="32"/>
          <w:szCs w:val="32"/>
          <w:lang w:eastAsia="zh-CN"/>
        </w:rPr>
        <w:t>。单位全年安排的因公出国（境）团组0个，因公出国（境）0人次。</w:t>
      </w:r>
    </w:p>
    <w:p w14:paraId="74FD566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bookmarkStart w:id="4" w:name="_Hlk207140356"/>
      <w:r>
        <w:rPr>
          <w:rFonts w:hint="eastAsia" w:ascii="仿宋_GB2312" w:eastAsia="仿宋_GB2312"/>
          <w:sz w:val="32"/>
          <w:szCs w:val="32"/>
          <w:lang w:eastAsia="zh-CN"/>
        </w:rPr>
        <w:t>单位本年无</w:t>
      </w:r>
      <w:r>
        <w:rPr>
          <w:rFonts w:ascii="仿宋_GB2312" w:eastAsia="仿宋_GB2312"/>
          <w:sz w:val="32"/>
          <w:szCs w:val="32"/>
          <w:lang w:eastAsia="zh-CN"/>
        </w:rPr>
        <w:t>公务用</w:t>
      </w:r>
      <w:bookmarkStart w:id="10" w:name="_GoBack"/>
      <w:bookmarkEnd w:id="10"/>
      <w:r>
        <w:rPr>
          <w:rFonts w:ascii="仿宋_GB2312" w:eastAsia="仿宋_GB2312"/>
          <w:sz w:val="32"/>
          <w:szCs w:val="32"/>
          <w:lang w:eastAsia="zh-CN"/>
        </w:rPr>
        <w:t>车运行维护费</w:t>
      </w:r>
      <w:bookmarkEnd w:id="4"/>
      <w:r>
        <w:rPr>
          <w:rFonts w:ascii="仿宋_GB2312" w:eastAsia="仿宋_GB2312"/>
          <w:sz w:val="32"/>
          <w:szCs w:val="32"/>
          <w:lang w:eastAsia="zh-CN"/>
        </w:rPr>
        <w:t>。公务用车购置数0辆，公务用车保有量0辆。国有资产占用情况中固定资产车辆1辆，与公务用车保有量差异原因是：</w:t>
      </w:r>
      <w:bookmarkStart w:id="5" w:name="_Hlk208411546"/>
      <w:r>
        <w:rPr>
          <w:rFonts w:hint="eastAsia" w:ascii="仿宋_GB2312" w:eastAsia="仿宋_GB2312"/>
          <w:sz w:val="32"/>
          <w:szCs w:val="32"/>
          <w:lang w:eastAsia="zh-CN"/>
        </w:rPr>
        <w:t>差异车辆为一般业务用车1辆，车辆费用未使用财政拨款公务用车运行维护费支付</w:t>
      </w:r>
      <w:bookmarkEnd w:id="5"/>
      <w:r>
        <w:rPr>
          <w:rFonts w:ascii="仿宋_GB2312" w:eastAsia="仿宋_GB2312"/>
          <w:sz w:val="32"/>
          <w:szCs w:val="32"/>
          <w:lang w:eastAsia="zh-CN"/>
        </w:rPr>
        <w:t>。</w:t>
      </w:r>
    </w:p>
    <w:p w14:paraId="35E9347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w:t>
      </w:r>
      <w:bookmarkStart w:id="6" w:name="_Hlk207140433"/>
      <w:r>
        <w:rPr>
          <w:rFonts w:hint="eastAsia" w:ascii="仿宋_GB2312" w:eastAsia="仿宋_GB2312"/>
          <w:sz w:val="32"/>
          <w:szCs w:val="32"/>
          <w:lang w:eastAsia="zh-CN"/>
        </w:rPr>
        <w:t>单</w:t>
      </w:r>
      <w:bookmarkStart w:id="7" w:name="_Hlk209003368"/>
      <w:r>
        <w:rPr>
          <w:rFonts w:hint="eastAsia" w:ascii="仿宋_GB2312" w:eastAsia="仿宋_GB2312"/>
          <w:sz w:val="32"/>
          <w:szCs w:val="32"/>
          <w:lang w:eastAsia="zh-CN"/>
        </w:rPr>
        <w:t>位本年无</w:t>
      </w:r>
      <w:r>
        <w:rPr>
          <w:rFonts w:ascii="仿宋_GB2312" w:eastAsia="仿宋_GB2312"/>
          <w:sz w:val="32"/>
          <w:szCs w:val="32"/>
          <w:lang w:eastAsia="zh-CN"/>
        </w:rPr>
        <w:t>公务接待费</w:t>
      </w:r>
      <w:bookmarkEnd w:id="6"/>
      <w:bookmarkEnd w:id="7"/>
      <w:r>
        <w:rPr>
          <w:rFonts w:ascii="仿宋_GB2312" w:eastAsia="仿宋_GB2312"/>
          <w:sz w:val="32"/>
          <w:szCs w:val="32"/>
          <w:lang w:eastAsia="zh-CN"/>
        </w:rPr>
        <w:t>。单位全年安排的国内公务接待0批次，0人次。</w:t>
      </w:r>
    </w:p>
    <w:p w14:paraId="4E8F95B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w:t>
      </w:r>
      <w:bookmarkStart w:id="8" w:name="_Hlk207142995"/>
      <w:r>
        <w:rPr>
          <w:rFonts w:hint="eastAsia" w:ascii="仿宋_GB2312" w:eastAsia="仿宋_GB2312"/>
          <w:sz w:val="32"/>
          <w:szCs w:val="32"/>
          <w:lang w:eastAsia="zh-CN"/>
        </w:rPr>
        <w:t>严格按照预算执行，预决算对比无差异</w:t>
      </w:r>
      <w:bookmarkEnd w:id="8"/>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756FACC6">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58442E93">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4ABBA6F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2024年度乌鲁木齐市米东区档案馆单位（事业单位）公用经费支出3.90万元，比上年减少2.98万元，下降43.31%，主要原因是：</w:t>
      </w:r>
      <w:r>
        <w:rPr>
          <w:rFonts w:hint="eastAsia" w:ascii="仿宋_GB2312" w:eastAsia="仿宋_GB2312"/>
          <w:sz w:val="32"/>
          <w:szCs w:val="32"/>
          <w:lang w:eastAsia="zh-CN"/>
        </w:rPr>
        <w:t>本年单位办公费、邮电费、维修（护）费等较上年减少</w:t>
      </w:r>
      <w:r>
        <w:rPr>
          <w:rFonts w:ascii="仿宋_GB2312" w:eastAsia="仿宋_GB2312"/>
          <w:sz w:val="32"/>
          <w:szCs w:val="32"/>
          <w:lang w:eastAsia="zh-CN"/>
        </w:rPr>
        <w:t>。</w:t>
      </w:r>
    </w:p>
    <w:p w14:paraId="1C019C0A">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04CBEF9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2024年度政府采购支出总额1.34万元，其中：政府采购货物支出1.25万元、政府采购工程支出0.00万元、政府采购服务支出0.08万元。</w:t>
      </w:r>
    </w:p>
    <w:p w14:paraId="1EB36A6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授予中小企业合同金额1.34万元，占政府采购支出总额的100.00%，其中：授予小微企业合同金额1.34万元，占政府采购支出总额的100.00%。</w:t>
      </w:r>
    </w:p>
    <w:p w14:paraId="640565CD">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3E1F63C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1辆，价值15.52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eastAsia="仿宋_GB2312"/>
          <w:sz w:val="32"/>
          <w:szCs w:val="32"/>
          <w:lang w:eastAsia="zh-CN"/>
        </w:rPr>
        <w:t>业务用车</w:t>
      </w:r>
      <w:r>
        <w:rPr>
          <w:rFonts w:ascii="仿宋_GB2312" w:eastAsia="仿宋_GB2312"/>
          <w:sz w:val="32"/>
          <w:szCs w:val="32"/>
          <w:lang w:eastAsia="zh-CN"/>
        </w:rPr>
        <w:t>;单价100万元（含）以上设备（不含车辆）0台（套）。</w:t>
      </w:r>
    </w:p>
    <w:p w14:paraId="5542CDB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7EDB915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hint="eastAsia" w:ascii="仿宋_GB2312" w:eastAsia="仿宋_GB2312"/>
          <w:sz w:val="32"/>
          <w:szCs w:val="32"/>
          <w:lang w:eastAsia="zh-CN"/>
        </w:rPr>
        <w:t>130.97</w:t>
      </w:r>
      <w:r>
        <w:rPr>
          <w:rFonts w:ascii="仿宋_GB2312" w:eastAsia="仿宋_GB2312"/>
          <w:sz w:val="32"/>
          <w:szCs w:val="32"/>
          <w:lang w:eastAsia="zh-CN"/>
        </w:rPr>
        <w:t>万元，实际执行总额</w:t>
      </w:r>
      <w:r>
        <w:rPr>
          <w:rFonts w:hint="eastAsia" w:ascii="仿宋_GB2312" w:eastAsia="仿宋_GB2312"/>
          <w:sz w:val="32"/>
          <w:szCs w:val="32"/>
          <w:lang w:eastAsia="zh-CN"/>
        </w:rPr>
        <w:t>127.97</w:t>
      </w:r>
      <w:r>
        <w:rPr>
          <w:rFonts w:ascii="仿宋_GB2312" w:eastAsia="仿宋_GB2312"/>
          <w:sz w:val="32"/>
          <w:szCs w:val="32"/>
          <w:lang w:eastAsia="zh-CN"/>
        </w:rPr>
        <w:t>万元；预算绩效评价项目0个，全年预算数</w:t>
      </w:r>
      <w:r>
        <w:rPr>
          <w:rFonts w:hint="eastAsia" w:ascii="仿宋_GB2312" w:eastAsia="仿宋_GB2312"/>
          <w:sz w:val="32"/>
          <w:szCs w:val="32"/>
          <w:lang w:eastAsia="zh-CN"/>
        </w:rPr>
        <w:t>0.00</w:t>
      </w:r>
      <w:r>
        <w:rPr>
          <w:rFonts w:ascii="仿宋_GB2312" w:eastAsia="仿宋_GB2312"/>
          <w:sz w:val="32"/>
          <w:szCs w:val="32"/>
          <w:lang w:eastAsia="zh-CN"/>
        </w:rPr>
        <w:t>万元，全年执行数</w:t>
      </w:r>
      <w:r>
        <w:rPr>
          <w:rFonts w:hint="eastAsia" w:ascii="仿宋_GB2312" w:eastAsia="仿宋_GB2312"/>
          <w:sz w:val="32"/>
          <w:szCs w:val="32"/>
          <w:lang w:eastAsia="zh-CN"/>
        </w:rPr>
        <w:t>0.00</w:t>
      </w:r>
      <w:r>
        <w:rPr>
          <w:rFonts w:ascii="仿宋_GB2312" w:eastAsia="仿宋_GB2312"/>
          <w:sz w:val="32"/>
          <w:szCs w:val="32"/>
          <w:lang w:eastAsia="zh-CN"/>
        </w:rPr>
        <w:t>万元。预算绩效管理取得的成效：</w:t>
      </w:r>
      <w:r>
        <w:rPr>
          <w:rFonts w:hint="eastAsia" w:ascii="仿宋_GB2312" w:eastAsia="仿宋_GB2312"/>
          <w:sz w:val="32"/>
          <w:szCs w:val="32"/>
          <w:lang w:eastAsia="zh-CN"/>
        </w:rPr>
        <w:t>一是注重绩效目标编制，预算编制环节注重编细编实预算需求，科学选择绩效指标，合理设置绩效目标值，并严格按照财政统一要求，规范编制事前绩效报告，为财政资金发挥效益夯实基础；二是扎实开展自评工作，年度终了，扎实开展预算绩效目标完成情况部门审核和自评工作。发现的问题及原因：一是我单位部分绩效指标设置存在不够精简、指标数据无法统计和指标值设置过低等问题，部分项目绩效指标值设定为定性的指标，指标设置的科学性、合理性有待进一步提高；二是项目实施过程中的上报、跟踪、反馈机制尚未真正形成，对各地区项目资金的使用、实施等监管措施仍然存在改进的空间。下一步改进措施：一是建议以规章规则的形式，出台绩效管理制度，对绩效管理的目的、意义、性质和特点，以及组织实施绩效管理的程序、步骤、方法、原则和要求进行统一的规定；二是合理设置年度任务。提高各科室对部门中长期规划的重视程度，增强相关规划的落地性、导向性</w:t>
      </w:r>
      <w:r>
        <w:rPr>
          <w:rFonts w:ascii="仿宋_GB2312" w:eastAsia="仿宋_GB2312"/>
          <w:sz w:val="32"/>
          <w:szCs w:val="32"/>
          <w:lang w:eastAsia="zh-CN"/>
        </w:rPr>
        <w:t>。具体附部门整体支出绩效自评表。</w:t>
      </w:r>
    </w:p>
    <w:p w14:paraId="67C0289F">
      <w:pPr>
        <w:rPr>
          <w:rFonts w:hint="eastAsia" w:ascii="宋体" w:hAnsi="宋体" w:eastAsia="宋体" w:cs="宋体"/>
          <w:b/>
          <w:bCs/>
          <w:sz w:val="18"/>
          <w:szCs w:val="18"/>
        </w:rPr>
      </w:pPr>
      <w:bookmarkStart w:id="9" w:name="_Hlk174962300"/>
    </w:p>
    <w:p w14:paraId="51E35871">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部门（单位）整体支出绩效目标自评表</w:t>
      </w:r>
    </w:p>
    <w:p w14:paraId="19C4CA7C">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935" w:type="dxa"/>
        <w:tblInd w:w="-601" w:type="dxa"/>
        <w:tblLayout w:type="fixed"/>
        <w:tblCellMar>
          <w:top w:w="0" w:type="dxa"/>
          <w:left w:w="108" w:type="dxa"/>
          <w:bottom w:w="0" w:type="dxa"/>
          <w:right w:w="108" w:type="dxa"/>
        </w:tblCellMar>
      </w:tblPr>
      <w:tblGrid>
        <w:gridCol w:w="993"/>
        <w:gridCol w:w="1417"/>
        <w:gridCol w:w="1418"/>
        <w:gridCol w:w="1276"/>
        <w:gridCol w:w="1701"/>
        <w:gridCol w:w="1134"/>
        <w:gridCol w:w="992"/>
        <w:gridCol w:w="720"/>
        <w:gridCol w:w="284"/>
      </w:tblGrid>
      <w:tr w14:paraId="127D3413">
        <w:tblPrEx>
          <w:tblCellMar>
            <w:top w:w="0" w:type="dxa"/>
            <w:left w:w="108" w:type="dxa"/>
            <w:bottom w:w="0" w:type="dxa"/>
            <w:right w:w="108" w:type="dxa"/>
          </w:tblCellMar>
        </w:tblPrEx>
        <w:trPr>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2D98ABF3">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550945E5">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乌鲁木齐市米东区档案馆</w:t>
            </w:r>
          </w:p>
        </w:tc>
        <w:tc>
          <w:tcPr>
            <w:tcW w:w="284" w:type="dxa"/>
            <w:tcBorders>
              <w:top w:val="nil"/>
              <w:left w:val="nil"/>
              <w:bottom w:val="nil"/>
              <w:right w:val="nil"/>
            </w:tcBorders>
            <w:noWrap/>
            <w:vAlign w:val="center"/>
          </w:tcPr>
          <w:p w14:paraId="5FCB3A01">
            <w:pPr>
              <w:rPr>
                <w:rFonts w:hint="eastAsia" w:ascii="宋体" w:hAnsi="宋体" w:eastAsia="宋体" w:cs="宋体"/>
                <w:b/>
                <w:bCs/>
                <w:sz w:val="18"/>
                <w:szCs w:val="18"/>
                <w:lang w:eastAsia="zh-CN"/>
              </w:rPr>
            </w:pPr>
          </w:p>
        </w:tc>
      </w:tr>
      <w:tr w14:paraId="6904D38C">
        <w:tblPrEx>
          <w:tblCellMar>
            <w:top w:w="0" w:type="dxa"/>
            <w:left w:w="108" w:type="dxa"/>
            <w:bottom w:w="0" w:type="dxa"/>
            <w:right w:w="108" w:type="dxa"/>
          </w:tblCellMar>
        </w:tblPrEx>
        <w:trPr>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68436C1B">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7D973247">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2C70D245">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76" w:type="dxa"/>
            <w:tcBorders>
              <w:top w:val="nil"/>
              <w:left w:val="nil"/>
              <w:bottom w:val="single" w:color="auto" w:sz="4" w:space="0"/>
              <w:right w:val="single" w:color="auto" w:sz="4" w:space="0"/>
            </w:tcBorders>
            <w:vAlign w:val="center"/>
          </w:tcPr>
          <w:p w14:paraId="7F3F59EF">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701" w:type="dxa"/>
            <w:tcBorders>
              <w:top w:val="nil"/>
              <w:left w:val="nil"/>
              <w:bottom w:val="single" w:color="auto" w:sz="4" w:space="0"/>
              <w:right w:val="single" w:color="auto" w:sz="4" w:space="0"/>
            </w:tcBorders>
            <w:vAlign w:val="center"/>
          </w:tcPr>
          <w:p w14:paraId="3C6A20DB">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4E7B554A">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992" w:type="dxa"/>
            <w:tcBorders>
              <w:top w:val="nil"/>
              <w:left w:val="nil"/>
              <w:bottom w:val="single" w:color="auto" w:sz="4" w:space="0"/>
              <w:right w:val="single" w:color="auto" w:sz="4" w:space="0"/>
            </w:tcBorders>
            <w:vAlign w:val="center"/>
          </w:tcPr>
          <w:p w14:paraId="6C83C8A7">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16B5A788">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51E8BF6F">
            <w:pPr>
              <w:jc w:val="center"/>
              <w:rPr>
                <w:rFonts w:hint="eastAsia" w:ascii="宋体" w:hAnsi="宋体" w:eastAsia="宋体" w:cs="宋体"/>
                <w:b/>
                <w:bCs/>
                <w:sz w:val="18"/>
                <w:szCs w:val="18"/>
              </w:rPr>
            </w:pPr>
          </w:p>
        </w:tc>
      </w:tr>
      <w:tr w14:paraId="6B84E71C">
        <w:tblPrEx>
          <w:tblCellMar>
            <w:top w:w="0" w:type="dxa"/>
            <w:left w:w="108" w:type="dxa"/>
            <w:bottom w:w="0" w:type="dxa"/>
            <w:right w:w="108" w:type="dxa"/>
          </w:tblCellMar>
        </w:tblPrEx>
        <w:trPr>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93493F9">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711DA9CC">
            <w:pPr>
              <w:jc w:val="center"/>
              <w:rPr>
                <w:rFonts w:hint="eastAsia" w:ascii="宋体" w:hAnsi="宋体" w:eastAsia="宋体" w:cs="宋体"/>
                <w:b/>
                <w:bCs/>
                <w:sz w:val="18"/>
                <w:szCs w:val="18"/>
              </w:rPr>
            </w:pPr>
            <w:r>
              <w:rPr>
                <w:rFonts w:hint="eastAsia" w:ascii="宋体" w:hAnsi="宋体" w:eastAsia="宋体" w:cs="宋体"/>
                <w:b/>
                <w:bCs/>
                <w:sz w:val="18"/>
                <w:szCs w:val="18"/>
              </w:rPr>
              <w:t>年度总资金</w:t>
            </w:r>
          </w:p>
        </w:tc>
        <w:tc>
          <w:tcPr>
            <w:tcW w:w="1418" w:type="dxa"/>
            <w:tcBorders>
              <w:top w:val="nil"/>
              <w:left w:val="nil"/>
              <w:bottom w:val="single" w:color="auto" w:sz="4" w:space="0"/>
              <w:right w:val="single" w:color="auto" w:sz="4" w:space="0"/>
            </w:tcBorders>
            <w:vAlign w:val="center"/>
          </w:tcPr>
          <w:p w14:paraId="1A07D825">
            <w:pPr>
              <w:jc w:val="center"/>
              <w:rPr>
                <w:rFonts w:hint="eastAsia" w:ascii="宋体" w:hAnsi="宋体" w:eastAsia="宋体" w:cs="宋体"/>
                <w:sz w:val="18"/>
                <w:szCs w:val="18"/>
              </w:rPr>
            </w:pPr>
            <w:r>
              <w:rPr>
                <w:rFonts w:hint="eastAsia" w:ascii="宋体" w:hAnsi="宋体" w:eastAsia="宋体" w:cs="宋体"/>
                <w:sz w:val="18"/>
                <w:szCs w:val="18"/>
              </w:rPr>
              <w:t>132.51</w:t>
            </w:r>
          </w:p>
        </w:tc>
        <w:tc>
          <w:tcPr>
            <w:tcW w:w="1276" w:type="dxa"/>
            <w:tcBorders>
              <w:top w:val="nil"/>
              <w:left w:val="nil"/>
              <w:bottom w:val="single" w:color="auto" w:sz="4" w:space="0"/>
              <w:right w:val="single" w:color="auto" w:sz="4" w:space="0"/>
            </w:tcBorders>
            <w:vAlign w:val="center"/>
          </w:tcPr>
          <w:p w14:paraId="39FBBF9C">
            <w:pPr>
              <w:jc w:val="center"/>
              <w:rPr>
                <w:rFonts w:hint="eastAsia" w:ascii="宋体" w:hAnsi="宋体" w:eastAsia="宋体" w:cs="宋体"/>
                <w:sz w:val="18"/>
                <w:szCs w:val="18"/>
              </w:rPr>
            </w:pPr>
            <w:r>
              <w:rPr>
                <w:rFonts w:hint="eastAsia" w:ascii="宋体" w:hAnsi="宋体" w:eastAsia="宋体" w:cs="宋体"/>
                <w:sz w:val="18"/>
                <w:szCs w:val="18"/>
              </w:rPr>
              <w:t>130.97</w:t>
            </w:r>
          </w:p>
        </w:tc>
        <w:tc>
          <w:tcPr>
            <w:tcW w:w="1701" w:type="dxa"/>
            <w:tcBorders>
              <w:top w:val="nil"/>
              <w:left w:val="nil"/>
              <w:bottom w:val="single" w:color="auto" w:sz="4" w:space="0"/>
              <w:right w:val="single" w:color="auto" w:sz="4" w:space="0"/>
            </w:tcBorders>
            <w:vAlign w:val="center"/>
          </w:tcPr>
          <w:p w14:paraId="09F2980B">
            <w:pPr>
              <w:jc w:val="center"/>
              <w:rPr>
                <w:rFonts w:hint="eastAsia" w:ascii="宋体" w:hAnsi="宋体" w:eastAsia="宋体" w:cs="宋体"/>
                <w:sz w:val="18"/>
                <w:szCs w:val="18"/>
              </w:rPr>
            </w:pPr>
            <w:r>
              <w:rPr>
                <w:rFonts w:hint="eastAsia" w:ascii="宋体" w:hAnsi="宋体" w:eastAsia="宋体" w:cs="宋体"/>
                <w:sz w:val="18"/>
                <w:szCs w:val="18"/>
              </w:rPr>
              <w:t>127.97</w:t>
            </w:r>
          </w:p>
        </w:tc>
        <w:tc>
          <w:tcPr>
            <w:tcW w:w="1134" w:type="dxa"/>
            <w:tcBorders>
              <w:top w:val="nil"/>
              <w:left w:val="nil"/>
              <w:bottom w:val="single" w:color="auto" w:sz="4" w:space="0"/>
              <w:right w:val="single" w:color="auto" w:sz="4" w:space="0"/>
            </w:tcBorders>
            <w:vAlign w:val="center"/>
          </w:tcPr>
          <w:p w14:paraId="3ABFA5B4">
            <w:pPr>
              <w:jc w:val="center"/>
              <w:rPr>
                <w:rFonts w:hint="eastAsia" w:ascii="宋体" w:hAnsi="宋体" w:eastAsia="宋体" w:cs="宋体"/>
                <w:sz w:val="18"/>
                <w:szCs w:val="18"/>
              </w:rPr>
            </w:pPr>
            <w:r>
              <w:rPr>
                <w:rFonts w:hint="eastAsia" w:ascii="宋体" w:hAnsi="宋体" w:eastAsia="宋体" w:cs="宋体"/>
                <w:sz w:val="18"/>
                <w:szCs w:val="18"/>
              </w:rPr>
              <w:t>10</w:t>
            </w:r>
          </w:p>
        </w:tc>
        <w:tc>
          <w:tcPr>
            <w:tcW w:w="992" w:type="dxa"/>
            <w:tcBorders>
              <w:top w:val="nil"/>
              <w:left w:val="nil"/>
              <w:bottom w:val="single" w:color="auto" w:sz="4" w:space="0"/>
              <w:right w:val="single" w:color="auto" w:sz="4" w:space="0"/>
            </w:tcBorders>
            <w:vAlign w:val="center"/>
          </w:tcPr>
          <w:p w14:paraId="6544BDB5">
            <w:pPr>
              <w:jc w:val="center"/>
              <w:rPr>
                <w:rFonts w:hint="eastAsia" w:ascii="宋体" w:hAnsi="宋体" w:eastAsia="宋体" w:cs="宋体"/>
                <w:sz w:val="18"/>
                <w:szCs w:val="18"/>
              </w:rPr>
            </w:pPr>
            <w:r>
              <w:rPr>
                <w:rFonts w:hint="eastAsia" w:ascii="宋体" w:hAnsi="宋体" w:eastAsia="宋体" w:cs="宋体"/>
                <w:sz w:val="18"/>
                <w:szCs w:val="18"/>
              </w:rPr>
              <w:t>97.71%</w:t>
            </w:r>
          </w:p>
        </w:tc>
        <w:tc>
          <w:tcPr>
            <w:tcW w:w="720" w:type="dxa"/>
            <w:tcBorders>
              <w:top w:val="nil"/>
              <w:left w:val="nil"/>
              <w:bottom w:val="single" w:color="auto" w:sz="4" w:space="0"/>
              <w:right w:val="single" w:color="auto" w:sz="4" w:space="0"/>
            </w:tcBorders>
            <w:vAlign w:val="center"/>
          </w:tcPr>
          <w:p w14:paraId="192EC85C">
            <w:pPr>
              <w:jc w:val="center"/>
              <w:rPr>
                <w:rFonts w:hint="eastAsia" w:ascii="宋体" w:hAnsi="宋体" w:eastAsia="宋体" w:cs="宋体"/>
                <w:sz w:val="18"/>
                <w:szCs w:val="18"/>
              </w:rPr>
            </w:pPr>
            <w:r>
              <w:rPr>
                <w:rFonts w:hint="eastAsia" w:ascii="宋体" w:hAnsi="宋体" w:eastAsia="宋体" w:cs="宋体"/>
                <w:sz w:val="18"/>
                <w:szCs w:val="18"/>
              </w:rPr>
              <w:t>9.77</w:t>
            </w:r>
          </w:p>
        </w:tc>
        <w:tc>
          <w:tcPr>
            <w:tcW w:w="284" w:type="dxa"/>
            <w:tcBorders>
              <w:top w:val="nil"/>
              <w:left w:val="nil"/>
              <w:bottom w:val="nil"/>
              <w:right w:val="nil"/>
            </w:tcBorders>
            <w:noWrap/>
            <w:vAlign w:val="center"/>
          </w:tcPr>
          <w:p w14:paraId="32C931B6">
            <w:pPr>
              <w:jc w:val="center"/>
              <w:rPr>
                <w:rFonts w:hint="eastAsia" w:ascii="宋体" w:hAnsi="宋体" w:eastAsia="宋体" w:cs="宋体"/>
                <w:b/>
                <w:bCs/>
                <w:sz w:val="18"/>
                <w:szCs w:val="18"/>
              </w:rPr>
            </w:pPr>
          </w:p>
        </w:tc>
      </w:tr>
      <w:tr w14:paraId="095A0822">
        <w:tblPrEx>
          <w:tblCellMar>
            <w:top w:w="0" w:type="dxa"/>
            <w:left w:w="108" w:type="dxa"/>
            <w:bottom w:w="0" w:type="dxa"/>
            <w:right w:w="108" w:type="dxa"/>
          </w:tblCellMar>
        </w:tblPrEx>
        <w:trPr>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4A30EC3">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5E7A36C4">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其中:上级资金（万元）</w:t>
            </w:r>
          </w:p>
        </w:tc>
        <w:tc>
          <w:tcPr>
            <w:tcW w:w="1418" w:type="dxa"/>
            <w:tcBorders>
              <w:top w:val="nil"/>
              <w:left w:val="nil"/>
              <w:bottom w:val="single" w:color="auto" w:sz="4" w:space="0"/>
              <w:right w:val="single" w:color="auto" w:sz="4" w:space="0"/>
            </w:tcBorders>
            <w:vAlign w:val="center"/>
          </w:tcPr>
          <w:p w14:paraId="1193D493">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76" w:type="dxa"/>
            <w:tcBorders>
              <w:top w:val="nil"/>
              <w:left w:val="nil"/>
              <w:bottom w:val="single" w:color="auto" w:sz="4" w:space="0"/>
              <w:right w:val="single" w:color="auto" w:sz="4" w:space="0"/>
            </w:tcBorders>
            <w:vAlign w:val="center"/>
          </w:tcPr>
          <w:p w14:paraId="6F4EB6EF">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701" w:type="dxa"/>
            <w:tcBorders>
              <w:top w:val="nil"/>
              <w:left w:val="nil"/>
              <w:bottom w:val="single" w:color="auto" w:sz="4" w:space="0"/>
              <w:right w:val="single" w:color="auto" w:sz="4" w:space="0"/>
            </w:tcBorders>
            <w:vAlign w:val="center"/>
          </w:tcPr>
          <w:p w14:paraId="39CCDD1F">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034BB021">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09B08881">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54717E47">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21064A38">
            <w:pPr>
              <w:jc w:val="center"/>
              <w:rPr>
                <w:rFonts w:hint="eastAsia" w:ascii="宋体" w:hAnsi="宋体" w:eastAsia="宋体" w:cs="宋体"/>
                <w:sz w:val="18"/>
                <w:szCs w:val="18"/>
              </w:rPr>
            </w:pPr>
          </w:p>
        </w:tc>
      </w:tr>
      <w:tr w14:paraId="4CB23FE2">
        <w:tblPrEx>
          <w:tblCellMar>
            <w:top w:w="0" w:type="dxa"/>
            <w:left w:w="108" w:type="dxa"/>
            <w:bottom w:w="0" w:type="dxa"/>
            <w:right w:w="108" w:type="dxa"/>
          </w:tblCellMar>
        </w:tblPrEx>
        <w:trPr>
          <w:trHeight w:val="281"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DF6C642">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5F20BDDF">
            <w:pPr>
              <w:jc w:val="center"/>
              <w:rPr>
                <w:rFonts w:hint="eastAsia" w:ascii="宋体" w:hAnsi="宋体" w:eastAsia="宋体" w:cs="宋体"/>
                <w:b/>
                <w:bCs/>
                <w:sz w:val="18"/>
                <w:szCs w:val="18"/>
              </w:rPr>
            </w:pPr>
            <w:r>
              <w:rPr>
                <w:rFonts w:hint="eastAsia" w:ascii="宋体" w:hAnsi="宋体" w:eastAsia="宋体" w:cs="宋体"/>
                <w:b/>
                <w:bCs/>
                <w:sz w:val="18"/>
                <w:szCs w:val="18"/>
              </w:rPr>
              <w:t>本级资金（万元）</w:t>
            </w:r>
          </w:p>
        </w:tc>
        <w:tc>
          <w:tcPr>
            <w:tcW w:w="1418" w:type="dxa"/>
            <w:tcBorders>
              <w:top w:val="nil"/>
              <w:left w:val="nil"/>
              <w:bottom w:val="single" w:color="auto" w:sz="4" w:space="0"/>
              <w:right w:val="single" w:color="auto" w:sz="4" w:space="0"/>
            </w:tcBorders>
            <w:vAlign w:val="center"/>
          </w:tcPr>
          <w:p w14:paraId="0621036F">
            <w:pPr>
              <w:jc w:val="center"/>
              <w:rPr>
                <w:rFonts w:hint="eastAsia" w:ascii="宋体" w:hAnsi="宋体" w:eastAsia="宋体" w:cs="宋体"/>
                <w:sz w:val="18"/>
                <w:szCs w:val="18"/>
              </w:rPr>
            </w:pPr>
            <w:r>
              <w:rPr>
                <w:rFonts w:hint="eastAsia" w:ascii="宋体" w:hAnsi="宋体" w:eastAsia="宋体" w:cs="宋体"/>
                <w:sz w:val="18"/>
                <w:szCs w:val="18"/>
              </w:rPr>
              <w:t>132.51</w:t>
            </w:r>
          </w:p>
        </w:tc>
        <w:tc>
          <w:tcPr>
            <w:tcW w:w="1276" w:type="dxa"/>
            <w:tcBorders>
              <w:top w:val="nil"/>
              <w:left w:val="nil"/>
              <w:bottom w:val="single" w:color="auto" w:sz="4" w:space="0"/>
              <w:right w:val="single" w:color="auto" w:sz="4" w:space="0"/>
            </w:tcBorders>
            <w:vAlign w:val="center"/>
          </w:tcPr>
          <w:p w14:paraId="3B8D709F">
            <w:pPr>
              <w:jc w:val="center"/>
              <w:rPr>
                <w:rFonts w:hint="eastAsia" w:ascii="宋体" w:hAnsi="宋体" w:eastAsia="宋体" w:cs="宋体"/>
                <w:sz w:val="18"/>
                <w:szCs w:val="18"/>
              </w:rPr>
            </w:pPr>
            <w:r>
              <w:rPr>
                <w:rFonts w:hint="eastAsia" w:ascii="宋体" w:hAnsi="宋体" w:eastAsia="宋体" w:cs="宋体"/>
                <w:sz w:val="18"/>
                <w:szCs w:val="18"/>
              </w:rPr>
              <w:t>130.97</w:t>
            </w:r>
          </w:p>
        </w:tc>
        <w:tc>
          <w:tcPr>
            <w:tcW w:w="1701" w:type="dxa"/>
            <w:tcBorders>
              <w:top w:val="nil"/>
              <w:left w:val="nil"/>
              <w:bottom w:val="single" w:color="auto" w:sz="4" w:space="0"/>
              <w:right w:val="single" w:color="auto" w:sz="4" w:space="0"/>
            </w:tcBorders>
            <w:vAlign w:val="center"/>
          </w:tcPr>
          <w:p w14:paraId="3C265F8D">
            <w:pPr>
              <w:jc w:val="center"/>
              <w:rPr>
                <w:rFonts w:hint="eastAsia" w:ascii="宋体" w:hAnsi="宋体" w:eastAsia="宋体" w:cs="宋体"/>
                <w:sz w:val="18"/>
                <w:szCs w:val="18"/>
              </w:rPr>
            </w:pPr>
            <w:r>
              <w:rPr>
                <w:rFonts w:hint="eastAsia" w:ascii="宋体" w:hAnsi="宋体" w:eastAsia="宋体" w:cs="宋体"/>
                <w:sz w:val="18"/>
                <w:szCs w:val="18"/>
              </w:rPr>
              <w:t>127.97</w:t>
            </w:r>
          </w:p>
        </w:tc>
        <w:tc>
          <w:tcPr>
            <w:tcW w:w="1134" w:type="dxa"/>
            <w:tcBorders>
              <w:top w:val="nil"/>
              <w:left w:val="nil"/>
              <w:bottom w:val="single" w:color="auto" w:sz="4" w:space="0"/>
              <w:right w:val="single" w:color="auto" w:sz="4" w:space="0"/>
            </w:tcBorders>
            <w:vAlign w:val="center"/>
          </w:tcPr>
          <w:p w14:paraId="272C6B42">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6E1B7DF1">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2FBB84E2">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47E58F2B">
            <w:pPr>
              <w:jc w:val="center"/>
              <w:rPr>
                <w:rFonts w:hint="eastAsia" w:ascii="宋体" w:hAnsi="宋体" w:eastAsia="宋体" w:cs="宋体"/>
                <w:sz w:val="18"/>
                <w:szCs w:val="18"/>
              </w:rPr>
            </w:pPr>
          </w:p>
        </w:tc>
      </w:tr>
      <w:tr w14:paraId="5BE8865A">
        <w:tblPrEx>
          <w:tblCellMar>
            <w:top w:w="0" w:type="dxa"/>
            <w:left w:w="108" w:type="dxa"/>
            <w:bottom w:w="0" w:type="dxa"/>
            <w:right w:w="108" w:type="dxa"/>
          </w:tblCellMar>
        </w:tblPrEx>
        <w:trPr>
          <w:trHeight w:val="373"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D49A414">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3D289172">
            <w:pPr>
              <w:jc w:val="center"/>
              <w:rPr>
                <w:rFonts w:hint="eastAsia" w:ascii="宋体" w:hAnsi="宋体" w:eastAsia="宋体" w:cs="宋体"/>
                <w:b/>
                <w:bCs/>
                <w:sz w:val="18"/>
                <w:szCs w:val="18"/>
              </w:rPr>
            </w:pPr>
            <w:r>
              <w:rPr>
                <w:rFonts w:hint="eastAsia" w:ascii="宋体" w:hAnsi="宋体" w:eastAsia="宋体" w:cs="宋体"/>
                <w:b/>
                <w:bCs/>
                <w:sz w:val="18"/>
                <w:szCs w:val="18"/>
              </w:rPr>
              <w:t>其他资金（万元）</w:t>
            </w:r>
          </w:p>
        </w:tc>
        <w:tc>
          <w:tcPr>
            <w:tcW w:w="1418" w:type="dxa"/>
            <w:tcBorders>
              <w:top w:val="nil"/>
              <w:left w:val="nil"/>
              <w:bottom w:val="single" w:color="auto" w:sz="4" w:space="0"/>
              <w:right w:val="single" w:color="auto" w:sz="4" w:space="0"/>
            </w:tcBorders>
            <w:vAlign w:val="center"/>
          </w:tcPr>
          <w:p w14:paraId="586097C2">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76" w:type="dxa"/>
            <w:tcBorders>
              <w:top w:val="nil"/>
              <w:left w:val="nil"/>
              <w:bottom w:val="single" w:color="auto" w:sz="4" w:space="0"/>
              <w:right w:val="single" w:color="auto" w:sz="4" w:space="0"/>
            </w:tcBorders>
            <w:vAlign w:val="center"/>
          </w:tcPr>
          <w:p w14:paraId="0CAAC30C">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701" w:type="dxa"/>
            <w:tcBorders>
              <w:top w:val="nil"/>
              <w:left w:val="nil"/>
              <w:bottom w:val="single" w:color="auto" w:sz="4" w:space="0"/>
              <w:right w:val="single" w:color="auto" w:sz="4" w:space="0"/>
            </w:tcBorders>
            <w:vAlign w:val="center"/>
          </w:tcPr>
          <w:p w14:paraId="0E096779">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19D344B5">
            <w:pPr>
              <w:jc w:val="center"/>
              <w:rPr>
                <w:rFonts w:hint="eastAsia" w:ascii="宋体" w:hAnsi="宋体" w:eastAsia="宋体" w:cs="宋体"/>
                <w:sz w:val="18"/>
                <w:szCs w:val="18"/>
              </w:rPr>
            </w:pPr>
            <w:r>
              <w:rPr>
                <w:rFonts w:hint="eastAsia" w:ascii="宋体" w:hAnsi="宋体" w:eastAsia="宋体" w:cs="宋体"/>
                <w:sz w:val="18"/>
                <w:szCs w:val="18"/>
              </w:rPr>
              <w:t>-</w:t>
            </w:r>
          </w:p>
        </w:tc>
        <w:tc>
          <w:tcPr>
            <w:tcW w:w="992" w:type="dxa"/>
            <w:tcBorders>
              <w:top w:val="nil"/>
              <w:left w:val="nil"/>
              <w:bottom w:val="single" w:color="auto" w:sz="4" w:space="0"/>
              <w:right w:val="single" w:color="auto" w:sz="4" w:space="0"/>
            </w:tcBorders>
            <w:vAlign w:val="center"/>
          </w:tcPr>
          <w:p w14:paraId="58FF8CA0">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5EC2AACB">
            <w:pPr>
              <w:jc w:val="center"/>
              <w:rPr>
                <w:rFonts w:hint="eastAsia" w:ascii="宋体" w:hAnsi="宋体" w:eastAsia="宋体" w:cs="宋体"/>
                <w:sz w:val="18"/>
                <w:szCs w:val="18"/>
              </w:rPr>
            </w:pPr>
            <w:r>
              <w:rPr>
                <w:rFonts w:hint="eastAsia" w:ascii="宋体" w:hAnsi="宋体" w:eastAsia="宋体" w:cs="宋体"/>
                <w:sz w:val="18"/>
                <w:szCs w:val="18"/>
              </w:rPr>
              <w:t>-</w:t>
            </w:r>
          </w:p>
        </w:tc>
        <w:tc>
          <w:tcPr>
            <w:tcW w:w="284" w:type="dxa"/>
            <w:tcBorders>
              <w:top w:val="nil"/>
              <w:left w:val="nil"/>
              <w:bottom w:val="nil"/>
              <w:right w:val="nil"/>
            </w:tcBorders>
            <w:noWrap/>
            <w:vAlign w:val="center"/>
          </w:tcPr>
          <w:p w14:paraId="6D1F1153">
            <w:pPr>
              <w:jc w:val="center"/>
              <w:rPr>
                <w:rFonts w:hint="eastAsia" w:ascii="宋体" w:hAnsi="宋体" w:eastAsia="宋体" w:cs="宋体"/>
                <w:sz w:val="18"/>
                <w:szCs w:val="18"/>
              </w:rPr>
            </w:pPr>
          </w:p>
        </w:tc>
      </w:tr>
      <w:tr w14:paraId="06EEB246">
        <w:tblPrEx>
          <w:tblCellMar>
            <w:top w:w="0" w:type="dxa"/>
            <w:left w:w="108" w:type="dxa"/>
            <w:bottom w:w="0" w:type="dxa"/>
            <w:right w:w="108" w:type="dxa"/>
          </w:tblCellMar>
        </w:tblPrEx>
        <w:trPr>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02770570">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2B184BE4">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5E243821">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c>
          <w:tcPr>
            <w:tcW w:w="284" w:type="dxa"/>
            <w:tcBorders>
              <w:top w:val="nil"/>
              <w:left w:val="nil"/>
              <w:bottom w:val="nil"/>
              <w:right w:val="nil"/>
            </w:tcBorders>
            <w:noWrap/>
            <w:vAlign w:val="center"/>
          </w:tcPr>
          <w:p w14:paraId="2E8A33B7">
            <w:pPr>
              <w:rPr>
                <w:rFonts w:hint="eastAsia" w:ascii="宋体" w:hAnsi="宋体" w:eastAsia="宋体" w:cs="宋体"/>
                <w:b/>
                <w:bCs/>
                <w:sz w:val="18"/>
                <w:szCs w:val="18"/>
              </w:rPr>
            </w:pPr>
          </w:p>
        </w:tc>
      </w:tr>
      <w:tr w14:paraId="6EBFE8D7">
        <w:tblPrEx>
          <w:tblCellMar>
            <w:top w:w="0" w:type="dxa"/>
            <w:left w:w="108" w:type="dxa"/>
            <w:bottom w:w="0" w:type="dxa"/>
            <w:right w:w="108" w:type="dxa"/>
          </w:tblCellMar>
        </w:tblPrEx>
        <w:trPr>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E39E327">
            <w:pPr>
              <w:rPr>
                <w:rFonts w:hint="eastAsia" w:ascii="宋体" w:hAnsi="宋体" w:eastAsia="宋体" w:cs="宋体"/>
                <w:b/>
                <w:bCs/>
                <w:sz w:val="18"/>
                <w:szCs w:val="18"/>
              </w:rPr>
            </w:pPr>
          </w:p>
        </w:tc>
        <w:tc>
          <w:tcPr>
            <w:tcW w:w="4111" w:type="dxa"/>
            <w:gridSpan w:val="3"/>
            <w:tcBorders>
              <w:top w:val="single" w:color="auto" w:sz="4" w:space="0"/>
              <w:left w:val="nil"/>
              <w:bottom w:val="single" w:color="auto" w:sz="4" w:space="0"/>
              <w:right w:val="single" w:color="auto" w:sz="4" w:space="0"/>
            </w:tcBorders>
          </w:tcPr>
          <w:p w14:paraId="5DCBF9BA">
            <w:pPr>
              <w:rPr>
                <w:rFonts w:hint="eastAsia" w:ascii="宋体" w:hAnsi="宋体" w:eastAsia="宋体" w:cs="宋体"/>
                <w:sz w:val="18"/>
                <w:szCs w:val="18"/>
                <w:lang w:eastAsia="zh-CN"/>
              </w:rPr>
            </w:pPr>
            <w:r>
              <w:rPr>
                <w:rFonts w:hint="eastAsia" w:ascii="宋体" w:hAnsi="宋体" w:eastAsia="宋体" w:cs="宋体"/>
                <w:sz w:val="18"/>
                <w:szCs w:val="18"/>
                <w:lang w:eastAsia="zh-CN"/>
              </w:rPr>
              <w:t>集中统一管理全区党政机关的重要档案资料，确保档案完整、安全；负责接收、征集、保管全区党政机关、社会团体、企事业单位及撤销单位的档案资料，做好档案的规范化和信息化管理；负责档案信息开发和提供利用工作；负责重点档案的抢救和保护工作。重点工作1：、档案信息化工作分步推进；2、机关、社区、村档案业务培训；3、档案事业“十四五”规划迎检准备工作</w:t>
            </w:r>
          </w:p>
        </w:tc>
        <w:tc>
          <w:tcPr>
            <w:tcW w:w="4547" w:type="dxa"/>
            <w:gridSpan w:val="4"/>
            <w:tcBorders>
              <w:top w:val="single" w:color="auto" w:sz="4" w:space="0"/>
              <w:left w:val="nil"/>
              <w:bottom w:val="single" w:color="auto" w:sz="4" w:space="0"/>
              <w:right w:val="single" w:color="auto" w:sz="4" w:space="0"/>
            </w:tcBorders>
          </w:tcPr>
          <w:p w14:paraId="75383500">
            <w:pPr>
              <w:rPr>
                <w:rFonts w:hint="eastAsia" w:ascii="宋体" w:hAnsi="宋体" w:eastAsia="宋体" w:cs="宋体"/>
                <w:sz w:val="18"/>
                <w:szCs w:val="18"/>
                <w:lang w:eastAsia="zh-CN"/>
              </w:rPr>
            </w:pPr>
            <w:r>
              <w:rPr>
                <w:rFonts w:hint="eastAsia" w:ascii="宋体" w:hAnsi="宋体" w:eastAsia="宋体" w:cs="宋体"/>
                <w:sz w:val="18"/>
                <w:szCs w:val="18"/>
                <w:lang w:eastAsia="zh-CN"/>
              </w:rPr>
              <w:t>米东区档案馆根据部门职能《乌鲁木齐市档案事业“十四五”发展规划》，2024年度工作重点，绩效目标完成情况如下：1.提升档案管理质效，档案治理工作体系不断提高。细化考核指标，推动档案绩效考核，推动行政执法实效，促进全区档案事业发展稳步前行。档案执法检查作为推动档案事业发展的重要区委将档案工作纳入全区年度绩效考核内容，档案工作与机关业务工作同部署。今年在全区范围内开展档案安全专项行政执法检查活动，对区应急管理局、建设局、城管局、西路街道等10余家单位进行了重点检查，对全区70家立档单位开展年度业务安全检查，问题开展“回头看”，坚持以检查促业务，强力推动全区档案事业发展稳步前行，推动行政执法取得实效；全面推行“三合一”制度，推进规范机关档案基础业务、优化档案资源、提升档案信息化建设质效的主要抓手，纳入了我区档案年度工作重点并制定了审批计划，目前已完成66家立档单位“三合一”制度审核审批；加快档案信息化建设。区档案馆积极推进国产化替代和数字档案馆建设，目前正在对接第三方公司修改数字档案馆平台建设项目可研报告。馆藏档案自2020年已全部完成数字化工作，馆藏卷级档案数字化率达98.2%，件级档案数字化率达93%，进行重点领域档案专题数据库建设，已累计接收米东区扶贫开发领导小组办公室、挂接了米东区疫情防控指挥部、米东区党史学习教育领导小组办公室等11家单位405卷14407件档案。2.档案开发利用成效不断加强，持续做好档案开放审核、档案服务民生。积极筹备米东区荣誉室建设，发征集公告，累计征集自2007年起各类荣誉奖状、牌匾、奖杯等实物档案164件，其中集体奖项117件，个人奖项47件，国家级奖项17件，自治区一级奖项51件。已筛选部分实物档案在我区荣誉室进行对外展览；持续做好档案开放审核，对馆藏满25年到期档案进行全面盘点，建立台账，明确了每个阶段的起止时间、工作重点和验收时间。严格落实开放审核三审责任制。今年已在米东区政府官网公布3批开放档案目录，累计开放档案481卷（件）；提升档案为民服务质效，区档案馆始终把档案服务于民生作为一项重点工作，今年累计为259人次提供公众查阅利用、档案复制件302件1014页。同时，深化米东区历史陈列馆爱国主义教育基地作用，累计接待参观71场2484人次；联合区团委、政法团工委举办了“石榴花开？青春守护”铸牢中华民族共同体意识活动，80名西部计划志愿者和中小学生参加了活动。3.加强档案安全体系，提升档案管库建设，加速档案人才培养，筑牢档案安全防线。区档案馆库房配有防盗监控设备、消防设备等设施，安装有66列密集架，24套资料图书柜，馆库内安装有红外线报警器，所有库房安装了监控设施、防盗门窗和温控设施。每周对档案库房安全及温湿度进行检查，定期开展安全隐患大排查，及时发现和消除安全隐患并进行整改。研究制定《米东区档案馆档案安全责任制》，不断完善《米东区档案馆安全管理制度》《米东区档案馆应急管理制度》等安全管理制度，进一步提升了应对突发事件的处置能力；档案业务队伍建设不断增强，2024年被定为“档案业务培训年”，结合全区档案队伍存在的人员变动频繁、业务能力薄弱等难点痛点，积极组织各类专题培训，进一步提高全区档案业务队伍综合素质。今年开展各类业务培训5场次，参与人数达400余人次。其中3月开展了为期两天的米东区档案业务培训班，参加培训单位70余家，参加人员208人，发放结业证书100余张。10月组织全区7个乡镇81个行政村档案员开展米东区村级档案培训暨档案学会交流活动，以业务培训+实地参观+交流研讨的方式，进一步提升基层档案员档案业务水平。同时，米东区档案馆选派优秀干部进行外出培训交流，进一步提高干部专业素质，今年安排干部外出培训2次。</w:t>
            </w:r>
          </w:p>
        </w:tc>
        <w:tc>
          <w:tcPr>
            <w:tcW w:w="284" w:type="dxa"/>
            <w:tcBorders>
              <w:top w:val="nil"/>
              <w:left w:val="nil"/>
              <w:bottom w:val="nil"/>
              <w:right w:val="nil"/>
            </w:tcBorders>
            <w:noWrap/>
            <w:vAlign w:val="center"/>
          </w:tcPr>
          <w:p w14:paraId="08563870">
            <w:pPr>
              <w:rPr>
                <w:rFonts w:hint="eastAsia" w:ascii="宋体" w:hAnsi="宋体" w:eastAsia="宋体" w:cs="宋体"/>
                <w:sz w:val="18"/>
                <w:szCs w:val="18"/>
                <w:lang w:eastAsia="zh-CN"/>
              </w:rPr>
            </w:pPr>
          </w:p>
        </w:tc>
      </w:tr>
      <w:tr w14:paraId="48E74F89">
        <w:tblPrEx>
          <w:tblCellMar>
            <w:top w:w="0" w:type="dxa"/>
            <w:left w:w="108" w:type="dxa"/>
            <w:bottom w:w="0" w:type="dxa"/>
            <w:right w:w="108" w:type="dxa"/>
          </w:tblCellMar>
        </w:tblPrEx>
        <w:trPr>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53547D3C">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6B554DD2">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42976820">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76" w:type="dxa"/>
            <w:tcBorders>
              <w:top w:val="nil"/>
              <w:left w:val="nil"/>
              <w:bottom w:val="single" w:color="auto" w:sz="4" w:space="0"/>
              <w:right w:val="single" w:color="auto" w:sz="4" w:space="0"/>
            </w:tcBorders>
            <w:vAlign w:val="center"/>
          </w:tcPr>
          <w:p w14:paraId="458270C3">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701" w:type="dxa"/>
            <w:tcBorders>
              <w:top w:val="nil"/>
              <w:left w:val="nil"/>
              <w:bottom w:val="single" w:color="auto" w:sz="4" w:space="0"/>
              <w:right w:val="single" w:color="auto" w:sz="4" w:space="0"/>
            </w:tcBorders>
            <w:vAlign w:val="center"/>
          </w:tcPr>
          <w:p w14:paraId="382CBA36">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26F08D80">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992" w:type="dxa"/>
            <w:tcBorders>
              <w:top w:val="nil"/>
              <w:left w:val="nil"/>
              <w:bottom w:val="single" w:color="auto" w:sz="4" w:space="0"/>
              <w:right w:val="single" w:color="auto" w:sz="4" w:space="0"/>
            </w:tcBorders>
            <w:vAlign w:val="center"/>
          </w:tcPr>
          <w:p w14:paraId="75711FD8">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720" w:type="dxa"/>
            <w:tcBorders>
              <w:top w:val="nil"/>
              <w:left w:val="nil"/>
              <w:bottom w:val="single" w:color="auto" w:sz="4" w:space="0"/>
              <w:right w:val="single" w:color="auto" w:sz="4" w:space="0"/>
            </w:tcBorders>
            <w:vAlign w:val="center"/>
          </w:tcPr>
          <w:p w14:paraId="0FDF9217">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0EF43022">
            <w:pPr>
              <w:rPr>
                <w:rFonts w:hint="eastAsia" w:ascii="宋体" w:hAnsi="宋体" w:eastAsia="宋体" w:cs="宋体"/>
                <w:b/>
                <w:bCs/>
                <w:sz w:val="18"/>
                <w:szCs w:val="18"/>
              </w:rPr>
            </w:pPr>
          </w:p>
        </w:tc>
      </w:tr>
      <w:tr w14:paraId="18E58168">
        <w:tblPrEx>
          <w:tblCellMar>
            <w:top w:w="0" w:type="dxa"/>
            <w:left w:w="108" w:type="dxa"/>
            <w:bottom w:w="0" w:type="dxa"/>
            <w:right w:w="108" w:type="dxa"/>
          </w:tblCellMar>
        </w:tblPrEx>
        <w:trPr>
          <w:trHeight w:val="740" w:hRule="atLeast"/>
        </w:trPr>
        <w:tc>
          <w:tcPr>
            <w:tcW w:w="993" w:type="dxa"/>
            <w:vMerge w:val="restart"/>
            <w:tcBorders>
              <w:top w:val="single" w:color="auto" w:sz="4" w:space="0"/>
              <w:left w:val="single" w:color="auto" w:sz="4" w:space="0"/>
              <w:right w:val="single" w:color="auto" w:sz="4" w:space="0"/>
            </w:tcBorders>
            <w:noWrap/>
            <w:vAlign w:val="center"/>
          </w:tcPr>
          <w:p w14:paraId="6CE303AC">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5C10D392">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0C916C12">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建设档案专题数据库个数</w:t>
            </w:r>
          </w:p>
        </w:tc>
        <w:tc>
          <w:tcPr>
            <w:tcW w:w="1276" w:type="dxa"/>
            <w:tcBorders>
              <w:top w:val="nil"/>
              <w:left w:val="nil"/>
              <w:bottom w:val="single" w:color="auto" w:sz="4" w:space="0"/>
              <w:right w:val="single" w:color="auto" w:sz="4" w:space="0"/>
            </w:tcBorders>
            <w:noWrap/>
            <w:vAlign w:val="center"/>
          </w:tcPr>
          <w:p w14:paraId="41EBB4D2">
            <w:pPr>
              <w:jc w:val="center"/>
              <w:rPr>
                <w:rFonts w:hint="eastAsia" w:ascii="宋体" w:hAnsi="宋体" w:eastAsia="宋体" w:cs="宋体"/>
                <w:sz w:val="18"/>
                <w:szCs w:val="18"/>
              </w:rPr>
            </w:pPr>
            <w:r>
              <w:rPr>
                <w:rFonts w:hint="eastAsia" w:ascii="宋体" w:hAnsi="宋体" w:eastAsia="宋体" w:cs="宋体"/>
                <w:sz w:val="18"/>
                <w:szCs w:val="18"/>
              </w:rPr>
              <w:t>&gt;=3个</w:t>
            </w:r>
          </w:p>
        </w:tc>
        <w:tc>
          <w:tcPr>
            <w:tcW w:w="1701" w:type="dxa"/>
            <w:tcBorders>
              <w:top w:val="nil"/>
              <w:left w:val="nil"/>
              <w:bottom w:val="single" w:color="auto" w:sz="4" w:space="0"/>
              <w:right w:val="single" w:color="auto" w:sz="4" w:space="0"/>
            </w:tcBorders>
            <w:noWrap/>
            <w:vAlign w:val="center"/>
          </w:tcPr>
          <w:p w14:paraId="0A84C4AB">
            <w:pPr>
              <w:rPr>
                <w:rFonts w:hint="eastAsia" w:ascii="宋体" w:hAnsi="宋体" w:eastAsia="宋体" w:cs="宋体"/>
                <w:sz w:val="18"/>
                <w:szCs w:val="18"/>
                <w:lang w:eastAsia="zh-CN"/>
              </w:rPr>
            </w:pPr>
            <w:r>
              <w:rPr>
                <w:rFonts w:hint="eastAsia" w:ascii="宋体" w:hAnsi="宋体" w:eastAsia="宋体" w:cs="宋体"/>
                <w:sz w:val="18"/>
                <w:szCs w:val="18"/>
                <w:lang w:eastAsia="zh-CN"/>
              </w:rPr>
              <w:t>新疆维吾尔自治区地县级综合档案馆业务建设评价标准</w:t>
            </w:r>
          </w:p>
        </w:tc>
        <w:tc>
          <w:tcPr>
            <w:tcW w:w="1134" w:type="dxa"/>
            <w:tcBorders>
              <w:top w:val="nil"/>
              <w:left w:val="nil"/>
              <w:bottom w:val="single" w:color="auto" w:sz="4" w:space="0"/>
              <w:right w:val="single" w:color="auto" w:sz="4" w:space="0"/>
            </w:tcBorders>
            <w:noWrap/>
            <w:vAlign w:val="center"/>
          </w:tcPr>
          <w:p w14:paraId="22798893">
            <w:pPr>
              <w:jc w:val="center"/>
              <w:rPr>
                <w:rFonts w:hint="eastAsia" w:ascii="宋体" w:hAnsi="宋体" w:eastAsia="宋体" w:cs="宋体"/>
                <w:sz w:val="18"/>
                <w:szCs w:val="18"/>
              </w:rPr>
            </w:pPr>
            <w:r>
              <w:rPr>
                <w:rFonts w:hint="eastAsia" w:ascii="宋体" w:hAnsi="宋体" w:eastAsia="宋体" w:cs="宋体"/>
                <w:sz w:val="18"/>
                <w:szCs w:val="18"/>
              </w:rPr>
              <w:t>3</w:t>
            </w:r>
          </w:p>
        </w:tc>
        <w:tc>
          <w:tcPr>
            <w:tcW w:w="992" w:type="dxa"/>
            <w:tcBorders>
              <w:top w:val="nil"/>
              <w:left w:val="nil"/>
              <w:bottom w:val="single" w:color="auto" w:sz="4" w:space="0"/>
              <w:right w:val="single" w:color="auto" w:sz="4" w:space="0"/>
            </w:tcBorders>
            <w:noWrap/>
            <w:vAlign w:val="center"/>
          </w:tcPr>
          <w:p w14:paraId="2B792893">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nil"/>
              <w:left w:val="nil"/>
              <w:bottom w:val="single" w:color="auto" w:sz="4" w:space="0"/>
              <w:right w:val="single" w:color="auto" w:sz="4" w:space="0"/>
            </w:tcBorders>
            <w:noWrap/>
            <w:vAlign w:val="center"/>
          </w:tcPr>
          <w:p w14:paraId="62165994">
            <w:pPr>
              <w:jc w:val="center"/>
              <w:rPr>
                <w:rFonts w:hint="eastAsia" w:ascii="宋体" w:hAnsi="宋体" w:eastAsia="宋体" w:cs="宋体"/>
                <w:sz w:val="18"/>
                <w:szCs w:val="18"/>
              </w:rPr>
            </w:pPr>
            <w:r>
              <w:rPr>
                <w:rFonts w:hint="eastAsia" w:ascii="宋体" w:hAnsi="宋体" w:eastAsia="宋体" w:cs="宋体"/>
                <w:sz w:val="18"/>
                <w:szCs w:val="18"/>
              </w:rPr>
              <w:t>30</w:t>
            </w:r>
          </w:p>
        </w:tc>
        <w:tc>
          <w:tcPr>
            <w:tcW w:w="284" w:type="dxa"/>
            <w:tcBorders>
              <w:top w:val="nil"/>
              <w:left w:val="nil"/>
              <w:bottom w:val="nil"/>
              <w:right w:val="nil"/>
            </w:tcBorders>
            <w:noWrap/>
            <w:vAlign w:val="center"/>
          </w:tcPr>
          <w:p w14:paraId="0E777C3A">
            <w:pPr>
              <w:jc w:val="center"/>
              <w:rPr>
                <w:rFonts w:hint="eastAsia" w:ascii="宋体" w:hAnsi="宋体" w:eastAsia="宋体" w:cs="宋体"/>
                <w:sz w:val="18"/>
                <w:szCs w:val="18"/>
              </w:rPr>
            </w:pPr>
          </w:p>
        </w:tc>
      </w:tr>
      <w:tr w14:paraId="37D492A4">
        <w:tblPrEx>
          <w:tblCellMar>
            <w:top w:w="0" w:type="dxa"/>
            <w:left w:w="108" w:type="dxa"/>
            <w:bottom w:w="0" w:type="dxa"/>
            <w:right w:w="108" w:type="dxa"/>
          </w:tblCellMar>
        </w:tblPrEx>
        <w:trPr>
          <w:trHeight w:val="740" w:hRule="atLeast"/>
        </w:trPr>
        <w:tc>
          <w:tcPr>
            <w:tcW w:w="993" w:type="dxa"/>
            <w:vMerge w:val="continue"/>
            <w:tcBorders>
              <w:left w:val="single" w:color="auto" w:sz="4" w:space="0"/>
              <w:right w:val="single" w:color="auto" w:sz="4" w:space="0"/>
            </w:tcBorders>
            <w:noWrap/>
            <w:vAlign w:val="center"/>
          </w:tcPr>
          <w:p w14:paraId="37A23F6F">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66685831">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4C0C4BF5">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档案馆库全面检查次数</w:t>
            </w:r>
          </w:p>
        </w:tc>
        <w:tc>
          <w:tcPr>
            <w:tcW w:w="1276" w:type="dxa"/>
            <w:tcBorders>
              <w:top w:val="nil"/>
              <w:left w:val="nil"/>
              <w:bottom w:val="single" w:color="auto" w:sz="4" w:space="0"/>
              <w:right w:val="single" w:color="auto" w:sz="4" w:space="0"/>
            </w:tcBorders>
            <w:noWrap/>
            <w:vAlign w:val="center"/>
          </w:tcPr>
          <w:p w14:paraId="0ECACF06">
            <w:pPr>
              <w:jc w:val="center"/>
              <w:rPr>
                <w:rFonts w:hint="eastAsia" w:ascii="宋体" w:hAnsi="宋体" w:eastAsia="宋体" w:cs="宋体"/>
                <w:sz w:val="18"/>
                <w:szCs w:val="18"/>
              </w:rPr>
            </w:pPr>
            <w:r>
              <w:rPr>
                <w:rFonts w:hint="eastAsia" w:ascii="宋体" w:hAnsi="宋体" w:eastAsia="宋体" w:cs="宋体"/>
                <w:sz w:val="18"/>
                <w:szCs w:val="18"/>
              </w:rPr>
              <w:t>&gt;=1次</w:t>
            </w:r>
          </w:p>
        </w:tc>
        <w:tc>
          <w:tcPr>
            <w:tcW w:w="1701" w:type="dxa"/>
            <w:tcBorders>
              <w:top w:val="nil"/>
              <w:left w:val="nil"/>
              <w:bottom w:val="single" w:color="auto" w:sz="4" w:space="0"/>
              <w:right w:val="single" w:color="auto" w:sz="4" w:space="0"/>
            </w:tcBorders>
            <w:noWrap/>
            <w:vAlign w:val="center"/>
          </w:tcPr>
          <w:p w14:paraId="1574C491">
            <w:pPr>
              <w:rPr>
                <w:rFonts w:hint="eastAsia" w:ascii="宋体" w:hAnsi="宋体" w:eastAsia="宋体" w:cs="宋体"/>
                <w:sz w:val="18"/>
                <w:szCs w:val="18"/>
                <w:lang w:eastAsia="zh-CN"/>
              </w:rPr>
            </w:pPr>
            <w:r>
              <w:rPr>
                <w:rFonts w:hint="eastAsia" w:ascii="宋体" w:hAnsi="宋体" w:eastAsia="宋体" w:cs="宋体"/>
                <w:sz w:val="18"/>
                <w:szCs w:val="18"/>
                <w:lang w:eastAsia="zh-CN"/>
              </w:rPr>
              <w:t>新疆维吾尔自治区地县级综合档案馆业务建设评价标准</w:t>
            </w:r>
          </w:p>
        </w:tc>
        <w:tc>
          <w:tcPr>
            <w:tcW w:w="1134" w:type="dxa"/>
            <w:tcBorders>
              <w:top w:val="nil"/>
              <w:left w:val="nil"/>
              <w:bottom w:val="single" w:color="auto" w:sz="4" w:space="0"/>
              <w:right w:val="single" w:color="auto" w:sz="4" w:space="0"/>
            </w:tcBorders>
            <w:noWrap/>
            <w:vAlign w:val="center"/>
          </w:tcPr>
          <w:p w14:paraId="3BA5A8AC">
            <w:pPr>
              <w:jc w:val="center"/>
              <w:rPr>
                <w:rFonts w:hint="eastAsia" w:ascii="宋体" w:hAnsi="宋体" w:eastAsia="宋体" w:cs="宋体"/>
                <w:sz w:val="18"/>
                <w:szCs w:val="18"/>
              </w:rPr>
            </w:pPr>
            <w:r>
              <w:rPr>
                <w:rFonts w:hint="eastAsia" w:ascii="宋体" w:hAnsi="宋体" w:eastAsia="宋体" w:cs="宋体"/>
                <w:sz w:val="18"/>
                <w:szCs w:val="18"/>
              </w:rPr>
              <w:t>1</w:t>
            </w:r>
          </w:p>
        </w:tc>
        <w:tc>
          <w:tcPr>
            <w:tcW w:w="992" w:type="dxa"/>
            <w:tcBorders>
              <w:top w:val="nil"/>
              <w:left w:val="nil"/>
              <w:bottom w:val="single" w:color="auto" w:sz="4" w:space="0"/>
              <w:right w:val="single" w:color="auto" w:sz="4" w:space="0"/>
            </w:tcBorders>
            <w:noWrap/>
            <w:vAlign w:val="center"/>
          </w:tcPr>
          <w:p w14:paraId="5D449896">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nil"/>
              <w:left w:val="nil"/>
              <w:bottom w:val="single" w:color="auto" w:sz="4" w:space="0"/>
              <w:right w:val="single" w:color="auto" w:sz="4" w:space="0"/>
            </w:tcBorders>
            <w:noWrap/>
            <w:vAlign w:val="center"/>
          </w:tcPr>
          <w:p w14:paraId="2B9EA4FC">
            <w:pPr>
              <w:jc w:val="center"/>
              <w:rPr>
                <w:rFonts w:hint="eastAsia" w:ascii="宋体" w:hAnsi="宋体" w:eastAsia="宋体" w:cs="宋体"/>
                <w:sz w:val="18"/>
                <w:szCs w:val="18"/>
              </w:rPr>
            </w:pPr>
            <w:r>
              <w:rPr>
                <w:rFonts w:hint="eastAsia" w:ascii="宋体" w:hAnsi="宋体" w:eastAsia="宋体" w:cs="宋体"/>
                <w:sz w:val="18"/>
                <w:szCs w:val="18"/>
              </w:rPr>
              <w:t>30</w:t>
            </w:r>
          </w:p>
        </w:tc>
        <w:tc>
          <w:tcPr>
            <w:tcW w:w="284" w:type="dxa"/>
            <w:tcBorders>
              <w:top w:val="nil"/>
              <w:left w:val="nil"/>
              <w:bottom w:val="nil"/>
              <w:right w:val="nil"/>
            </w:tcBorders>
            <w:noWrap/>
            <w:vAlign w:val="center"/>
          </w:tcPr>
          <w:p w14:paraId="002C2002">
            <w:pPr>
              <w:jc w:val="center"/>
              <w:rPr>
                <w:rFonts w:hint="eastAsia" w:ascii="宋体" w:hAnsi="宋体" w:eastAsia="宋体" w:cs="宋体"/>
                <w:sz w:val="18"/>
                <w:szCs w:val="18"/>
              </w:rPr>
            </w:pPr>
          </w:p>
        </w:tc>
      </w:tr>
      <w:tr w14:paraId="5E6F3120">
        <w:tblPrEx>
          <w:tblCellMar>
            <w:top w:w="0" w:type="dxa"/>
            <w:left w:w="108" w:type="dxa"/>
            <w:bottom w:w="0" w:type="dxa"/>
            <w:right w:w="108" w:type="dxa"/>
          </w:tblCellMar>
        </w:tblPrEx>
        <w:trPr>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710A73F8">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390FE9E1">
            <w:pPr>
              <w:jc w:val="center"/>
              <w:rPr>
                <w:rFonts w:hint="eastAsia" w:ascii="宋体" w:hAnsi="宋体" w:eastAsia="宋体" w:cs="宋体"/>
                <w:sz w:val="18"/>
                <w:szCs w:val="18"/>
              </w:rPr>
            </w:pPr>
          </w:p>
        </w:tc>
        <w:tc>
          <w:tcPr>
            <w:tcW w:w="1418" w:type="dxa"/>
            <w:tcBorders>
              <w:top w:val="single" w:color="auto" w:sz="4" w:space="0"/>
              <w:left w:val="nil"/>
              <w:bottom w:val="single" w:color="auto" w:sz="4" w:space="0"/>
              <w:right w:val="single" w:color="auto" w:sz="4" w:space="0"/>
            </w:tcBorders>
            <w:noWrap/>
            <w:vAlign w:val="center"/>
          </w:tcPr>
          <w:p w14:paraId="328C2F16">
            <w:pPr>
              <w:jc w:val="center"/>
              <w:rPr>
                <w:rFonts w:hint="eastAsia" w:ascii="宋体" w:hAnsi="宋体" w:eastAsia="宋体" w:cs="宋体"/>
                <w:sz w:val="18"/>
                <w:szCs w:val="18"/>
              </w:rPr>
            </w:pPr>
            <w:r>
              <w:rPr>
                <w:rFonts w:hint="eastAsia" w:ascii="宋体" w:hAnsi="宋体" w:eastAsia="宋体" w:cs="宋体"/>
                <w:sz w:val="18"/>
                <w:szCs w:val="18"/>
              </w:rPr>
              <w:t>安全保密培训次数</w:t>
            </w:r>
          </w:p>
        </w:tc>
        <w:tc>
          <w:tcPr>
            <w:tcW w:w="1276" w:type="dxa"/>
            <w:tcBorders>
              <w:top w:val="single" w:color="auto" w:sz="4" w:space="0"/>
              <w:left w:val="nil"/>
              <w:bottom w:val="single" w:color="auto" w:sz="4" w:space="0"/>
              <w:right w:val="single" w:color="auto" w:sz="4" w:space="0"/>
            </w:tcBorders>
            <w:noWrap/>
            <w:vAlign w:val="center"/>
          </w:tcPr>
          <w:p w14:paraId="46F72A5F">
            <w:pPr>
              <w:jc w:val="center"/>
              <w:rPr>
                <w:rFonts w:hint="eastAsia" w:ascii="宋体" w:hAnsi="宋体" w:eastAsia="宋体" w:cs="宋体"/>
                <w:sz w:val="18"/>
                <w:szCs w:val="18"/>
              </w:rPr>
            </w:pPr>
            <w:r>
              <w:rPr>
                <w:rFonts w:hint="eastAsia" w:ascii="宋体" w:hAnsi="宋体" w:eastAsia="宋体" w:cs="宋体"/>
                <w:sz w:val="18"/>
                <w:szCs w:val="18"/>
              </w:rPr>
              <w:t>&gt;=1次</w:t>
            </w:r>
          </w:p>
        </w:tc>
        <w:tc>
          <w:tcPr>
            <w:tcW w:w="1701" w:type="dxa"/>
            <w:tcBorders>
              <w:top w:val="single" w:color="auto" w:sz="4" w:space="0"/>
              <w:left w:val="nil"/>
              <w:bottom w:val="single" w:color="auto" w:sz="4" w:space="0"/>
              <w:right w:val="single" w:color="auto" w:sz="4" w:space="0"/>
            </w:tcBorders>
            <w:noWrap/>
            <w:vAlign w:val="center"/>
          </w:tcPr>
          <w:p w14:paraId="13214E04">
            <w:pPr>
              <w:rPr>
                <w:rFonts w:hint="eastAsia" w:ascii="宋体" w:hAnsi="宋体" w:eastAsia="宋体" w:cs="宋体"/>
                <w:sz w:val="18"/>
                <w:szCs w:val="18"/>
                <w:lang w:eastAsia="zh-CN"/>
              </w:rPr>
            </w:pPr>
            <w:r>
              <w:rPr>
                <w:rFonts w:hint="eastAsia" w:ascii="宋体" w:hAnsi="宋体" w:eastAsia="宋体" w:cs="宋体"/>
                <w:sz w:val="18"/>
                <w:szCs w:val="18"/>
                <w:lang w:eastAsia="zh-CN"/>
              </w:rPr>
              <w:t>新疆维吾尔自治区地县级综合档案馆业务建设评价标准</w:t>
            </w:r>
          </w:p>
        </w:tc>
        <w:tc>
          <w:tcPr>
            <w:tcW w:w="1134" w:type="dxa"/>
            <w:tcBorders>
              <w:top w:val="single" w:color="auto" w:sz="4" w:space="0"/>
              <w:left w:val="nil"/>
              <w:bottom w:val="single" w:color="auto" w:sz="4" w:space="0"/>
              <w:right w:val="single" w:color="auto" w:sz="4" w:space="0"/>
            </w:tcBorders>
            <w:noWrap/>
            <w:vAlign w:val="center"/>
          </w:tcPr>
          <w:p w14:paraId="7FBA9836">
            <w:pPr>
              <w:jc w:val="center"/>
              <w:rPr>
                <w:rFonts w:hint="eastAsia" w:ascii="宋体" w:hAnsi="宋体" w:eastAsia="宋体" w:cs="宋体"/>
                <w:sz w:val="18"/>
                <w:szCs w:val="18"/>
              </w:rPr>
            </w:pPr>
            <w:r>
              <w:rPr>
                <w:rFonts w:hint="eastAsia" w:ascii="宋体" w:hAnsi="宋体" w:eastAsia="宋体" w:cs="宋体"/>
                <w:sz w:val="18"/>
                <w:szCs w:val="18"/>
              </w:rPr>
              <w:t>1</w:t>
            </w:r>
          </w:p>
        </w:tc>
        <w:tc>
          <w:tcPr>
            <w:tcW w:w="992" w:type="dxa"/>
            <w:tcBorders>
              <w:top w:val="single" w:color="auto" w:sz="4" w:space="0"/>
              <w:left w:val="nil"/>
              <w:bottom w:val="single" w:color="auto" w:sz="4" w:space="0"/>
              <w:right w:val="single" w:color="auto" w:sz="4" w:space="0"/>
            </w:tcBorders>
            <w:noWrap/>
            <w:vAlign w:val="center"/>
          </w:tcPr>
          <w:p w14:paraId="346E48A1">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single" w:color="auto" w:sz="4" w:space="0"/>
              <w:left w:val="nil"/>
              <w:bottom w:val="single" w:color="auto" w:sz="4" w:space="0"/>
              <w:right w:val="single" w:color="auto" w:sz="4" w:space="0"/>
            </w:tcBorders>
            <w:noWrap/>
            <w:vAlign w:val="center"/>
          </w:tcPr>
          <w:p w14:paraId="05E50974">
            <w:pPr>
              <w:jc w:val="center"/>
              <w:rPr>
                <w:rFonts w:hint="eastAsia" w:ascii="宋体" w:hAnsi="宋体" w:eastAsia="宋体" w:cs="宋体"/>
                <w:sz w:val="18"/>
                <w:szCs w:val="18"/>
              </w:rPr>
            </w:pPr>
            <w:r>
              <w:rPr>
                <w:rFonts w:hint="eastAsia" w:ascii="宋体" w:hAnsi="宋体" w:eastAsia="宋体" w:cs="宋体"/>
                <w:sz w:val="18"/>
                <w:szCs w:val="18"/>
              </w:rPr>
              <w:t>30</w:t>
            </w:r>
          </w:p>
        </w:tc>
        <w:tc>
          <w:tcPr>
            <w:tcW w:w="284" w:type="dxa"/>
            <w:tcBorders>
              <w:top w:val="nil"/>
              <w:left w:val="nil"/>
              <w:bottom w:val="nil"/>
              <w:right w:val="nil"/>
            </w:tcBorders>
            <w:noWrap/>
            <w:vAlign w:val="center"/>
          </w:tcPr>
          <w:p w14:paraId="3EA86D20">
            <w:pPr>
              <w:jc w:val="center"/>
              <w:rPr>
                <w:rFonts w:hint="eastAsia" w:ascii="宋体" w:hAnsi="宋体" w:eastAsia="宋体" w:cs="宋体"/>
                <w:sz w:val="18"/>
                <w:szCs w:val="18"/>
              </w:rPr>
            </w:pPr>
          </w:p>
        </w:tc>
      </w:tr>
      <w:tr w14:paraId="50FFA7D3">
        <w:tblPrEx>
          <w:tblCellMar>
            <w:top w:w="0" w:type="dxa"/>
            <w:left w:w="108" w:type="dxa"/>
            <w:bottom w:w="0" w:type="dxa"/>
            <w:right w:w="108" w:type="dxa"/>
          </w:tblCellMar>
        </w:tblPrEx>
        <w:trPr>
          <w:trHeight w:val="740" w:hRule="atLeast"/>
        </w:trPr>
        <w:tc>
          <w:tcPr>
            <w:tcW w:w="7939" w:type="dxa"/>
            <w:gridSpan w:val="6"/>
            <w:tcBorders>
              <w:top w:val="single" w:color="auto" w:sz="4" w:space="0"/>
              <w:left w:val="single" w:color="auto" w:sz="4" w:space="0"/>
              <w:bottom w:val="single" w:color="auto" w:sz="4" w:space="0"/>
              <w:right w:val="single" w:color="auto" w:sz="4" w:space="0"/>
            </w:tcBorders>
            <w:noWrap/>
            <w:vAlign w:val="center"/>
          </w:tcPr>
          <w:p w14:paraId="6ABC83EC">
            <w:pPr>
              <w:jc w:val="center"/>
              <w:rPr>
                <w:rFonts w:hint="eastAsia" w:ascii="宋体" w:hAnsi="宋体" w:eastAsia="宋体" w:cs="宋体"/>
                <w:sz w:val="18"/>
                <w:szCs w:val="18"/>
              </w:rPr>
            </w:pPr>
            <w:r>
              <w:rPr>
                <w:rFonts w:hint="eastAsia" w:ascii="宋体" w:hAnsi="宋体" w:eastAsia="宋体" w:cs="宋体"/>
                <w:sz w:val="18"/>
                <w:szCs w:val="18"/>
              </w:rPr>
              <w:t>总分</w:t>
            </w:r>
          </w:p>
        </w:tc>
        <w:tc>
          <w:tcPr>
            <w:tcW w:w="992" w:type="dxa"/>
            <w:tcBorders>
              <w:top w:val="single" w:color="auto" w:sz="4" w:space="0"/>
              <w:left w:val="nil"/>
              <w:bottom w:val="single" w:color="auto" w:sz="4" w:space="0"/>
              <w:right w:val="single" w:color="auto" w:sz="4" w:space="0"/>
            </w:tcBorders>
            <w:noWrap/>
            <w:vAlign w:val="center"/>
          </w:tcPr>
          <w:p w14:paraId="5D1DD2C5">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single" w:color="auto" w:sz="4" w:space="0"/>
              <w:left w:val="nil"/>
              <w:bottom w:val="single" w:color="auto" w:sz="4" w:space="0"/>
              <w:right w:val="single" w:color="auto" w:sz="4" w:space="0"/>
            </w:tcBorders>
            <w:noWrap/>
            <w:vAlign w:val="center"/>
          </w:tcPr>
          <w:p w14:paraId="5C2BA7D5">
            <w:pPr>
              <w:jc w:val="center"/>
              <w:rPr>
                <w:rFonts w:hint="eastAsia" w:ascii="宋体" w:hAnsi="宋体" w:eastAsia="宋体" w:cs="宋体"/>
                <w:sz w:val="18"/>
                <w:szCs w:val="18"/>
              </w:rPr>
            </w:pPr>
            <w:r>
              <w:rPr>
                <w:rFonts w:hint="eastAsia" w:ascii="宋体" w:hAnsi="宋体" w:eastAsia="宋体" w:cs="宋体"/>
                <w:sz w:val="18"/>
                <w:szCs w:val="18"/>
              </w:rPr>
              <w:t>99.77</w:t>
            </w:r>
          </w:p>
        </w:tc>
        <w:tc>
          <w:tcPr>
            <w:tcW w:w="284" w:type="dxa"/>
            <w:tcBorders>
              <w:top w:val="nil"/>
              <w:left w:val="nil"/>
              <w:bottom w:val="nil"/>
              <w:right w:val="nil"/>
            </w:tcBorders>
            <w:noWrap/>
            <w:vAlign w:val="center"/>
          </w:tcPr>
          <w:p w14:paraId="11D26F2C">
            <w:pPr>
              <w:jc w:val="center"/>
              <w:rPr>
                <w:rFonts w:hint="eastAsia" w:ascii="宋体" w:hAnsi="宋体" w:eastAsia="宋体" w:cs="宋体"/>
                <w:sz w:val="18"/>
                <w:szCs w:val="18"/>
              </w:rPr>
            </w:pPr>
          </w:p>
        </w:tc>
      </w:tr>
      <w:bookmarkEnd w:id="9"/>
    </w:tbl>
    <w:p w14:paraId="2A048E82">
      <w:pPr>
        <w:rPr>
          <w:rFonts w:hint="eastAsia" w:ascii="仿宋_GB2312" w:eastAsia="仿宋_GB2312"/>
          <w:sz w:val="32"/>
          <w:szCs w:val="32"/>
          <w:lang w:eastAsia="zh-CN"/>
        </w:rPr>
      </w:pPr>
      <w:r>
        <w:rPr>
          <w:rFonts w:hint="eastAsia" w:ascii="仿宋_GB2312" w:eastAsia="仿宋_GB2312"/>
          <w:sz w:val="32"/>
          <w:szCs w:val="32"/>
          <w:lang w:eastAsia="zh-CN"/>
        </w:rPr>
        <w:br w:type="page"/>
      </w:r>
    </w:p>
    <w:p w14:paraId="4863B3F6">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33FBB9D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本单位无其他需说明事项。</w:t>
      </w:r>
    </w:p>
    <w:p w14:paraId="5B16106D">
      <w:pPr>
        <w:spacing w:after="0" w:line="240" w:lineRule="auto"/>
        <w:ind w:firstLine="640" w:firstLineChars="200"/>
        <w:rPr>
          <w:rFonts w:hint="eastAsia" w:ascii="仿宋_GB2312" w:eastAsia="仿宋_GB2312"/>
          <w:sz w:val="32"/>
          <w:szCs w:val="32"/>
          <w:lang w:eastAsia="zh-CN"/>
        </w:rPr>
      </w:pPr>
    </w:p>
    <w:p w14:paraId="788107D3">
      <w:pPr>
        <w:rPr>
          <w:rFonts w:hint="eastAsia"/>
          <w:lang w:eastAsia="zh-CN"/>
        </w:rPr>
      </w:pPr>
      <w:r>
        <w:rPr>
          <w:sz w:val="0"/>
          <w:szCs w:val="0"/>
          <w:lang w:eastAsia="zh-CN"/>
        </w:rPr>
        <w:br w:type="page"/>
      </w:r>
    </w:p>
    <w:p w14:paraId="09162EE1">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33111FB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32FA8F3D">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5155F63E">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69D4959E">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B7CBA3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1B00DEC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0B6FF38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60DE5D74">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DB41C0F">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11A53B0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0AD62B4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546EAF4">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CB07A4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94F648F">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35D1A455">
      <w:pPr>
        <w:rPr>
          <w:rFonts w:hint="eastAsia"/>
          <w:lang w:eastAsia="zh-CN"/>
        </w:rPr>
      </w:pPr>
      <w:r>
        <w:rPr>
          <w:sz w:val="0"/>
          <w:szCs w:val="0"/>
          <w:lang w:eastAsia="zh-CN"/>
        </w:rPr>
        <w:br w:type="page"/>
      </w:r>
    </w:p>
    <w:p w14:paraId="469A1750">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207D2803">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7C74CDA8">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2802ACAE">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09A7526D">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7311D073">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0D76B61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E34D3B2">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6BAA1BBE">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7F73E2F">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4853FC"/>
    <w:rsid w:val="00005E9D"/>
    <w:rsid w:val="0004268C"/>
    <w:rsid w:val="000C433E"/>
    <w:rsid w:val="004853FC"/>
    <w:rsid w:val="00A24DEF"/>
    <w:rsid w:val="00D2625E"/>
    <w:rsid w:val="00DD222E"/>
    <w:rsid w:val="1E19392B"/>
    <w:rsid w:val="24D46AB4"/>
    <w:rsid w:val="26B476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qFormat/>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qFormat/>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qFormat/>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qFormat/>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qFormat/>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7303</Words>
  <Characters>7936</Characters>
  <Lines>384</Lines>
  <Paragraphs>292</Paragraphs>
  <TotalTime>22</TotalTime>
  <ScaleCrop>false</ScaleCrop>
  <LinksUpToDate>false</LinksUpToDate>
  <CharactersWithSpaces>7946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2025-10-07T07:24:00Z</dcterms:created>
  <dc:creator>华为</dc:creator>
  <cp:lastModifiedBy>局外人.</cp:lastModifiedBy>
  <dcterms:modified xsi:type="dcterms:W3CDTF">2025-11-20T03:47:35Z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eyJoZGlkIjoiYzI4NzYwZWZkM2I0OTdlMTA3M2NkMmFjZWIyMDVmNjUiLCJ1c2VySWQiOiIxMjM2MzIxMjUwIn0=</vt:lpwstr>
  </property>
  <property fmtid="{D5CDD505-2E9C-101B-9397-08002B2CF9AE}" pid="3" name="KSOProductBuildVer">
    <vt:lpwstr>2052-12.1.0.23125</vt:lpwstr>
  </property>
  <property fmtid="{D5CDD505-2E9C-101B-9397-08002B2CF9AE}" pid="4" name="ICV">
    <vt:lpwstr>9088AB3A971F4769B6CEA916C9D228F5_12</vt:lpwstr>
  </property>
</Properties>
</file>