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ECCAA">
      <w:pPr>
        <w:spacing w:after="0" w:line="240" w:lineRule="auto"/>
        <w:rPr>
          <w:rFonts w:hint="eastAsia" w:ascii="宋体" w:eastAsia="宋体"/>
          <w:sz w:val="32"/>
          <w:szCs w:val="32"/>
        </w:rPr>
      </w:pPr>
    </w:p>
    <w:p w14:paraId="52670000">
      <w:pPr>
        <w:spacing w:after="0" w:line="240" w:lineRule="auto"/>
        <w:rPr>
          <w:rFonts w:hint="eastAsia" w:ascii="宋体" w:eastAsia="宋体"/>
          <w:sz w:val="44"/>
          <w:szCs w:val="44"/>
        </w:rPr>
      </w:pPr>
    </w:p>
    <w:p w14:paraId="30E1111E">
      <w:pPr>
        <w:spacing w:after="0" w:line="240" w:lineRule="auto"/>
        <w:rPr>
          <w:rFonts w:hint="eastAsia" w:ascii="宋体" w:eastAsia="宋体"/>
          <w:sz w:val="44"/>
          <w:szCs w:val="44"/>
        </w:rPr>
      </w:pPr>
    </w:p>
    <w:p w14:paraId="7740FD09">
      <w:pPr>
        <w:spacing w:after="0" w:line="240" w:lineRule="auto"/>
        <w:rPr>
          <w:rFonts w:hint="eastAsia" w:ascii="宋体" w:eastAsia="宋体"/>
          <w:sz w:val="44"/>
          <w:szCs w:val="44"/>
        </w:rPr>
      </w:pPr>
    </w:p>
    <w:p w14:paraId="0458C8F5">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乌鲁木齐市米东区民族宗教事务局</w:t>
      </w:r>
    </w:p>
    <w:p w14:paraId="7C6A43FC">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75F203F0">
      <w:pPr>
        <w:rPr>
          <w:rFonts w:hint="eastAsia"/>
          <w:lang w:eastAsia="zh-CN"/>
        </w:rPr>
      </w:pPr>
      <w:r>
        <w:rPr>
          <w:sz w:val="0"/>
          <w:szCs w:val="0"/>
          <w:lang w:eastAsia="zh-CN"/>
        </w:rPr>
        <w:br w:type="page"/>
      </w:r>
    </w:p>
    <w:p w14:paraId="1CFD3FF0">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64E36A04">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60F9E2B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0032B09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5BD2BA18">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41567C4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0E756A0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732E308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7D8C514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5B9951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0186E8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74834A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CBA435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F50F7F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3C284D2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41A4E1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9556B1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0B621C4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0B195B2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426D506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4933AE4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40BB775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20C1F78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33D43FD1">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1D40DF00">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46B26B1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05BAAF2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5044DFD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6E0F808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77A95F6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5F1BA0E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F3DDC5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FA33B3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1D2178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0EC36192">
      <w:pPr>
        <w:rPr>
          <w:rFonts w:hint="eastAsia"/>
          <w:lang w:eastAsia="zh-CN"/>
        </w:rPr>
      </w:pPr>
      <w:r>
        <w:rPr>
          <w:sz w:val="0"/>
          <w:szCs w:val="0"/>
          <w:lang w:eastAsia="zh-CN"/>
        </w:rPr>
        <w:br w:type="page"/>
      </w:r>
    </w:p>
    <w:p w14:paraId="71B80576">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352EB41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6638C26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坚持和加强党对统一战线工作的集中统一领导，贯彻落实党中央关于统一战线工作、民族工作的方针政策和决策部署，贯彻落实自治区党委、市委关于统一战线工作、民族工作的部署要求、重大举措以及区委工作要求，以铸牢中华民族共同体意识为主线，完整准确全面贯彻新时代党的治疆方略，发挥区委在统战民族宗教工作方面的参谋机构、组织协调机构、具体执行机构、督促检查机构作用，了解情况、掌握政策、协调关系、安排人事、增进共识、加强团结，协调统一战线各方面关系，巩固壮大最广泛的统一战线。</w:t>
      </w:r>
    </w:p>
    <w:p w14:paraId="47E5A73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研究提出铸牢中华民族共同体意识、加强中华民族共同体建设的意见建议；引领和推动全区将铸牢中华民族共同体意识主线融入经济建设、政治建设、文化建设、社会建设、生态文明建设和党的建设等各项工作中。承担我区民族工作有关协调机制的具体事务，协调推动有关部门履行民族工作相关职责，对各乡镇、各街道、各部门（单位）贯彻落实党中央关于民族工作的决策部署和自治区党委、市委、区委的工作要求及民族法律法规开展指导和督促检查。</w:t>
      </w:r>
    </w:p>
    <w:p w14:paraId="7EA55AD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组织开展以铸牢中华民族共同体意识为主线的民族理论、民族政策、民族工作和新时代党的治疆方略重大问题的调查研究。研究提出推进民族事务治理体系和治理能力现代化的政策建议；起草有关政策措施；配合有关部门协调、指导民族区域自治法的贯彻落实，指导民族自治地方法治建设，依法保障各族群众的合法权益。</w:t>
      </w:r>
    </w:p>
    <w:p w14:paraId="3DC5B6E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研究提出推进中华民族共有精神家园建设的意见建议，参与中华文化符号和中华民族形象建设；协调推动少数民族优秀文化传承保护和创新融合；会同有关部门开展民族古籍的保护与利用指导工作，配合有关部门推广普及国家通用语言文字。研究提出促进全区各民族交往交流交融的政策建议，组织开展民族领域示范创建工作，协调推动全区互嵌式社会结构和社区环境建设工作。</w:t>
      </w:r>
    </w:p>
    <w:p w14:paraId="46FC9CE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研究提出推动各民族共同走向社会主义现代化的意见建议，促进党的民族政策在经济、文化、社会、生态、安全等领域的实施、衔接；参与拟订和实施我区经济社会发展相关规划，推进民族事务公共服务体系建设，参与我区经济社会发展综合评估工作。研究提出协调民族关系的意见建议，协调处理民族关系中的重大事项，参与民族领域重大风险隐患防范化解工作，维护国家统一、民族团结、社会稳定。统筹协调铸牢中华民族共同体意识和民族政策、民族法律法规宣传教育工作；配合开展民族重大庆典活动市和全区性的民族文化体育活动，组织参加国家、自治区和市民族文化体育活动。</w:t>
      </w:r>
    </w:p>
    <w:p w14:paraId="4BC6183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负责发现、培养党外代表人士，负责党外人士的政治安排，会同有关部门做好安排党外人士担任政府和司法机关等领导职务工作，协助各民主党派区委会、区工商联做好干部管理工作，反映和协调解决党外代表人士工作生活中的实际困难。贯彻落实党的宣传工作方针，统筹推进统一战线宣传工作，拟定统一战线宣传工作政策和规划并组织实施，研判涉及统一战线的舆情并协调有关部门应对处置。负责联系各民主党派，通报情况、反映意见，贯彻落实中国共产党领导的多党合作和政治协商制度以及对民主党派的方针政策，支持、帮助民主党派加强自身建设，做好支持民主党派履行职能、发挥作用的工作。</w:t>
      </w:r>
    </w:p>
    <w:p w14:paraId="1EAAC81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贯彻落实党的民族政策，根据分工做好少数民族干部工作，依法管理民族事务，有形有感有效铸牢中华民族共同体意识，促进各民族交往交流交融，组织实施“民族团结一家亲”和民族团结联谊活动，创新推进民族团结进步事业，不断巩固发展各民族大团结。</w:t>
      </w:r>
    </w:p>
    <w:p w14:paraId="5A1D673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统一管理我区宗教工作，贯彻落实党的宗教工作基本方针和政策，研究拟订宗教工作措施并督促落实，依法管理宗教行政事务；保护公民宗教信仰自由和正常的宗教活动，维护宗教界合法权益，遏制宗教极端，抵御境外利用宗教进行渗透，引导各宗教坚持中国化方向，促进宗教与社会主义社会相适应，指导宗教团体依据法律法规和章程开展活动，支持宗教团体加强自身建设，帮助宗教团体培养、教育宗教教职人员；做好宗教外事工作，指导宗教界开展同国外和港澳台地区宗教界的友好往来，参与涉及宗教对外宣传工作，巩固和发展同宗教界的爱国统一战线；做好朝觐管理工作。</w:t>
      </w:r>
    </w:p>
    <w:p w14:paraId="771E01E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负责联系、培养无党派人士，支持、帮助无党派人士加强自身建设、发挥作用；调查研究党外知识分子和新的社会阶层人士情况并提出政策建议，联系、培养党外知识分子和新的社会阶层代表人士，开展思想政治工作，指导开展党外知识分子和新的社会阶层人士统战工作。</w:t>
      </w:r>
    </w:p>
    <w:p w14:paraId="7840C38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参与制定、鼓励支持推动落实非公有制经济发展的方针政策，调查研究非公有制经济人士情况并提出政策建议，了解和反映非公有制经济人士的意见，团结、服务、指导、教育非公有制经济人士，促进非公有制经济健康发展和非公有制经济人士健康成长。统一管理侨务工作，贯彻落实党的侨务工作方针政策，负责拟订侨务工作政策和规划并组织协调、督促检查落实，调查研究国内外侨情和侨务工作情况，管理侨务行政事务，统筹协调有关部门和社会团体涉侨工作，联系海外有关侨团和代表人士，指导推动涉侨宣传、文化交流、华文教育工作等，保护华侨和归侨侨眷在国内的合法权利和利益。</w:t>
      </w:r>
    </w:p>
    <w:p w14:paraId="614B121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统一管理对台工作，贯彻执行党中央、国务院确定的对台工作方针、政策；检查了解各乡镇、各街道、各部门贯彻执行党中央、国务院对台方针、政策情况；做好台企、台胞、台属有关工作。受区委委托，领导区工商联党组，指导工商联工作；领导区侨联，指导区侨联工作；管理区统战事务服务中心；管理区伊斯兰教协会；做好统一战线有关单位和团体的管理工作；做好统战系统干部和统一战线成员教育培训工作。</w:t>
      </w:r>
    </w:p>
    <w:p w14:paraId="6D16773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承办区委交办的其他事项。</w:t>
      </w:r>
    </w:p>
    <w:p w14:paraId="2964D75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2230042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乌鲁木齐市米东区民族宗教事务局2024年度，实有人数16人，其中：在职人员7人，减少2人；离休人员0人，较上年无变化；退休人员9人，较上年无变化</w:t>
      </w:r>
      <w:r>
        <w:rPr>
          <w:rFonts w:hint="eastAsia" w:ascii="仿宋_GB2312" w:eastAsia="仿宋_GB2312"/>
          <w:sz w:val="32"/>
          <w:szCs w:val="32"/>
          <w:lang w:eastAsia="zh-CN"/>
        </w:rPr>
        <w:t>。</w:t>
      </w:r>
    </w:p>
    <w:p w14:paraId="37DA058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乌鲁木齐市米东区民族宗教事务局无下属预算单位，下设1个</w:t>
      </w:r>
      <w:r>
        <w:rPr>
          <w:rFonts w:hint="eastAsia" w:ascii="仿宋_GB2312" w:eastAsia="仿宋_GB2312"/>
          <w:sz w:val="32"/>
          <w:szCs w:val="32"/>
          <w:lang w:eastAsia="zh-CN"/>
        </w:rPr>
        <w:t>科室</w:t>
      </w:r>
      <w:r>
        <w:rPr>
          <w:rFonts w:ascii="仿宋_GB2312" w:eastAsia="仿宋_GB2312"/>
          <w:sz w:val="32"/>
          <w:szCs w:val="32"/>
          <w:lang w:eastAsia="zh-CN"/>
        </w:rPr>
        <w:t>，分别是：伊斯兰协会。</w:t>
      </w:r>
    </w:p>
    <w:p w14:paraId="66A9D343">
      <w:pPr>
        <w:rPr>
          <w:rFonts w:hint="eastAsia"/>
          <w:lang w:eastAsia="zh-CN"/>
        </w:rPr>
      </w:pPr>
      <w:r>
        <w:rPr>
          <w:sz w:val="0"/>
          <w:szCs w:val="0"/>
          <w:lang w:eastAsia="zh-CN"/>
        </w:rPr>
        <w:br w:type="page"/>
      </w:r>
    </w:p>
    <w:p w14:paraId="4F76EFE8">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2D9E357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1AABBD5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2024年度收入总计862.90万元，其中：本年收入合计862.90万元，使用非财政拨款结余（含专用结余）0.00万元，年初结转和结余0.00万元。</w:t>
      </w:r>
    </w:p>
    <w:p w14:paraId="420A769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2024年度支出总计862.90万元，其中：本年支出合计862.90万元，结余分配0.00万元，年末结转和结余0.00万元。</w:t>
      </w:r>
    </w:p>
    <w:p w14:paraId="7DB3631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收入支出总体与上年相比，减少258.44万元，下降23.05%，主要原因是：</w:t>
      </w:r>
      <w:r>
        <w:rPr>
          <w:rFonts w:hint="eastAsia" w:ascii="仿宋_GB2312" w:eastAsia="仿宋_GB2312"/>
          <w:sz w:val="32"/>
          <w:szCs w:val="32"/>
          <w:lang w:eastAsia="zh-CN"/>
        </w:rPr>
        <w:t>本年</w:t>
      </w:r>
      <w:r>
        <w:rPr>
          <w:rFonts w:ascii="仿宋_GB2312" w:eastAsia="仿宋_GB2312"/>
          <w:sz w:val="32"/>
          <w:szCs w:val="32"/>
          <w:lang w:eastAsia="zh-CN"/>
        </w:rPr>
        <w:t>新疆隆升纸制品包装有限责任公司、新疆红圣彤彩印包装有限公司、新疆华凌农牧科技开发有限公司等三家民贸民品贷款贴息资金</w:t>
      </w:r>
      <w:r>
        <w:rPr>
          <w:rFonts w:hint="eastAsia" w:ascii="仿宋_GB2312" w:eastAsia="仿宋_GB2312"/>
          <w:sz w:val="32"/>
          <w:szCs w:val="32"/>
          <w:lang w:eastAsia="zh-CN"/>
        </w:rPr>
        <w:t>减少</w:t>
      </w:r>
      <w:r>
        <w:rPr>
          <w:rFonts w:ascii="仿宋_GB2312" w:eastAsia="仿宋_GB2312"/>
          <w:sz w:val="32"/>
          <w:szCs w:val="32"/>
          <w:lang w:eastAsia="zh-CN"/>
        </w:rPr>
        <w:t>。</w:t>
      </w:r>
    </w:p>
    <w:p w14:paraId="33B0F3E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455E8D8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本年收入862.90万元，其中：财政拨款收入862.90万元,占100.00%；上级补助收入0.00万元,占0.00%；事业收入0.00万元，占0.00%；经营收入0.00万元,占0.00%；附属单位上缴收入0.00万元，占0.00%；其他收入0.00万元，占0.00%。</w:t>
      </w:r>
    </w:p>
    <w:p w14:paraId="200E279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611CA0C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本年支出862.90万元，其中：基本支出142.00万元，占16.46%；项目支出720.90万元，占83.54%；上缴上级支出0.00万元，占0.00%；经营支出0.00万元，占0.00%；对附属单位补助支出0.00万元，占0.00%。</w:t>
      </w:r>
    </w:p>
    <w:p w14:paraId="7EB7063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57FEE07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2024年度财政拨款收入总计862.90万元，其中：年初财政拨款结转和结余0.00万元，本年财政拨款收入862.90万元。财政拨款支出总计862.90万元，其中：年末财政拨款结转和结余0.00万元，本年财政拨款支出862.90万元。</w:t>
      </w:r>
    </w:p>
    <w:p w14:paraId="72AA5CF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财政拨款收入支出总体与上年相比，减少258.44万元，下降23.05%，主要原因是：</w:t>
      </w:r>
      <w:r>
        <w:rPr>
          <w:rFonts w:hint="eastAsia" w:ascii="仿宋_GB2312" w:eastAsia="仿宋_GB2312"/>
          <w:sz w:val="32"/>
          <w:szCs w:val="32"/>
          <w:lang w:eastAsia="zh-CN"/>
        </w:rPr>
        <w:t>本年</w:t>
      </w:r>
      <w:r>
        <w:rPr>
          <w:rFonts w:ascii="仿宋_GB2312" w:eastAsia="仿宋_GB2312"/>
          <w:sz w:val="32"/>
          <w:szCs w:val="32"/>
          <w:lang w:eastAsia="zh-CN"/>
        </w:rPr>
        <w:t>新疆隆升纸制品包装有限责任公司、新疆红圣彤彩印包装有限公司、新疆华凌农牧科技开发有限公司等三家民贸民品贷款贴息资金</w:t>
      </w:r>
      <w:r>
        <w:rPr>
          <w:rFonts w:hint="eastAsia" w:ascii="仿宋_GB2312" w:eastAsia="仿宋_GB2312"/>
          <w:sz w:val="32"/>
          <w:szCs w:val="32"/>
          <w:lang w:eastAsia="zh-CN"/>
        </w:rPr>
        <w:t>减少</w:t>
      </w:r>
      <w:r>
        <w:rPr>
          <w:rFonts w:ascii="仿宋_GB2312" w:eastAsia="仿宋_GB2312"/>
          <w:sz w:val="32"/>
          <w:szCs w:val="32"/>
          <w:lang w:eastAsia="zh-CN"/>
        </w:rPr>
        <w:t>。与年初预算相比，年初预算数596.88万元，决算数862.90万元，预决算差异率44.57%，主要原因是：</w:t>
      </w:r>
      <w:r>
        <w:rPr>
          <w:rFonts w:hint="eastAsia" w:ascii="仿宋_GB2312" w:eastAsia="仿宋_GB2312"/>
          <w:sz w:val="32"/>
          <w:szCs w:val="32"/>
          <w:lang w:eastAsia="zh-CN"/>
        </w:rPr>
        <w:t>年中追加人员工资、津贴补贴、奖金等经费；年中追加</w:t>
      </w:r>
      <w:r>
        <w:rPr>
          <w:rFonts w:ascii="仿宋_GB2312" w:eastAsia="仿宋_GB2312"/>
          <w:sz w:val="32"/>
          <w:szCs w:val="32"/>
          <w:lang w:eastAsia="zh-CN"/>
        </w:rPr>
        <w:t>新疆隆升纸制品包装有限责任公司、新疆红圣彤彩印包装有限公司、新疆华凌农牧科技开发有限公司等三家民贸民品贷款贴息资金。</w:t>
      </w:r>
    </w:p>
    <w:p w14:paraId="36AD446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0E0967EF">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284F456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2024年度一般公共预算财政拨款支出862.90万元，占本年支出合计的100.00%。与上年相比，减少258.44万元，下降23.05%，主要原因是：</w:t>
      </w:r>
      <w:r>
        <w:rPr>
          <w:rFonts w:hint="eastAsia" w:ascii="仿宋_GB2312" w:eastAsia="仿宋_GB2312"/>
          <w:sz w:val="32"/>
          <w:szCs w:val="32"/>
          <w:lang w:eastAsia="zh-CN"/>
        </w:rPr>
        <w:t>本年</w:t>
      </w:r>
      <w:r>
        <w:rPr>
          <w:rFonts w:ascii="仿宋_GB2312" w:eastAsia="仿宋_GB2312"/>
          <w:sz w:val="32"/>
          <w:szCs w:val="32"/>
          <w:lang w:eastAsia="zh-CN"/>
        </w:rPr>
        <w:t>新疆隆升纸制品包装有限责任公司、新疆红圣彤彩印包装有限公司、新疆华凌农牧科技开发有限公司等三家民贸民品贷款贴息资金</w:t>
      </w:r>
      <w:r>
        <w:rPr>
          <w:rFonts w:hint="eastAsia" w:ascii="仿宋_GB2312" w:eastAsia="仿宋_GB2312"/>
          <w:sz w:val="32"/>
          <w:szCs w:val="32"/>
          <w:lang w:eastAsia="zh-CN"/>
        </w:rPr>
        <w:t>减少</w:t>
      </w:r>
      <w:r>
        <w:rPr>
          <w:rFonts w:ascii="仿宋_GB2312" w:eastAsia="仿宋_GB2312"/>
          <w:sz w:val="32"/>
          <w:szCs w:val="32"/>
          <w:lang w:eastAsia="zh-CN"/>
        </w:rPr>
        <w:t>。与年初预算相比，年初预算数596.88万元，决算数862.90万元，预决算差异率44.57%，主要原因是：</w:t>
      </w:r>
      <w:r>
        <w:rPr>
          <w:rFonts w:hint="eastAsia" w:ascii="仿宋_GB2312" w:eastAsia="仿宋_GB2312"/>
          <w:sz w:val="32"/>
          <w:szCs w:val="32"/>
          <w:lang w:eastAsia="zh-CN"/>
        </w:rPr>
        <w:t>年中追加人员工资、津贴补贴、奖金等经费；年中追加</w:t>
      </w:r>
      <w:r>
        <w:rPr>
          <w:rFonts w:ascii="仿宋_GB2312" w:eastAsia="仿宋_GB2312"/>
          <w:sz w:val="32"/>
          <w:szCs w:val="32"/>
          <w:lang w:eastAsia="zh-CN"/>
        </w:rPr>
        <w:t>新疆隆升纸制品包装有限责任公司、新疆红圣彤彩印包装有限公司、新疆华凌农牧科技开发有限公司等三家民贸民品贷款贴息资金。</w:t>
      </w:r>
    </w:p>
    <w:p w14:paraId="2EC65F94">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75A98EC8">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一般公共服务支出（类）126.27万元，占14.63%。</w:t>
      </w:r>
    </w:p>
    <w:p w14:paraId="2D71CD51">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社会保障和就业支出（类）15.73万元，占1.82%。</w:t>
      </w:r>
    </w:p>
    <w:p w14:paraId="7D927D19">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商业服务业等支出（类）720.90万元，占83.54%。</w:t>
      </w:r>
    </w:p>
    <w:p w14:paraId="313AD12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601F2BC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1、一般公共服务支出（类）民族事务（款）行政运行（项）：支出决算数为126.27万元，比上年决算减少114.95万元，下降47.65%，主要原因是：我单位7月份机构改革，合并至统战部，部分人员调出，</w:t>
      </w:r>
      <w:r>
        <w:rPr>
          <w:rFonts w:hint="eastAsia" w:ascii="仿宋_GB2312" w:eastAsia="仿宋_GB2312"/>
          <w:sz w:val="32"/>
          <w:szCs w:val="32"/>
          <w:lang w:eastAsia="zh-CN"/>
        </w:rPr>
        <w:t>人员工资、津贴补贴、奖金等</w:t>
      </w:r>
      <w:r>
        <w:rPr>
          <w:rFonts w:ascii="仿宋_GB2312" w:eastAsia="仿宋_GB2312"/>
          <w:sz w:val="32"/>
          <w:szCs w:val="32"/>
          <w:lang w:eastAsia="zh-CN"/>
        </w:rPr>
        <w:t>经费减少。</w:t>
      </w:r>
    </w:p>
    <w:p w14:paraId="70DC5AE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15.73万元，比上年决算减少4.54万元，下降22.40%，主要原因是：我单位7月份机构改革，合并至统战部，部分人员调出，</w:t>
      </w:r>
      <w:r>
        <w:rPr>
          <w:rFonts w:hint="eastAsia" w:ascii="仿宋_GB2312" w:eastAsia="仿宋_GB2312"/>
          <w:sz w:val="32"/>
          <w:szCs w:val="32"/>
          <w:lang w:eastAsia="zh-CN"/>
        </w:rPr>
        <w:t>人员</w:t>
      </w:r>
      <w:r>
        <w:rPr>
          <w:rFonts w:ascii="仿宋_GB2312" w:eastAsia="仿宋_GB2312"/>
          <w:sz w:val="32"/>
          <w:szCs w:val="32"/>
          <w:lang w:eastAsia="zh-CN"/>
        </w:rPr>
        <w:t>养老保险缴费减少。</w:t>
      </w:r>
    </w:p>
    <w:p w14:paraId="00BDF93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3、社会保障和就业支出（类）行政事业单位养老支出（款）机关事业单位职业年金缴费支出（项）：支出决算数为0.00万元，比上年决算减少21.96万元，下降100.00%，主要原因是：</w:t>
      </w:r>
      <w:bookmarkStart w:id="0" w:name="_Hlk209268001"/>
      <w:bookmarkStart w:id="1" w:name="_Hlk209348735"/>
      <w:r>
        <w:rPr>
          <w:rFonts w:hint="eastAsia" w:ascii="仿宋_GB2312" w:eastAsia="仿宋_GB2312"/>
          <w:sz w:val="32"/>
          <w:szCs w:val="32"/>
          <w:lang w:eastAsia="zh-CN"/>
        </w:rPr>
        <w:t>单位本年人员一次性职业年金缴费</w:t>
      </w:r>
      <w:bookmarkEnd w:id="0"/>
      <w:bookmarkEnd w:id="1"/>
      <w:r>
        <w:rPr>
          <w:rFonts w:ascii="仿宋_GB2312" w:eastAsia="仿宋_GB2312"/>
          <w:sz w:val="32"/>
          <w:szCs w:val="32"/>
          <w:lang w:eastAsia="zh-CN"/>
        </w:rPr>
        <w:t>减少。</w:t>
      </w:r>
    </w:p>
    <w:p w14:paraId="1256033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4、商业服务业等支出（类）商业流通事务（款）民贸民品贷款贴息（项）：支出决算数为720.90万元，比上年决算减少116.99万元，下降13.96%，主要原因是：</w:t>
      </w:r>
      <w:r>
        <w:rPr>
          <w:rFonts w:hint="eastAsia" w:ascii="仿宋_GB2312" w:eastAsia="仿宋_GB2312"/>
          <w:sz w:val="32"/>
          <w:szCs w:val="32"/>
          <w:lang w:eastAsia="zh-CN"/>
        </w:rPr>
        <w:t>本年</w:t>
      </w:r>
      <w:r>
        <w:rPr>
          <w:rFonts w:ascii="仿宋_GB2312" w:eastAsia="仿宋_GB2312"/>
          <w:sz w:val="32"/>
          <w:szCs w:val="32"/>
          <w:lang w:eastAsia="zh-CN"/>
        </w:rPr>
        <w:t>新疆五江兴华实业有限公司民贸民品贷款贴息资金</w:t>
      </w:r>
      <w:r>
        <w:rPr>
          <w:rFonts w:hint="eastAsia" w:ascii="仿宋_GB2312" w:eastAsia="仿宋_GB2312"/>
          <w:sz w:val="32"/>
          <w:szCs w:val="32"/>
          <w:lang w:eastAsia="zh-CN"/>
        </w:rPr>
        <w:t>减少</w:t>
      </w:r>
      <w:r>
        <w:rPr>
          <w:rFonts w:ascii="仿宋_GB2312" w:eastAsia="仿宋_GB2312"/>
          <w:sz w:val="32"/>
          <w:szCs w:val="32"/>
          <w:lang w:eastAsia="zh-CN"/>
        </w:rPr>
        <w:t>。</w:t>
      </w:r>
    </w:p>
    <w:p w14:paraId="53E0977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4AF46E1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142.00万元，其中：人员经费133.44万元，包括：基本工资、津贴补贴、奖金、机关事业单位基本养老保险缴费、职工基本医疗保险缴费、公务员医疗补助缴费、其他社会保障缴费和住房公积金。</w:t>
      </w:r>
    </w:p>
    <w:p w14:paraId="64BB6DF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公用经费8.56万元，包括：办公费、工会经费、福利费和公务用车运行维护费。</w:t>
      </w:r>
    </w:p>
    <w:p w14:paraId="59AE760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1F8EC62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1F3D61D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53DE398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0682AB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6696BFE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2024年度财政拨款“三公”经费支出3.59万元，比上年减少0.31万元，下降7.95%，主要原因是：</w:t>
      </w:r>
      <w:bookmarkStart w:id="2" w:name="_Hlk207110071"/>
      <w:r>
        <w:rPr>
          <w:rFonts w:hint="eastAsia" w:ascii="仿宋_GB2312" w:eastAsia="仿宋_GB2312"/>
          <w:sz w:val="32"/>
          <w:szCs w:val="32"/>
          <w:lang w:eastAsia="zh-CN"/>
        </w:rPr>
        <w:t>车辆出行次数减少，车辆保险费、燃油费、过路费减少</w:t>
      </w:r>
      <w:bookmarkEnd w:id="2"/>
      <w:r>
        <w:rPr>
          <w:rFonts w:ascii="仿宋_GB2312" w:eastAsia="仿宋_GB2312"/>
          <w:sz w:val="32"/>
          <w:szCs w:val="32"/>
          <w:lang w:eastAsia="zh-CN"/>
        </w:rPr>
        <w:t>。其中：因公出国（境）费支出0.00万元,占0.00%，与上年相比无变化，主要原因是：</w:t>
      </w:r>
      <w:bookmarkStart w:id="3" w:name="_Hlk207114081"/>
      <w:bookmarkStart w:id="4" w:name="_Hlk207720892"/>
      <w:r>
        <w:rPr>
          <w:rFonts w:hint="eastAsia" w:ascii="仿宋_GB2312" w:eastAsia="仿宋_GB2312"/>
          <w:sz w:val="32"/>
          <w:szCs w:val="32"/>
          <w:lang w:eastAsia="zh-CN"/>
        </w:rPr>
        <w:t>我单位上年度与本年度均无</w:t>
      </w:r>
      <w:bookmarkEnd w:id="3"/>
      <w:r>
        <w:rPr>
          <w:rFonts w:hint="eastAsia" w:ascii="仿宋_GB2312" w:eastAsia="仿宋_GB2312"/>
          <w:sz w:val="32"/>
          <w:szCs w:val="32"/>
          <w:lang w:eastAsia="zh-CN"/>
        </w:rPr>
        <w:t>此项经费</w:t>
      </w:r>
      <w:bookmarkEnd w:id="4"/>
      <w:r>
        <w:rPr>
          <w:rFonts w:ascii="仿宋_GB2312" w:eastAsia="仿宋_GB2312"/>
          <w:sz w:val="32"/>
          <w:szCs w:val="32"/>
          <w:lang w:eastAsia="zh-CN"/>
        </w:rPr>
        <w:t>；公务用车购置及运行维护费支出3.59万元，占100.00%，比上年减少0.31万元，下降7.95%，主要原因是：</w:t>
      </w:r>
      <w:r>
        <w:rPr>
          <w:rFonts w:hint="eastAsia" w:ascii="仿宋_GB2312" w:eastAsia="仿宋_GB2312"/>
          <w:sz w:val="32"/>
          <w:szCs w:val="32"/>
          <w:lang w:eastAsia="zh-CN"/>
        </w:rPr>
        <w:t>车辆出行次数减少，车辆保险费、燃油费、过路费减少</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7203AFB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36880EF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5" w:name="_Hlk207127465"/>
      <w:r>
        <w:rPr>
          <w:rFonts w:ascii="仿宋_GB2312" w:eastAsia="仿宋_GB2312"/>
          <w:sz w:val="32"/>
          <w:szCs w:val="32"/>
          <w:lang w:eastAsia="zh-CN"/>
        </w:rPr>
        <w:t>本单位本年无因公出国（境）费</w:t>
      </w:r>
      <w:bookmarkEnd w:id="5"/>
      <w:r>
        <w:rPr>
          <w:rFonts w:ascii="仿宋_GB2312" w:eastAsia="仿宋_GB2312"/>
          <w:sz w:val="32"/>
          <w:szCs w:val="32"/>
          <w:lang w:eastAsia="zh-CN"/>
        </w:rPr>
        <w:t>。单位全年安排的因公出国（境）团组0个，因公出国（境）0人次。</w:t>
      </w:r>
    </w:p>
    <w:p w14:paraId="222A946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公务用车购置及运行维护费3.59万元，其中：公务用车购置费0.00万元，公务用车运行维护费3.59万元。公务用车运行维护费开支内容包括</w:t>
      </w:r>
      <w:r>
        <w:rPr>
          <w:rFonts w:hint="default" w:ascii="仿宋_GB2312" w:eastAsia="仿宋_GB2312"/>
          <w:sz w:val="32"/>
          <w:szCs w:val="32"/>
          <w:lang w:val="en-US" w:eastAsia="zh-CN"/>
        </w:rPr>
        <w:t>公务用车维修维护费、燃油费、保险费、过路费等</w:t>
      </w:r>
      <w:bookmarkStart w:id="11" w:name="_GoBack"/>
      <w:bookmarkEnd w:id="11"/>
      <w:r>
        <w:rPr>
          <w:rFonts w:ascii="仿宋_GB2312" w:eastAsia="仿宋_GB2312"/>
          <w:sz w:val="32"/>
          <w:szCs w:val="32"/>
          <w:lang w:eastAsia="zh-CN"/>
        </w:rPr>
        <w:t>。公务用车购置数0辆，公务用车保有量1辆。国有资产占用情况中固定资产车辆1辆，与公务用车保有量差异原因是：</w:t>
      </w:r>
      <w:bookmarkStart w:id="6" w:name="_Hlk208326029"/>
      <w:r>
        <w:rPr>
          <w:rFonts w:hint="eastAsia" w:ascii="仿宋_GB2312" w:eastAsia="仿宋_GB2312"/>
          <w:sz w:val="32"/>
          <w:szCs w:val="32"/>
          <w:lang w:eastAsia="zh-CN"/>
        </w:rPr>
        <w:t>本单位固定资产车辆与公务用车保有量一致无差异</w:t>
      </w:r>
      <w:bookmarkEnd w:id="6"/>
      <w:r>
        <w:rPr>
          <w:rFonts w:ascii="仿宋_GB2312" w:eastAsia="仿宋_GB2312"/>
          <w:sz w:val="32"/>
          <w:szCs w:val="32"/>
          <w:lang w:eastAsia="zh-CN"/>
        </w:rPr>
        <w:t>。</w:t>
      </w:r>
    </w:p>
    <w:p w14:paraId="0B9686B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7" w:name="_Hlk207128367"/>
      <w:r>
        <w:rPr>
          <w:rFonts w:ascii="仿宋_GB2312" w:eastAsia="仿宋_GB2312"/>
          <w:sz w:val="32"/>
          <w:szCs w:val="32"/>
          <w:lang w:eastAsia="zh-CN"/>
        </w:rPr>
        <w:t>本单位本年无公务接待费</w:t>
      </w:r>
      <w:bookmarkEnd w:id="7"/>
      <w:r>
        <w:rPr>
          <w:rFonts w:ascii="仿宋_GB2312" w:eastAsia="仿宋_GB2312"/>
          <w:sz w:val="32"/>
          <w:szCs w:val="32"/>
          <w:lang w:eastAsia="zh-CN"/>
        </w:rPr>
        <w:t>。单位全年安排的国内公务接待0批次，0人次。</w:t>
      </w:r>
    </w:p>
    <w:p w14:paraId="306A2FA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与全年预算相比，财政拨款“三公”经费支出全年预算数3.59万元，决算数3.59万元，预决算差异率0.00%，主要原因是：</w:t>
      </w:r>
      <w:bookmarkStart w:id="8" w:name="_Hlk207110149"/>
      <w:r>
        <w:rPr>
          <w:rFonts w:hint="eastAsia" w:ascii="仿宋_GB2312" w:eastAsia="仿宋_GB2312"/>
          <w:sz w:val="32"/>
          <w:szCs w:val="32"/>
          <w:lang w:eastAsia="zh-CN"/>
        </w:rPr>
        <w:t>严格按照预算执行，预决算对比无差异</w:t>
      </w:r>
      <w:bookmarkEnd w:id="8"/>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；公务用车运行维护费全年预算数3.59万元，决算数3.59万元，预决算差异率0.00%，主要原因是：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00564FE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7E9BF0AC">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5074966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2024年度乌鲁木齐市米东区民族宗教事务局单位（行政单位和参照公务员法管理事业单位）机关运行经费支出8.56万元，比上年减少40.47万元，下降82.54%，主要原因是：</w:t>
      </w:r>
      <w:r>
        <w:rPr>
          <w:rFonts w:hint="eastAsia" w:ascii="仿宋_GB2312" w:eastAsia="仿宋_GB2312"/>
          <w:sz w:val="32"/>
          <w:szCs w:val="32"/>
          <w:lang w:eastAsia="zh-CN"/>
        </w:rPr>
        <w:t>单位本年</w:t>
      </w:r>
      <w:r>
        <w:rPr>
          <w:rFonts w:ascii="仿宋_GB2312" w:eastAsia="仿宋_GB2312"/>
          <w:sz w:val="32"/>
          <w:szCs w:val="32"/>
          <w:lang w:eastAsia="zh-CN"/>
        </w:rPr>
        <w:t>办公费、福利费</w:t>
      </w:r>
      <w:r>
        <w:rPr>
          <w:rFonts w:hint="eastAsia" w:ascii="仿宋_GB2312" w:eastAsia="仿宋_GB2312"/>
          <w:sz w:val="32"/>
          <w:szCs w:val="32"/>
          <w:lang w:eastAsia="zh-CN"/>
        </w:rPr>
        <w:t>、</w:t>
      </w:r>
      <w:r>
        <w:rPr>
          <w:rFonts w:ascii="仿宋_GB2312" w:eastAsia="仿宋_GB2312"/>
          <w:sz w:val="32"/>
          <w:szCs w:val="32"/>
          <w:lang w:eastAsia="zh-CN"/>
        </w:rPr>
        <w:t>公务用车运行维护费减少。</w:t>
      </w:r>
    </w:p>
    <w:p w14:paraId="52D6491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08B887C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0928530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78E85742">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7FCA5BE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19.53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eastAsia="zh-CN"/>
        </w:rPr>
        <w:t>业务</w:t>
      </w:r>
      <w:r>
        <w:rPr>
          <w:rFonts w:ascii="仿宋_GB2312" w:eastAsia="仿宋_GB2312"/>
          <w:sz w:val="32"/>
          <w:szCs w:val="32"/>
          <w:lang w:eastAsia="zh-CN"/>
        </w:rPr>
        <w:t>用车;单价100万元（含）以上设备（不含车辆）0台（套）。</w:t>
      </w:r>
    </w:p>
    <w:p w14:paraId="5F5D21F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6E42CB9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根据预算绩效管理要求，本单位2024年度预算绩效管理形成整体支出绩效自评表1个，全年预算总额862.9</w:t>
      </w:r>
      <w:r>
        <w:rPr>
          <w:rFonts w:hint="eastAsia" w:ascii="仿宋_GB2312" w:eastAsia="仿宋_GB2312"/>
          <w:sz w:val="32"/>
          <w:szCs w:val="32"/>
          <w:lang w:eastAsia="zh-CN"/>
        </w:rPr>
        <w:t>0</w:t>
      </w:r>
      <w:r>
        <w:rPr>
          <w:rFonts w:ascii="仿宋_GB2312" w:eastAsia="仿宋_GB2312"/>
          <w:sz w:val="32"/>
          <w:szCs w:val="32"/>
          <w:lang w:eastAsia="zh-CN"/>
        </w:rPr>
        <w:t>万元，实际执行总额862.9</w:t>
      </w:r>
      <w:r>
        <w:rPr>
          <w:rFonts w:hint="eastAsia" w:ascii="仿宋_GB2312" w:eastAsia="仿宋_GB2312"/>
          <w:sz w:val="32"/>
          <w:szCs w:val="32"/>
          <w:lang w:eastAsia="zh-CN"/>
        </w:rPr>
        <w:t>0</w:t>
      </w:r>
      <w:r>
        <w:rPr>
          <w:rFonts w:ascii="仿宋_GB2312" w:eastAsia="仿宋_GB2312"/>
          <w:sz w:val="32"/>
          <w:szCs w:val="32"/>
          <w:lang w:eastAsia="zh-CN"/>
        </w:rPr>
        <w:t>万元；预算绩效评价项目</w:t>
      </w:r>
      <w:r>
        <w:rPr>
          <w:rFonts w:hint="eastAsia" w:ascii="仿宋_GB2312" w:eastAsia="仿宋_GB2312"/>
          <w:sz w:val="32"/>
          <w:szCs w:val="32"/>
          <w:lang w:eastAsia="zh-CN"/>
        </w:rPr>
        <w:t>0</w:t>
      </w:r>
      <w:r>
        <w:rPr>
          <w:rFonts w:ascii="仿宋_GB2312" w:eastAsia="仿宋_GB2312"/>
          <w:sz w:val="32"/>
          <w:szCs w:val="32"/>
          <w:lang w:eastAsia="zh-CN"/>
        </w:rPr>
        <w:t>个，全年预算数</w:t>
      </w:r>
      <w:r>
        <w:rPr>
          <w:rFonts w:hint="eastAsia" w:ascii="仿宋_GB2312" w:eastAsia="仿宋_GB2312"/>
          <w:sz w:val="32"/>
          <w:szCs w:val="32"/>
          <w:lang w:eastAsia="zh-CN"/>
        </w:rPr>
        <w:t>0.00</w:t>
      </w:r>
      <w:r>
        <w:rPr>
          <w:rFonts w:ascii="仿宋_GB2312" w:eastAsia="仿宋_GB2312"/>
          <w:sz w:val="32"/>
          <w:szCs w:val="32"/>
          <w:lang w:eastAsia="zh-CN"/>
        </w:rPr>
        <w:t>万元，全年执行数</w:t>
      </w:r>
      <w:r>
        <w:rPr>
          <w:rFonts w:hint="eastAsia" w:ascii="仿宋_GB2312" w:eastAsia="仿宋_GB2312"/>
          <w:sz w:val="32"/>
          <w:szCs w:val="32"/>
          <w:lang w:eastAsia="zh-CN"/>
        </w:rPr>
        <w:t>0.00</w:t>
      </w:r>
      <w:r>
        <w:rPr>
          <w:rFonts w:ascii="仿宋_GB2312" w:eastAsia="仿宋_GB2312"/>
          <w:sz w:val="32"/>
          <w:szCs w:val="32"/>
          <w:lang w:eastAsia="zh-CN"/>
        </w:rPr>
        <w:t>万元。预算绩效管理取得的成效：一</w:t>
      </w:r>
      <w:r>
        <w:rPr>
          <w:rFonts w:hint="eastAsia" w:ascii="仿宋_GB2312" w:eastAsia="仿宋_GB2312"/>
          <w:sz w:val="32"/>
          <w:szCs w:val="32"/>
          <w:lang w:eastAsia="zh-CN"/>
        </w:rPr>
        <w:t>是</w:t>
      </w:r>
      <w:r>
        <w:rPr>
          <w:rFonts w:ascii="仿宋_GB2312" w:eastAsia="仿宋_GB2312"/>
          <w:sz w:val="32"/>
          <w:szCs w:val="32"/>
          <w:lang w:eastAsia="zh-CN"/>
        </w:rPr>
        <w:t>我单位严格执行财务管理和经费管理相关制度规定，确保所有资金支出合法合规。会计核算工作全面贯彻新政府会计制度要求，有效实现了会计改革与预算绩效管理的协同推进，形成了相互促进的良性运行机制</w:t>
      </w:r>
      <w:r>
        <w:rPr>
          <w:rFonts w:hint="eastAsia" w:ascii="仿宋_GB2312" w:eastAsia="仿宋_GB2312"/>
          <w:sz w:val="32"/>
          <w:szCs w:val="32"/>
          <w:lang w:eastAsia="zh-CN"/>
        </w:rPr>
        <w:t>；二是</w:t>
      </w:r>
      <w:r>
        <w:rPr>
          <w:rFonts w:ascii="仿宋_GB2312" w:eastAsia="仿宋_GB2312"/>
          <w:sz w:val="32"/>
          <w:szCs w:val="32"/>
          <w:lang w:eastAsia="zh-CN"/>
        </w:rPr>
        <w:t>在内部管理方面，我单位持续完善内控制度体系，强化制度建设与监督落实，通过规范财务管理、加强财务监督、提升法治意识，确保各项规章制度执行到位。针对资金管理和经费收支审批，制定了明确的操作规范，实行支出限额控制与分级审批制度（分管领导审批）。同时，我单位注重制度执行的刚性约束，全面落实管理要求，不断优化行政成本管控，提高资金使用效益。发现的问题及原因：一</w:t>
      </w:r>
      <w:r>
        <w:rPr>
          <w:rFonts w:hint="eastAsia" w:ascii="仿宋_GB2312" w:eastAsia="仿宋_GB2312"/>
          <w:sz w:val="32"/>
          <w:szCs w:val="32"/>
          <w:lang w:eastAsia="zh-CN"/>
        </w:rPr>
        <w:t>是</w:t>
      </w:r>
      <w:r>
        <w:rPr>
          <w:rFonts w:ascii="仿宋_GB2312" w:eastAsia="仿宋_GB2312"/>
          <w:sz w:val="32"/>
          <w:szCs w:val="32"/>
          <w:lang w:eastAsia="zh-CN"/>
        </w:rPr>
        <w:t>内部管理方面</w:t>
      </w:r>
      <w:r>
        <w:rPr>
          <w:rFonts w:hint="eastAsia" w:ascii="仿宋_GB2312" w:eastAsia="仿宋_GB2312"/>
          <w:sz w:val="32"/>
          <w:szCs w:val="32"/>
          <w:lang w:eastAsia="zh-CN"/>
        </w:rPr>
        <w:t>，</w:t>
      </w:r>
      <w:r>
        <w:rPr>
          <w:rFonts w:ascii="仿宋_GB2312" w:eastAsia="仿宋_GB2312"/>
          <w:sz w:val="32"/>
          <w:szCs w:val="32"/>
          <w:lang w:eastAsia="zh-CN"/>
        </w:rPr>
        <w:t>职责划分与人员管理存在部门职能边界模糊现象</w:t>
      </w:r>
      <w:r>
        <w:rPr>
          <w:rFonts w:hint="eastAsia" w:ascii="仿宋_GB2312" w:eastAsia="仿宋_GB2312"/>
          <w:sz w:val="32"/>
          <w:szCs w:val="32"/>
          <w:lang w:eastAsia="zh-CN"/>
        </w:rPr>
        <w:t>，</w:t>
      </w:r>
      <w:r>
        <w:rPr>
          <w:rFonts w:ascii="仿宋_GB2312" w:eastAsia="仿宋_GB2312"/>
          <w:sz w:val="32"/>
          <w:szCs w:val="32"/>
          <w:lang w:eastAsia="zh-CN"/>
        </w:rPr>
        <w:t>人力资源管理体系需完善</w:t>
      </w:r>
      <w:r>
        <w:rPr>
          <w:rFonts w:hint="eastAsia" w:ascii="仿宋_GB2312" w:eastAsia="仿宋_GB2312"/>
          <w:sz w:val="32"/>
          <w:szCs w:val="32"/>
          <w:lang w:eastAsia="zh-CN"/>
        </w:rPr>
        <w:t>；</w:t>
      </w:r>
      <w:r>
        <w:rPr>
          <w:rFonts w:ascii="仿宋_GB2312" w:eastAsia="仿宋_GB2312"/>
          <w:sz w:val="32"/>
          <w:szCs w:val="32"/>
          <w:lang w:eastAsia="zh-CN"/>
        </w:rPr>
        <w:t>二</w:t>
      </w:r>
      <w:r>
        <w:rPr>
          <w:rFonts w:hint="eastAsia" w:ascii="仿宋_GB2312" w:eastAsia="仿宋_GB2312"/>
          <w:sz w:val="32"/>
          <w:szCs w:val="32"/>
          <w:lang w:eastAsia="zh-CN"/>
        </w:rPr>
        <w:t>是</w:t>
      </w:r>
      <w:r>
        <w:rPr>
          <w:rFonts w:ascii="仿宋_GB2312" w:eastAsia="仿宋_GB2312"/>
          <w:sz w:val="32"/>
          <w:szCs w:val="32"/>
          <w:lang w:eastAsia="zh-CN"/>
        </w:rPr>
        <w:t>预算管理方面</w:t>
      </w:r>
      <w:r>
        <w:rPr>
          <w:rFonts w:hint="eastAsia" w:ascii="仿宋_GB2312" w:eastAsia="仿宋_GB2312"/>
          <w:sz w:val="32"/>
          <w:szCs w:val="32"/>
          <w:lang w:eastAsia="zh-CN"/>
        </w:rPr>
        <w:t>，</w:t>
      </w:r>
      <w:r>
        <w:rPr>
          <w:rFonts w:ascii="仿宋_GB2312" w:eastAsia="仿宋_GB2312"/>
          <w:sz w:val="32"/>
          <w:szCs w:val="32"/>
          <w:lang w:eastAsia="zh-CN"/>
        </w:rPr>
        <w:t>预算编制科学性有待提升</w:t>
      </w:r>
      <w:r>
        <w:rPr>
          <w:rFonts w:hint="eastAsia" w:ascii="仿宋_GB2312" w:eastAsia="仿宋_GB2312"/>
          <w:sz w:val="32"/>
          <w:szCs w:val="32"/>
          <w:lang w:eastAsia="zh-CN"/>
        </w:rPr>
        <w:t>，</w:t>
      </w:r>
      <w:r>
        <w:rPr>
          <w:rFonts w:ascii="仿宋_GB2312" w:eastAsia="仿宋_GB2312"/>
          <w:sz w:val="32"/>
          <w:szCs w:val="32"/>
          <w:lang w:eastAsia="zh-CN"/>
        </w:rPr>
        <w:t>预算调整幅度较大，反映前期测算精准度不足，短期预算安排与中长期发展规划的协同性需要加强</w:t>
      </w:r>
      <w:r>
        <w:rPr>
          <w:rFonts w:hint="eastAsia" w:ascii="仿宋_GB2312" w:eastAsia="仿宋_GB2312"/>
          <w:sz w:val="32"/>
          <w:szCs w:val="32"/>
          <w:lang w:eastAsia="zh-CN"/>
        </w:rPr>
        <w:t>；</w:t>
      </w:r>
      <w:r>
        <w:rPr>
          <w:rFonts w:ascii="仿宋_GB2312" w:eastAsia="仿宋_GB2312"/>
          <w:sz w:val="32"/>
          <w:szCs w:val="32"/>
          <w:lang w:eastAsia="zh-CN"/>
        </w:rPr>
        <w:t>三</w:t>
      </w:r>
      <w:r>
        <w:rPr>
          <w:rFonts w:hint="eastAsia" w:ascii="仿宋_GB2312" w:eastAsia="仿宋_GB2312"/>
          <w:sz w:val="32"/>
          <w:szCs w:val="32"/>
          <w:lang w:eastAsia="zh-CN"/>
        </w:rPr>
        <w:t>是</w:t>
      </w:r>
      <w:r>
        <w:rPr>
          <w:rFonts w:ascii="仿宋_GB2312" w:eastAsia="仿宋_GB2312"/>
          <w:sz w:val="32"/>
          <w:szCs w:val="32"/>
          <w:lang w:eastAsia="zh-CN"/>
        </w:rPr>
        <w:t>资产管理方面</w:t>
      </w:r>
      <w:r>
        <w:rPr>
          <w:rFonts w:hint="eastAsia" w:ascii="仿宋_GB2312" w:eastAsia="仿宋_GB2312"/>
          <w:sz w:val="32"/>
          <w:szCs w:val="32"/>
          <w:lang w:eastAsia="zh-CN"/>
        </w:rPr>
        <w:t>，</w:t>
      </w:r>
      <w:r>
        <w:rPr>
          <w:rFonts w:ascii="仿宋_GB2312" w:eastAsia="仿宋_GB2312"/>
          <w:sz w:val="32"/>
          <w:szCs w:val="32"/>
          <w:lang w:eastAsia="zh-CN"/>
        </w:rPr>
        <w:t>固定资产监管机制存在薄弱环节，需进一步完善全过程管理制度。下一步改进措施：一</w:t>
      </w:r>
      <w:r>
        <w:rPr>
          <w:rFonts w:hint="eastAsia" w:ascii="仿宋_GB2312" w:eastAsia="仿宋_GB2312"/>
          <w:sz w:val="32"/>
          <w:szCs w:val="32"/>
          <w:lang w:eastAsia="zh-CN"/>
        </w:rPr>
        <w:t>是</w:t>
      </w:r>
      <w:r>
        <w:rPr>
          <w:rFonts w:ascii="仿宋_GB2312" w:eastAsia="仿宋_GB2312"/>
          <w:sz w:val="32"/>
          <w:szCs w:val="32"/>
          <w:lang w:eastAsia="zh-CN"/>
        </w:rPr>
        <w:t>完善制度体系</w:t>
      </w:r>
      <w:r>
        <w:rPr>
          <w:rFonts w:hint="eastAsia" w:ascii="仿宋_GB2312" w:eastAsia="仿宋_GB2312"/>
          <w:sz w:val="32"/>
          <w:szCs w:val="32"/>
          <w:lang w:eastAsia="zh-CN"/>
        </w:rPr>
        <w:t>，</w:t>
      </w:r>
      <w:r>
        <w:rPr>
          <w:rFonts w:ascii="仿宋_GB2312" w:eastAsia="仿宋_GB2312"/>
          <w:sz w:val="32"/>
          <w:szCs w:val="32"/>
          <w:lang w:eastAsia="zh-CN"/>
        </w:rPr>
        <w:t>健全工作流程，明确各部门职资，加强内部监督，确保各项工作有序升展</w:t>
      </w:r>
      <w:r>
        <w:rPr>
          <w:rFonts w:hint="eastAsia" w:ascii="仿宋_GB2312" w:eastAsia="仿宋_GB2312"/>
          <w:sz w:val="32"/>
          <w:szCs w:val="32"/>
          <w:lang w:eastAsia="zh-CN"/>
        </w:rPr>
        <w:t>；</w:t>
      </w:r>
      <w:r>
        <w:rPr>
          <w:rFonts w:ascii="仿宋_GB2312" w:eastAsia="仿宋_GB2312"/>
          <w:sz w:val="32"/>
          <w:szCs w:val="32"/>
          <w:lang w:eastAsia="zh-CN"/>
        </w:rPr>
        <w:t>二</w:t>
      </w:r>
      <w:r>
        <w:rPr>
          <w:rFonts w:hint="eastAsia" w:ascii="仿宋_GB2312" w:eastAsia="仿宋_GB2312"/>
          <w:sz w:val="32"/>
          <w:szCs w:val="32"/>
          <w:lang w:eastAsia="zh-CN"/>
        </w:rPr>
        <w:t>是</w:t>
      </w:r>
      <w:r>
        <w:rPr>
          <w:rFonts w:ascii="仿宋_GB2312" w:eastAsia="仿宋_GB2312"/>
          <w:sz w:val="32"/>
          <w:szCs w:val="32"/>
          <w:lang w:eastAsia="zh-CN"/>
        </w:rPr>
        <w:t>优化经费管理</w:t>
      </w:r>
      <w:r>
        <w:rPr>
          <w:rFonts w:hint="eastAsia" w:ascii="仿宋_GB2312" w:eastAsia="仿宋_GB2312"/>
          <w:sz w:val="32"/>
          <w:szCs w:val="32"/>
          <w:lang w:eastAsia="zh-CN"/>
        </w:rPr>
        <w:t>，</w:t>
      </w:r>
      <w:r>
        <w:rPr>
          <w:rFonts w:ascii="仿宋_GB2312" w:eastAsia="仿宋_GB2312"/>
          <w:sz w:val="32"/>
          <w:szCs w:val="32"/>
          <w:lang w:eastAsia="zh-CN"/>
        </w:rPr>
        <w:t>科学编制预算，简化资金申请流程，加强与财政部门沟通协调，保障资金及时到位</w:t>
      </w:r>
      <w:r>
        <w:rPr>
          <w:rFonts w:hint="eastAsia" w:ascii="仿宋_GB2312" w:eastAsia="仿宋_GB2312"/>
          <w:sz w:val="32"/>
          <w:szCs w:val="32"/>
          <w:lang w:eastAsia="zh-CN"/>
        </w:rPr>
        <w:t>；</w:t>
      </w:r>
      <w:r>
        <w:rPr>
          <w:rFonts w:ascii="仿宋_GB2312" w:eastAsia="仿宋_GB2312"/>
          <w:sz w:val="32"/>
          <w:szCs w:val="32"/>
          <w:lang w:eastAsia="zh-CN"/>
        </w:rPr>
        <w:t>三</w:t>
      </w:r>
      <w:r>
        <w:rPr>
          <w:rFonts w:hint="eastAsia" w:ascii="仿宋_GB2312" w:eastAsia="仿宋_GB2312"/>
          <w:sz w:val="32"/>
          <w:szCs w:val="32"/>
          <w:lang w:eastAsia="zh-CN"/>
        </w:rPr>
        <w:t>是</w:t>
      </w:r>
      <w:r>
        <w:rPr>
          <w:rFonts w:ascii="仿宋_GB2312" w:eastAsia="仿宋_GB2312"/>
          <w:sz w:val="32"/>
          <w:szCs w:val="32"/>
          <w:lang w:eastAsia="zh-CN"/>
        </w:rPr>
        <w:t>完善国有资产管理体系，明确责任范围内资产的管理职责，单位负责人对本单位资产管理的总则，配合资产部门进行资产清查，提高固定资产使用效益。具体附部门整体支出绩效自评表。</w:t>
      </w:r>
      <w:bookmarkStart w:id="9" w:name="_Hlk174962300"/>
    </w:p>
    <w:p w14:paraId="5361B370">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053A3A59">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tblGrid>
      <w:tr w14:paraId="620617FE">
        <w:tblPrEx>
          <w:tblCellMar>
            <w:top w:w="0" w:type="dxa"/>
            <w:left w:w="108" w:type="dxa"/>
            <w:bottom w:w="0" w:type="dxa"/>
            <w:right w:w="108" w:type="dxa"/>
          </w:tblCellMar>
        </w:tblPrEx>
        <w:trPr>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06DD68D6">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24498102">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乌鲁木齐市米东区民族宗教事务局</w:t>
            </w:r>
          </w:p>
        </w:tc>
      </w:tr>
      <w:tr w14:paraId="536832A3">
        <w:tblPrEx>
          <w:tblCellMar>
            <w:top w:w="0" w:type="dxa"/>
            <w:left w:w="108" w:type="dxa"/>
            <w:bottom w:w="0" w:type="dxa"/>
            <w:right w:w="108" w:type="dxa"/>
          </w:tblCellMar>
        </w:tblPrEx>
        <w:trPr>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48A3BCE">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4A4DCC73">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000EDD00">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0160BF6C">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76AB3E7A">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14CABB69">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0F5B251C">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244D87AF">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0663DAD0">
        <w:tblPrEx>
          <w:tblCellMar>
            <w:top w:w="0" w:type="dxa"/>
            <w:left w:w="108" w:type="dxa"/>
            <w:bottom w:w="0" w:type="dxa"/>
            <w:right w:w="108" w:type="dxa"/>
          </w:tblCellMar>
        </w:tblPrEx>
        <w:trPr>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388BA57">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4014976F">
            <w:pPr>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52A7E7AB">
            <w:pPr>
              <w:jc w:val="center"/>
              <w:rPr>
                <w:rFonts w:hint="eastAsia" w:ascii="宋体" w:hAnsi="宋体" w:eastAsia="宋体" w:cs="宋体"/>
                <w:sz w:val="18"/>
                <w:szCs w:val="18"/>
              </w:rPr>
            </w:pPr>
            <w:r>
              <w:rPr>
                <w:rFonts w:hint="eastAsia" w:ascii="宋体" w:hAnsi="宋体" w:eastAsia="宋体" w:cs="宋体"/>
                <w:sz w:val="18"/>
                <w:szCs w:val="18"/>
              </w:rPr>
              <w:t>596.88</w:t>
            </w:r>
          </w:p>
        </w:tc>
        <w:tc>
          <w:tcPr>
            <w:tcW w:w="1276" w:type="dxa"/>
            <w:tcBorders>
              <w:top w:val="nil"/>
              <w:left w:val="nil"/>
              <w:bottom w:val="single" w:color="auto" w:sz="4" w:space="0"/>
              <w:right w:val="single" w:color="auto" w:sz="4" w:space="0"/>
            </w:tcBorders>
            <w:vAlign w:val="center"/>
          </w:tcPr>
          <w:p w14:paraId="7805C3C3">
            <w:pPr>
              <w:jc w:val="center"/>
              <w:rPr>
                <w:rFonts w:hint="eastAsia" w:ascii="宋体" w:hAnsi="宋体" w:eastAsia="宋体" w:cs="宋体"/>
                <w:sz w:val="18"/>
                <w:szCs w:val="18"/>
              </w:rPr>
            </w:pPr>
            <w:r>
              <w:rPr>
                <w:rFonts w:hint="eastAsia" w:ascii="宋体" w:hAnsi="宋体" w:eastAsia="宋体" w:cs="宋体"/>
                <w:sz w:val="18"/>
                <w:szCs w:val="18"/>
              </w:rPr>
              <w:t>862.90</w:t>
            </w:r>
          </w:p>
        </w:tc>
        <w:tc>
          <w:tcPr>
            <w:tcW w:w="1701" w:type="dxa"/>
            <w:tcBorders>
              <w:top w:val="nil"/>
              <w:left w:val="nil"/>
              <w:bottom w:val="single" w:color="auto" w:sz="4" w:space="0"/>
              <w:right w:val="single" w:color="auto" w:sz="4" w:space="0"/>
            </w:tcBorders>
            <w:vAlign w:val="center"/>
          </w:tcPr>
          <w:p w14:paraId="46CD81F5">
            <w:pPr>
              <w:jc w:val="center"/>
              <w:rPr>
                <w:rFonts w:hint="eastAsia" w:ascii="宋体" w:hAnsi="宋体" w:eastAsia="宋体" w:cs="宋体"/>
                <w:sz w:val="18"/>
                <w:szCs w:val="18"/>
              </w:rPr>
            </w:pPr>
            <w:r>
              <w:rPr>
                <w:rFonts w:hint="eastAsia" w:ascii="宋体" w:hAnsi="宋体" w:eastAsia="宋体" w:cs="宋体"/>
                <w:sz w:val="18"/>
                <w:szCs w:val="18"/>
              </w:rPr>
              <w:t>862.90</w:t>
            </w:r>
          </w:p>
        </w:tc>
        <w:tc>
          <w:tcPr>
            <w:tcW w:w="1134" w:type="dxa"/>
            <w:tcBorders>
              <w:top w:val="nil"/>
              <w:left w:val="nil"/>
              <w:bottom w:val="single" w:color="auto" w:sz="4" w:space="0"/>
              <w:right w:val="single" w:color="auto" w:sz="4" w:space="0"/>
            </w:tcBorders>
            <w:vAlign w:val="center"/>
          </w:tcPr>
          <w:p w14:paraId="7BA200A6">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287443C4">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009F4022">
            <w:pPr>
              <w:jc w:val="center"/>
              <w:rPr>
                <w:rFonts w:hint="eastAsia" w:ascii="宋体" w:hAnsi="宋体" w:eastAsia="宋体" w:cs="宋体"/>
                <w:sz w:val="18"/>
                <w:szCs w:val="18"/>
              </w:rPr>
            </w:pPr>
            <w:r>
              <w:rPr>
                <w:rFonts w:hint="eastAsia" w:ascii="宋体" w:hAnsi="宋体" w:eastAsia="宋体" w:cs="宋体"/>
                <w:sz w:val="18"/>
                <w:szCs w:val="18"/>
              </w:rPr>
              <w:t>10</w:t>
            </w:r>
          </w:p>
        </w:tc>
      </w:tr>
      <w:tr w14:paraId="3320AF3D">
        <w:tblPrEx>
          <w:tblCellMar>
            <w:top w:w="0" w:type="dxa"/>
            <w:left w:w="108" w:type="dxa"/>
            <w:bottom w:w="0" w:type="dxa"/>
            <w:right w:w="108" w:type="dxa"/>
          </w:tblCellMar>
        </w:tblPrEx>
        <w:trPr>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973AA03">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C66ACDA">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6702BE0C">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6B19A885">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701" w:type="dxa"/>
            <w:tcBorders>
              <w:top w:val="nil"/>
              <w:left w:val="nil"/>
              <w:bottom w:val="single" w:color="auto" w:sz="4" w:space="0"/>
              <w:right w:val="single" w:color="auto" w:sz="4" w:space="0"/>
            </w:tcBorders>
            <w:vAlign w:val="center"/>
          </w:tcPr>
          <w:p w14:paraId="3A44C34E">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0B50ECF4">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12933C7A">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259B9B84">
            <w:pPr>
              <w:jc w:val="center"/>
              <w:rPr>
                <w:rFonts w:hint="eastAsia" w:ascii="宋体" w:hAnsi="宋体" w:eastAsia="宋体" w:cs="宋体"/>
                <w:sz w:val="18"/>
                <w:szCs w:val="18"/>
              </w:rPr>
            </w:pPr>
            <w:r>
              <w:rPr>
                <w:rFonts w:hint="eastAsia" w:ascii="宋体" w:hAnsi="宋体" w:eastAsia="宋体"/>
                <w:sz w:val="18"/>
                <w:szCs w:val="18"/>
              </w:rPr>
              <w:t>-</w:t>
            </w:r>
          </w:p>
        </w:tc>
      </w:tr>
      <w:tr w14:paraId="4D5E12F7">
        <w:tblPrEx>
          <w:tblCellMar>
            <w:top w:w="0" w:type="dxa"/>
            <w:left w:w="108" w:type="dxa"/>
            <w:bottom w:w="0" w:type="dxa"/>
            <w:right w:w="108" w:type="dxa"/>
          </w:tblCellMar>
        </w:tblPrEx>
        <w:trPr>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E7A93DA">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D9FAC00">
            <w:pPr>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00117157">
            <w:pPr>
              <w:jc w:val="center"/>
              <w:rPr>
                <w:rFonts w:hint="eastAsia" w:ascii="宋体" w:hAnsi="宋体" w:eastAsia="宋体" w:cs="宋体"/>
                <w:sz w:val="18"/>
                <w:szCs w:val="18"/>
              </w:rPr>
            </w:pPr>
            <w:r>
              <w:rPr>
                <w:rFonts w:hint="eastAsia" w:ascii="宋体" w:hAnsi="宋体" w:eastAsia="宋体" w:cs="宋体"/>
                <w:sz w:val="18"/>
                <w:szCs w:val="18"/>
              </w:rPr>
              <w:t>201.00</w:t>
            </w:r>
          </w:p>
        </w:tc>
        <w:tc>
          <w:tcPr>
            <w:tcW w:w="1276" w:type="dxa"/>
            <w:tcBorders>
              <w:top w:val="nil"/>
              <w:left w:val="nil"/>
              <w:bottom w:val="single" w:color="auto" w:sz="4" w:space="0"/>
              <w:right w:val="single" w:color="auto" w:sz="4" w:space="0"/>
            </w:tcBorders>
            <w:vAlign w:val="center"/>
          </w:tcPr>
          <w:p w14:paraId="208253C0">
            <w:pPr>
              <w:jc w:val="center"/>
              <w:rPr>
                <w:rFonts w:hint="eastAsia" w:ascii="宋体" w:hAnsi="宋体" w:eastAsia="宋体" w:cs="宋体"/>
                <w:sz w:val="18"/>
                <w:szCs w:val="18"/>
              </w:rPr>
            </w:pPr>
            <w:r>
              <w:rPr>
                <w:rFonts w:hint="eastAsia" w:ascii="宋体" w:hAnsi="宋体" w:eastAsia="宋体" w:cs="宋体"/>
                <w:sz w:val="18"/>
                <w:szCs w:val="18"/>
              </w:rPr>
              <w:t>862.90</w:t>
            </w:r>
          </w:p>
        </w:tc>
        <w:tc>
          <w:tcPr>
            <w:tcW w:w="1701" w:type="dxa"/>
            <w:tcBorders>
              <w:top w:val="nil"/>
              <w:left w:val="nil"/>
              <w:bottom w:val="single" w:color="auto" w:sz="4" w:space="0"/>
              <w:right w:val="single" w:color="auto" w:sz="4" w:space="0"/>
            </w:tcBorders>
            <w:vAlign w:val="center"/>
          </w:tcPr>
          <w:p w14:paraId="40C0CD3D">
            <w:pPr>
              <w:jc w:val="center"/>
              <w:rPr>
                <w:rFonts w:hint="eastAsia" w:ascii="宋体" w:hAnsi="宋体" w:eastAsia="宋体" w:cs="宋体"/>
                <w:sz w:val="18"/>
                <w:szCs w:val="18"/>
              </w:rPr>
            </w:pPr>
            <w:r>
              <w:rPr>
                <w:rFonts w:hint="eastAsia" w:ascii="宋体" w:hAnsi="宋体" w:eastAsia="宋体" w:cs="宋体"/>
                <w:sz w:val="18"/>
                <w:szCs w:val="18"/>
              </w:rPr>
              <w:t>862.90</w:t>
            </w:r>
          </w:p>
        </w:tc>
        <w:tc>
          <w:tcPr>
            <w:tcW w:w="1134" w:type="dxa"/>
            <w:tcBorders>
              <w:top w:val="nil"/>
              <w:left w:val="nil"/>
              <w:bottom w:val="single" w:color="auto" w:sz="4" w:space="0"/>
              <w:right w:val="single" w:color="auto" w:sz="4" w:space="0"/>
            </w:tcBorders>
            <w:vAlign w:val="center"/>
          </w:tcPr>
          <w:p w14:paraId="242A46CE">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049CA68B">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A8BA9CE">
            <w:pPr>
              <w:jc w:val="center"/>
              <w:rPr>
                <w:rFonts w:hint="eastAsia" w:ascii="宋体" w:hAnsi="宋体" w:eastAsia="宋体" w:cs="宋体"/>
                <w:sz w:val="18"/>
                <w:szCs w:val="18"/>
              </w:rPr>
            </w:pPr>
            <w:r>
              <w:rPr>
                <w:rFonts w:hint="eastAsia" w:ascii="宋体" w:hAnsi="宋体" w:eastAsia="宋体"/>
                <w:sz w:val="18"/>
                <w:szCs w:val="18"/>
              </w:rPr>
              <w:t>-</w:t>
            </w:r>
          </w:p>
        </w:tc>
      </w:tr>
      <w:tr w14:paraId="5D6481BF">
        <w:tblPrEx>
          <w:tblCellMar>
            <w:top w:w="0" w:type="dxa"/>
            <w:left w:w="108" w:type="dxa"/>
            <w:bottom w:w="0" w:type="dxa"/>
            <w:right w:w="108" w:type="dxa"/>
          </w:tblCellMar>
        </w:tblPrEx>
        <w:trPr>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D32F0AD">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40FA2E16">
            <w:pPr>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4F33E81C">
            <w:pPr>
              <w:jc w:val="center"/>
              <w:rPr>
                <w:rFonts w:hint="eastAsia" w:ascii="宋体" w:hAnsi="宋体" w:eastAsia="宋体" w:cs="宋体"/>
                <w:sz w:val="18"/>
                <w:szCs w:val="18"/>
              </w:rPr>
            </w:pPr>
            <w:r>
              <w:rPr>
                <w:rFonts w:hint="eastAsia" w:ascii="宋体" w:hAnsi="宋体" w:eastAsia="宋体" w:cs="宋体"/>
                <w:sz w:val="18"/>
                <w:szCs w:val="18"/>
              </w:rPr>
              <w:t>395.88</w:t>
            </w:r>
          </w:p>
        </w:tc>
        <w:tc>
          <w:tcPr>
            <w:tcW w:w="1276" w:type="dxa"/>
            <w:tcBorders>
              <w:top w:val="nil"/>
              <w:left w:val="nil"/>
              <w:bottom w:val="single" w:color="auto" w:sz="4" w:space="0"/>
              <w:right w:val="single" w:color="auto" w:sz="4" w:space="0"/>
            </w:tcBorders>
            <w:vAlign w:val="center"/>
          </w:tcPr>
          <w:p w14:paraId="11924B6E">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701" w:type="dxa"/>
            <w:tcBorders>
              <w:top w:val="nil"/>
              <w:left w:val="nil"/>
              <w:bottom w:val="single" w:color="auto" w:sz="4" w:space="0"/>
              <w:right w:val="single" w:color="auto" w:sz="4" w:space="0"/>
            </w:tcBorders>
            <w:vAlign w:val="center"/>
          </w:tcPr>
          <w:p w14:paraId="12BDC5EA">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6B625FC1">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0F894F5E">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07DFC809">
            <w:pPr>
              <w:jc w:val="center"/>
              <w:rPr>
                <w:rFonts w:hint="eastAsia" w:ascii="宋体" w:hAnsi="宋体" w:eastAsia="宋体" w:cs="宋体"/>
                <w:sz w:val="18"/>
                <w:szCs w:val="18"/>
              </w:rPr>
            </w:pPr>
            <w:r>
              <w:rPr>
                <w:rFonts w:hint="eastAsia" w:ascii="宋体" w:hAnsi="宋体" w:eastAsia="宋体" w:cs="宋体"/>
                <w:sz w:val="18"/>
                <w:szCs w:val="18"/>
              </w:rPr>
              <w:t>-</w:t>
            </w:r>
          </w:p>
        </w:tc>
      </w:tr>
      <w:tr w14:paraId="37041ABD">
        <w:tblPrEx>
          <w:tblCellMar>
            <w:top w:w="0" w:type="dxa"/>
            <w:left w:w="108" w:type="dxa"/>
            <w:bottom w:w="0" w:type="dxa"/>
            <w:right w:w="108" w:type="dxa"/>
          </w:tblCellMar>
        </w:tblPrEx>
        <w:trPr>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735B8A8">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33B07C71">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2CDC7208">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496CE524">
        <w:tblPrEx>
          <w:tblCellMar>
            <w:top w:w="0" w:type="dxa"/>
            <w:left w:w="108" w:type="dxa"/>
            <w:bottom w:w="0" w:type="dxa"/>
            <w:right w:w="108" w:type="dxa"/>
          </w:tblCellMar>
        </w:tblPrEx>
        <w:trPr>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8A5B414">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0B71F107">
            <w:pPr>
              <w:rPr>
                <w:rFonts w:hint="eastAsia" w:ascii="宋体" w:hAnsi="宋体" w:eastAsia="宋体" w:cs="宋体"/>
                <w:sz w:val="18"/>
                <w:szCs w:val="18"/>
                <w:lang w:eastAsia="zh-CN"/>
              </w:rPr>
            </w:pPr>
            <w:r>
              <w:rPr>
                <w:rFonts w:hint="eastAsia" w:ascii="宋体" w:hAnsi="宋体" w:eastAsia="宋体" w:cs="宋体"/>
                <w:sz w:val="18"/>
                <w:szCs w:val="18"/>
                <w:lang w:eastAsia="zh-CN"/>
              </w:rPr>
              <w:t>一、主要职能米东区民族宗教事务局贯彻落实党中央、自治区党委、市委关于民族宗教工作的方针政策和决策部署以及区委工作要求，在履行职责过程中坚持和加强党对民族宗教工作的集中统一领导。主要职责是：（一）贯彻执行国家、自治区和我市有关民族、宗教工作的方针、政策和法律、法规，起草有关政策措施，组织编制民族、宗教工作中长期规划和年度计划，并组织实施。（二）组织开展民族宗教理论、政策及重大问题的调查研究，并提出相关政策建议；负责民族、宗教工作相关法律、法规和政策的宣传教育及落实情况的督促检查。（三）负责协调推动有关部门履行民族工作相关职责，促进民族政策在经济发展和社会事业有关领域的实施、衔接；监督实施和完善少数民族区域自治制度建设，保障少数民族合法权益。（四）研究提出协调民族关系的工作建议，协调处理民族关系中的重要事项，参与维护社会稳定工作；指导协调民族团结进步工作，加强民族团结宣传教育，组织开展民族团结进步创建、表彰活动，协调处理民族团结进步创建活动中的重大问题。（五）参与拟订经济社会相关领域的发展规划；研究分析少数民族经济发展、社会事业方面的问题，并提出政策建议；承担民族贸易和民族特需商品生产的有关工作；促进建立和完善少数民族事业发展综合评价监测体系，组织实施民族事务服务体系和民族事务管理信息化建设；负责权限内清真食品生产经营监督管理工作。（六）研究涉及民族宗教方面突发事件的预警、应急机制问题，承担有关协调处理工作；协助有关部门加强对少数民族流动人口的服务和管理。（七）承担依法管理宗教事务的责任，依法保护公民宗教信仰自由和正常合法宗教活动；维护宗教界合法权益，促进宗教和睦和谐；加强创新宗教活动的教育管理服务，监督、检查、指导宗教活动教育管理服务管委会的工作。（八）指导宗教团体依法依章开展活动；支持宗教团体加强自身建设；推动宗教团体在宗教界开展爱国主义、社会主义、维护祖国统一和民族团结的自我教育；办理宗教团体需由政府解决或协调的有关事务。（九）指导乡镇（片区）依法履行管理职能，协助乡镇（片区）处理宗教方面的重要问题，防范利用宗教进行的非法、违法活动，抵御境外利用宗教进行的渗透活动。（十）负责组织协调民族宗教工作领域有关对外交流与合作；参与涉及民族宗教事务的对外宣传工作；指导宗教界依法开展对外友好交往活动；会同有关部门处理民族宗教方面的涉外事宜；负责朝觐的管理工作。（十一）参与拟订少数民族人才队伍建设规划，联系少数民族干部，协助有关部门做好少数民族干部的培养、教育和使用工作。（十二）承办区委、区人民政府交办的其他事项。二、我单位2024年重点工作计划因涉密，暂不公开。</w:t>
            </w:r>
          </w:p>
        </w:tc>
        <w:tc>
          <w:tcPr>
            <w:tcW w:w="4547" w:type="dxa"/>
            <w:gridSpan w:val="4"/>
            <w:tcBorders>
              <w:top w:val="single" w:color="auto" w:sz="4" w:space="0"/>
              <w:left w:val="nil"/>
              <w:bottom w:val="single" w:color="auto" w:sz="4" w:space="0"/>
              <w:right w:val="single" w:color="auto" w:sz="4" w:space="0"/>
            </w:tcBorders>
          </w:tcPr>
          <w:p w14:paraId="0D1E544A">
            <w:pPr>
              <w:rPr>
                <w:rFonts w:hint="eastAsia" w:ascii="宋体" w:hAnsi="宋体" w:eastAsia="宋体" w:cs="宋体"/>
                <w:sz w:val="18"/>
                <w:szCs w:val="18"/>
                <w:lang w:eastAsia="zh-CN"/>
              </w:rPr>
            </w:pPr>
            <w:r>
              <w:rPr>
                <w:rFonts w:hint="eastAsia" w:ascii="宋体" w:hAnsi="宋体" w:eastAsia="宋体" w:cs="宋体"/>
                <w:sz w:val="18"/>
                <w:szCs w:val="18"/>
                <w:lang w:eastAsia="zh-CN"/>
              </w:rPr>
              <w:t>通过科学制定区民宗局工作计划，编制经费预算和规范执行，保障单位在职人员的正常办公和生活秩序，确保各项工作有序，有效开展。贯彻执行党和国家、省、市区有关民族宗教事务：检查、监督民族、宗教政策和法规的贯彻执行情况。年初设立3项绩效指标，指标一：完成开展“宗教人士培训”，预期指标值≥30课时。全年完成152场次，通过开展宗教人士培训，增强了法治意识，促进宗教和谐，提高宗教事务能力，提高了自我管理能力，促进人才队伍整体素质的全面提。指标值二，审核核发清真标识牌工作日，预期指标值&lt;=10日。截至年底，我单位已完成。指标三：创建市级民族团结进步示范区示范单位，预期指标值≥80%，截止年底，指标值为0.原因为根据乌民创办发【2024】2号文件要求，暂停申报，后期根据市创建办创建任务，持续有效开展创建工作。</w:t>
            </w:r>
          </w:p>
        </w:tc>
      </w:tr>
      <w:tr w14:paraId="6A9936FE">
        <w:tblPrEx>
          <w:tblCellMar>
            <w:top w:w="0" w:type="dxa"/>
            <w:left w:w="108" w:type="dxa"/>
            <w:bottom w:w="0" w:type="dxa"/>
            <w:right w:w="108" w:type="dxa"/>
          </w:tblCellMar>
        </w:tblPrEx>
        <w:trPr>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39216A5F">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237EE75D">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57F9849E">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0127B411">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5F869B15">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2DCD094A">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2247ECB4">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123E8D2A">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1BB2133B">
        <w:tblPrEx>
          <w:tblCellMar>
            <w:top w:w="0" w:type="dxa"/>
            <w:left w:w="108" w:type="dxa"/>
            <w:bottom w:w="0" w:type="dxa"/>
            <w:right w:w="108" w:type="dxa"/>
          </w:tblCellMar>
        </w:tblPrEx>
        <w:trPr>
          <w:trHeight w:val="740" w:hRule="atLeast"/>
        </w:trPr>
        <w:tc>
          <w:tcPr>
            <w:tcW w:w="993" w:type="dxa"/>
            <w:vMerge w:val="restart"/>
            <w:tcBorders>
              <w:top w:val="single" w:color="auto" w:sz="4" w:space="0"/>
              <w:left w:val="single" w:color="auto" w:sz="4" w:space="0"/>
              <w:right w:val="single" w:color="auto" w:sz="4" w:space="0"/>
            </w:tcBorders>
            <w:noWrap/>
            <w:vAlign w:val="center"/>
          </w:tcPr>
          <w:p w14:paraId="3E721FD1">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tcBorders>
              <w:top w:val="nil"/>
              <w:left w:val="nil"/>
              <w:bottom w:val="single" w:color="auto" w:sz="4" w:space="0"/>
              <w:right w:val="single" w:color="auto" w:sz="4" w:space="0"/>
            </w:tcBorders>
            <w:noWrap/>
            <w:vAlign w:val="center"/>
          </w:tcPr>
          <w:p w14:paraId="4A665211">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62A71825">
            <w:pPr>
              <w:jc w:val="center"/>
              <w:rPr>
                <w:rFonts w:hint="eastAsia" w:ascii="宋体" w:hAnsi="宋体" w:eastAsia="宋体" w:cs="宋体"/>
                <w:sz w:val="18"/>
                <w:szCs w:val="18"/>
              </w:rPr>
            </w:pPr>
            <w:r>
              <w:rPr>
                <w:rFonts w:hint="eastAsia" w:ascii="宋体" w:hAnsi="宋体" w:eastAsia="宋体" w:cs="宋体"/>
                <w:sz w:val="18"/>
                <w:szCs w:val="18"/>
              </w:rPr>
              <w:t>宗教人士培训</w:t>
            </w:r>
          </w:p>
        </w:tc>
        <w:tc>
          <w:tcPr>
            <w:tcW w:w="1276" w:type="dxa"/>
            <w:tcBorders>
              <w:top w:val="nil"/>
              <w:left w:val="nil"/>
              <w:bottom w:val="single" w:color="auto" w:sz="4" w:space="0"/>
              <w:right w:val="single" w:color="auto" w:sz="4" w:space="0"/>
            </w:tcBorders>
            <w:noWrap/>
            <w:vAlign w:val="center"/>
          </w:tcPr>
          <w:p w14:paraId="3559D9F9">
            <w:pPr>
              <w:jc w:val="center"/>
              <w:rPr>
                <w:rFonts w:hint="eastAsia" w:ascii="宋体" w:hAnsi="宋体" w:eastAsia="宋体" w:cs="宋体"/>
                <w:sz w:val="18"/>
                <w:szCs w:val="18"/>
              </w:rPr>
            </w:pPr>
            <w:r>
              <w:rPr>
                <w:rFonts w:hint="eastAsia" w:ascii="宋体" w:hAnsi="宋体" w:eastAsia="宋体" w:cs="宋体"/>
                <w:sz w:val="18"/>
                <w:szCs w:val="18"/>
              </w:rPr>
              <w:t>&gt;=30课时</w:t>
            </w:r>
          </w:p>
        </w:tc>
        <w:tc>
          <w:tcPr>
            <w:tcW w:w="1701" w:type="dxa"/>
            <w:tcBorders>
              <w:top w:val="nil"/>
              <w:left w:val="nil"/>
              <w:bottom w:val="single" w:color="auto" w:sz="4" w:space="0"/>
              <w:right w:val="single" w:color="auto" w:sz="4" w:space="0"/>
            </w:tcBorders>
            <w:noWrap/>
            <w:vAlign w:val="center"/>
          </w:tcPr>
          <w:p w14:paraId="2E114B77">
            <w:pPr>
              <w:rPr>
                <w:rFonts w:hint="eastAsia" w:ascii="宋体" w:hAnsi="宋体" w:eastAsia="宋体" w:cs="宋体"/>
                <w:sz w:val="18"/>
                <w:szCs w:val="18"/>
              </w:rPr>
            </w:pPr>
            <w:r>
              <w:rPr>
                <w:rFonts w:hint="eastAsia" w:ascii="宋体" w:hAnsi="宋体" w:eastAsia="宋体" w:cs="宋体"/>
                <w:sz w:val="18"/>
                <w:szCs w:val="18"/>
              </w:rPr>
              <w:t>2024年宗教人士培训计划</w:t>
            </w:r>
          </w:p>
        </w:tc>
        <w:tc>
          <w:tcPr>
            <w:tcW w:w="1134" w:type="dxa"/>
            <w:tcBorders>
              <w:top w:val="nil"/>
              <w:left w:val="nil"/>
              <w:bottom w:val="single" w:color="auto" w:sz="4" w:space="0"/>
              <w:right w:val="single" w:color="auto" w:sz="4" w:space="0"/>
            </w:tcBorders>
            <w:noWrap/>
            <w:vAlign w:val="center"/>
          </w:tcPr>
          <w:p w14:paraId="5CE5C1B0">
            <w:pPr>
              <w:jc w:val="center"/>
              <w:rPr>
                <w:rFonts w:hint="eastAsia" w:ascii="宋体" w:hAnsi="宋体" w:eastAsia="宋体" w:cs="宋体"/>
                <w:sz w:val="18"/>
                <w:szCs w:val="18"/>
              </w:rPr>
            </w:pPr>
            <w:r>
              <w:rPr>
                <w:rFonts w:hint="eastAsia" w:ascii="宋体" w:hAnsi="宋体" w:eastAsia="宋体" w:cs="宋体"/>
                <w:sz w:val="18"/>
                <w:szCs w:val="18"/>
              </w:rPr>
              <w:t>152</w:t>
            </w:r>
          </w:p>
        </w:tc>
        <w:tc>
          <w:tcPr>
            <w:tcW w:w="992" w:type="dxa"/>
            <w:tcBorders>
              <w:top w:val="nil"/>
              <w:left w:val="nil"/>
              <w:bottom w:val="single" w:color="auto" w:sz="4" w:space="0"/>
              <w:right w:val="single" w:color="auto" w:sz="4" w:space="0"/>
            </w:tcBorders>
            <w:noWrap/>
            <w:vAlign w:val="center"/>
          </w:tcPr>
          <w:p w14:paraId="1B4318D0">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00A33F6D">
            <w:pPr>
              <w:jc w:val="center"/>
              <w:rPr>
                <w:rFonts w:hint="eastAsia" w:ascii="宋体" w:hAnsi="宋体" w:eastAsia="宋体" w:cs="宋体"/>
                <w:sz w:val="18"/>
                <w:szCs w:val="18"/>
              </w:rPr>
            </w:pPr>
            <w:r>
              <w:rPr>
                <w:rFonts w:hint="eastAsia" w:ascii="宋体" w:hAnsi="宋体" w:eastAsia="宋体" w:cs="宋体"/>
                <w:sz w:val="18"/>
                <w:szCs w:val="18"/>
              </w:rPr>
              <w:t>30</w:t>
            </w:r>
          </w:p>
        </w:tc>
      </w:tr>
      <w:tr w14:paraId="52FA8DB5">
        <w:tblPrEx>
          <w:tblCellMar>
            <w:top w:w="0" w:type="dxa"/>
            <w:left w:w="108" w:type="dxa"/>
            <w:bottom w:w="0" w:type="dxa"/>
            <w:right w:w="108" w:type="dxa"/>
          </w:tblCellMar>
        </w:tblPrEx>
        <w:trPr>
          <w:trHeight w:val="740" w:hRule="atLeast"/>
        </w:trPr>
        <w:tc>
          <w:tcPr>
            <w:tcW w:w="993" w:type="dxa"/>
            <w:vMerge w:val="continue"/>
            <w:tcBorders>
              <w:left w:val="single" w:color="auto" w:sz="4" w:space="0"/>
              <w:right w:val="single" w:color="auto" w:sz="4" w:space="0"/>
            </w:tcBorders>
            <w:noWrap/>
            <w:vAlign w:val="center"/>
          </w:tcPr>
          <w:p w14:paraId="3E80E84F">
            <w:pPr>
              <w:jc w:val="center"/>
              <w:rPr>
                <w:rFonts w:hint="eastAsia" w:ascii="宋体" w:hAnsi="宋体" w:eastAsia="宋体" w:cs="宋体"/>
                <w:sz w:val="18"/>
                <w:szCs w:val="18"/>
              </w:rPr>
            </w:pPr>
          </w:p>
        </w:tc>
        <w:tc>
          <w:tcPr>
            <w:tcW w:w="1417" w:type="dxa"/>
            <w:tcBorders>
              <w:top w:val="nil"/>
              <w:left w:val="nil"/>
              <w:bottom w:val="single" w:color="auto" w:sz="4" w:space="0"/>
              <w:right w:val="single" w:color="auto" w:sz="4" w:space="0"/>
            </w:tcBorders>
            <w:noWrap/>
            <w:vAlign w:val="center"/>
          </w:tcPr>
          <w:p w14:paraId="789265CA">
            <w:pPr>
              <w:jc w:val="center"/>
              <w:rPr>
                <w:rFonts w:hint="eastAsia" w:ascii="宋体" w:hAnsi="宋体" w:eastAsia="宋体" w:cs="宋体"/>
                <w:sz w:val="18"/>
                <w:szCs w:val="18"/>
              </w:rPr>
            </w:pPr>
            <w:r>
              <w:rPr>
                <w:rFonts w:hint="eastAsia" w:ascii="宋体" w:hAnsi="宋体" w:eastAsia="宋体" w:cs="宋体"/>
                <w:sz w:val="18"/>
                <w:szCs w:val="18"/>
              </w:rPr>
              <w:t>时效指标</w:t>
            </w:r>
          </w:p>
        </w:tc>
        <w:tc>
          <w:tcPr>
            <w:tcW w:w="1418" w:type="dxa"/>
            <w:tcBorders>
              <w:top w:val="nil"/>
              <w:left w:val="nil"/>
              <w:bottom w:val="single" w:color="auto" w:sz="4" w:space="0"/>
              <w:right w:val="single" w:color="auto" w:sz="4" w:space="0"/>
            </w:tcBorders>
            <w:noWrap/>
            <w:vAlign w:val="center"/>
          </w:tcPr>
          <w:p w14:paraId="5EBAF419">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审核核发清真标识牌工作日</w:t>
            </w:r>
          </w:p>
        </w:tc>
        <w:tc>
          <w:tcPr>
            <w:tcW w:w="1276" w:type="dxa"/>
            <w:tcBorders>
              <w:top w:val="nil"/>
              <w:left w:val="nil"/>
              <w:bottom w:val="single" w:color="auto" w:sz="4" w:space="0"/>
              <w:right w:val="single" w:color="auto" w:sz="4" w:space="0"/>
            </w:tcBorders>
            <w:noWrap/>
            <w:vAlign w:val="center"/>
          </w:tcPr>
          <w:p w14:paraId="162EB05F">
            <w:pPr>
              <w:jc w:val="center"/>
              <w:rPr>
                <w:rFonts w:hint="eastAsia" w:ascii="宋体" w:hAnsi="宋体" w:eastAsia="宋体" w:cs="宋体"/>
                <w:sz w:val="18"/>
                <w:szCs w:val="18"/>
              </w:rPr>
            </w:pPr>
            <w:r>
              <w:rPr>
                <w:rFonts w:hint="eastAsia" w:ascii="宋体" w:hAnsi="宋体" w:eastAsia="宋体" w:cs="宋体"/>
                <w:sz w:val="18"/>
                <w:szCs w:val="18"/>
              </w:rPr>
              <w:t>&lt;=10日</w:t>
            </w:r>
          </w:p>
        </w:tc>
        <w:tc>
          <w:tcPr>
            <w:tcW w:w="1701" w:type="dxa"/>
            <w:tcBorders>
              <w:top w:val="nil"/>
              <w:left w:val="nil"/>
              <w:bottom w:val="single" w:color="auto" w:sz="4" w:space="0"/>
              <w:right w:val="single" w:color="auto" w:sz="4" w:space="0"/>
            </w:tcBorders>
            <w:noWrap/>
            <w:vAlign w:val="center"/>
          </w:tcPr>
          <w:p w14:paraId="1C43C997">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《新疆维吾尔自治区清真食品管理条例》</w:t>
            </w:r>
          </w:p>
        </w:tc>
        <w:tc>
          <w:tcPr>
            <w:tcW w:w="1134" w:type="dxa"/>
            <w:tcBorders>
              <w:top w:val="nil"/>
              <w:left w:val="nil"/>
              <w:bottom w:val="single" w:color="auto" w:sz="4" w:space="0"/>
              <w:right w:val="single" w:color="auto" w:sz="4" w:space="0"/>
            </w:tcBorders>
            <w:noWrap/>
            <w:vAlign w:val="center"/>
          </w:tcPr>
          <w:p w14:paraId="0B04D28A">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noWrap/>
            <w:vAlign w:val="center"/>
          </w:tcPr>
          <w:p w14:paraId="399C5249">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6BA41A84">
            <w:pPr>
              <w:jc w:val="center"/>
              <w:rPr>
                <w:rFonts w:hint="eastAsia" w:ascii="宋体" w:hAnsi="宋体" w:eastAsia="宋体" w:cs="宋体"/>
                <w:sz w:val="18"/>
                <w:szCs w:val="18"/>
              </w:rPr>
            </w:pPr>
            <w:r>
              <w:rPr>
                <w:rFonts w:hint="eastAsia" w:ascii="宋体" w:hAnsi="宋体" w:eastAsia="宋体" w:cs="宋体"/>
                <w:sz w:val="18"/>
                <w:szCs w:val="18"/>
              </w:rPr>
              <w:t>30</w:t>
            </w:r>
          </w:p>
        </w:tc>
      </w:tr>
      <w:tr w14:paraId="06AD3914">
        <w:tblPrEx>
          <w:tblCellMar>
            <w:top w:w="0" w:type="dxa"/>
            <w:left w:w="108" w:type="dxa"/>
            <w:bottom w:w="0" w:type="dxa"/>
            <w:right w:w="108" w:type="dxa"/>
          </w:tblCellMar>
        </w:tblPrEx>
        <w:trPr>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13F5C251">
            <w:pPr>
              <w:jc w:val="center"/>
              <w:rPr>
                <w:rFonts w:hint="eastAsia" w:ascii="宋体" w:hAnsi="宋体" w:eastAsia="宋体" w:cs="宋体"/>
                <w:sz w:val="18"/>
                <w:szCs w:val="18"/>
              </w:rPr>
            </w:pPr>
          </w:p>
        </w:tc>
        <w:tc>
          <w:tcPr>
            <w:tcW w:w="1417" w:type="dxa"/>
            <w:tcBorders>
              <w:top w:val="single" w:color="auto" w:sz="4" w:space="0"/>
              <w:left w:val="nil"/>
              <w:bottom w:val="single" w:color="auto" w:sz="4" w:space="0"/>
              <w:right w:val="single" w:color="auto" w:sz="4" w:space="0"/>
            </w:tcBorders>
            <w:noWrap/>
            <w:vAlign w:val="center"/>
          </w:tcPr>
          <w:p w14:paraId="4BA7B113">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single" w:color="auto" w:sz="4" w:space="0"/>
              <w:left w:val="nil"/>
              <w:bottom w:val="single" w:color="auto" w:sz="4" w:space="0"/>
              <w:right w:val="single" w:color="auto" w:sz="4" w:space="0"/>
            </w:tcBorders>
            <w:noWrap/>
            <w:vAlign w:val="center"/>
          </w:tcPr>
          <w:p w14:paraId="2C32B562">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市级民族团结示范单位创建率</w:t>
            </w:r>
          </w:p>
        </w:tc>
        <w:tc>
          <w:tcPr>
            <w:tcW w:w="1276" w:type="dxa"/>
            <w:tcBorders>
              <w:top w:val="single" w:color="auto" w:sz="4" w:space="0"/>
              <w:left w:val="nil"/>
              <w:bottom w:val="single" w:color="auto" w:sz="4" w:space="0"/>
              <w:right w:val="single" w:color="auto" w:sz="4" w:space="0"/>
            </w:tcBorders>
            <w:noWrap/>
            <w:vAlign w:val="center"/>
          </w:tcPr>
          <w:p w14:paraId="73F63617">
            <w:pPr>
              <w:jc w:val="center"/>
              <w:rPr>
                <w:rFonts w:hint="eastAsia" w:ascii="宋体" w:hAnsi="宋体" w:eastAsia="宋体" w:cs="宋体"/>
                <w:sz w:val="18"/>
                <w:szCs w:val="18"/>
              </w:rPr>
            </w:pPr>
            <w:r>
              <w:rPr>
                <w:rFonts w:hint="eastAsia" w:ascii="宋体" w:hAnsi="宋体" w:eastAsia="宋体" w:cs="宋体"/>
                <w:sz w:val="18"/>
                <w:szCs w:val="18"/>
              </w:rPr>
              <w:t>&gt;=80%</w:t>
            </w:r>
          </w:p>
        </w:tc>
        <w:tc>
          <w:tcPr>
            <w:tcW w:w="1701" w:type="dxa"/>
            <w:tcBorders>
              <w:top w:val="single" w:color="auto" w:sz="4" w:space="0"/>
              <w:left w:val="nil"/>
              <w:bottom w:val="single" w:color="auto" w:sz="4" w:space="0"/>
              <w:right w:val="single" w:color="auto" w:sz="4" w:space="0"/>
            </w:tcBorders>
            <w:noWrap/>
            <w:vAlign w:val="center"/>
          </w:tcPr>
          <w:p w14:paraId="2EB1D1EB">
            <w:pPr>
              <w:rPr>
                <w:rFonts w:hint="eastAsia" w:ascii="宋体" w:hAnsi="宋体" w:eastAsia="宋体" w:cs="宋体"/>
                <w:sz w:val="18"/>
                <w:szCs w:val="18"/>
                <w:lang w:eastAsia="zh-CN"/>
              </w:rPr>
            </w:pPr>
            <w:r>
              <w:rPr>
                <w:rFonts w:hint="eastAsia" w:ascii="宋体" w:hAnsi="宋体" w:eastAsia="宋体" w:cs="宋体"/>
                <w:sz w:val="18"/>
                <w:szCs w:val="18"/>
                <w:lang w:eastAsia="zh-CN"/>
              </w:rPr>
              <w:t>乌党组办{2023}年2号（机密）</w:t>
            </w:r>
          </w:p>
        </w:tc>
        <w:tc>
          <w:tcPr>
            <w:tcW w:w="1134" w:type="dxa"/>
            <w:tcBorders>
              <w:top w:val="single" w:color="auto" w:sz="4" w:space="0"/>
              <w:left w:val="nil"/>
              <w:bottom w:val="single" w:color="auto" w:sz="4" w:space="0"/>
              <w:right w:val="single" w:color="auto" w:sz="4" w:space="0"/>
            </w:tcBorders>
            <w:noWrap/>
            <w:vAlign w:val="center"/>
          </w:tcPr>
          <w:p w14:paraId="6B20B265">
            <w:pPr>
              <w:jc w:val="center"/>
              <w:rPr>
                <w:rFonts w:hint="eastAsia" w:ascii="宋体" w:hAnsi="宋体" w:eastAsia="宋体" w:cs="宋体"/>
                <w:sz w:val="18"/>
                <w:szCs w:val="18"/>
              </w:rPr>
            </w:pPr>
            <w:r>
              <w:rPr>
                <w:rFonts w:hint="eastAsia" w:ascii="宋体" w:hAnsi="宋体" w:eastAsia="宋体" w:cs="宋体"/>
                <w:sz w:val="18"/>
                <w:szCs w:val="18"/>
              </w:rPr>
              <w:t>0</w:t>
            </w:r>
          </w:p>
        </w:tc>
        <w:tc>
          <w:tcPr>
            <w:tcW w:w="992" w:type="dxa"/>
            <w:tcBorders>
              <w:top w:val="single" w:color="auto" w:sz="4" w:space="0"/>
              <w:left w:val="nil"/>
              <w:bottom w:val="single" w:color="auto" w:sz="4" w:space="0"/>
              <w:right w:val="single" w:color="auto" w:sz="4" w:space="0"/>
            </w:tcBorders>
            <w:noWrap/>
            <w:vAlign w:val="center"/>
          </w:tcPr>
          <w:p w14:paraId="4627D778">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single" w:color="auto" w:sz="4" w:space="0"/>
              <w:left w:val="nil"/>
              <w:bottom w:val="single" w:color="auto" w:sz="4" w:space="0"/>
              <w:right w:val="single" w:color="auto" w:sz="4" w:space="0"/>
            </w:tcBorders>
            <w:noWrap/>
            <w:vAlign w:val="center"/>
          </w:tcPr>
          <w:p w14:paraId="593D2B00">
            <w:pPr>
              <w:jc w:val="center"/>
              <w:rPr>
                <w:rFonts w:hint="eastAsia" w:ascii="宋体" w:hAnsi="宋体" w:eastAsia="宋体" w:cs="宋体"/>
                <w:sz w:val="18"/>
                <w:szCs w:val="18"/>
              </w:rPr>
            </w:pPr>
            <w:r>
              <w:rPr>
                <w:rFonts w:hint="eastAsia" w:ascii="宋体" w:hAnsi="宋体" w:eastAsia="宋体" w:cs="宋体"/>
                <w:sz w:val="18"/>
                <w:szCs w:val="18"/>
              </w:rPr>
              <w:t>0</w:t>
            </w:r>
          </w:p>
        </w:tc>
      </w:tr>
      <w:tr w14:paraId="7BB9E6EE">
        <w:tblPrEx>
          <w:tblCellMar>
            <w:top w:w="0" w:type="dxa"/>
            <w:left w:w="108" w:type="dxa"/>
            <w:bottom w:w="0" w:type="dxa"/>
            <w:right w:w="108" w:type="dxa"/>
          </w:tblCellMar>
        </w:tblPrEx>
        <w:trPr>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6A65F7BE">
            <w:pPr>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7E9A4969">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606F382A">
            <w:pPr>
              <w:jc w:val="center"/>
              <w:rPr>
                <w:rFonts w:hint="eastAsia" w:ascii="宋体" w:hAnsi="宋体" w:eastAsia="宋体" w:cs="宋体"/>
                <w:sz w:val="18"/>
                <w:szCs w:val="18"/>
              </w:rPr>
            </w:pPr>
            <w:r>
              <w:rPr>
                <w:rFonts w:hint="eastAsia" w:ascii="宋体" w:hAnsi="宋体" w:eastAsia="宋体" w:cs="宋体"/>
                <w:sz w:val="18"/>
                <w:szCs w:val="18"/>
              </w:rPr>
              <w:t>70</w:t>
            </w:r>
          </w:p>
        </w:tc>
      </w:tr>
      <w:bookmarkEnd w:id="9"/>
    </w:tbl>
    <w:p w14:paraId="440EED1D">
      <w:pP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br w:type="page"/>
      </w:r>
    </w:p>
    <w:p w14:paraId="58742F15">
      <w:pPr>
        <w:rPr>
          <w:rFonts w:hint="eastAsia" w:ascii="宋体" w:hAnsi="宋体" w:eastAsia="宋体" w:cs="宋体"/>
          <w:b/>
          <w:bCs/>
          <w:sz w:val="18"/>
          <w:szCs w:val="18"/>
          <w:lang w:eastAsia="zh-CN"/>
        </w:rPr>
      </w:pPr>
    </w:p>
    <w:p w14:paraId="0C8FD38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58233372">
      <w:pPr>
        <w:spacing w:after="0" w:line="240" w:lineRule="auto"/>
        <w:ind w:firstLine="640" w:firstLineChars="200"/>
        <w:jc w:val="both"/>
        <w:rPr>
          <w:rFonts w:hint="eastAsia" w:ascii="仿宋_GB2312" w:eastAsia="仿宋_GB2312"/>
          <w:sz w:val="32"/>
          <w:szCs w:val="32"/>
          <w:lang w:eastAsia="zh-CN"/>
        </w:rPr>
      </w:pPr>
      <w:bookmarkStart w:id="10" w:name="_Hlk207053964"/>
      <w:r>
        <w:rPr>
          <w:rFonts w:hint="eastAsia" w:ascii="仿宋_GB2312" w:eastAsia="仿宋_GB2312"/>
          <w:sz w:val="32"/>
          <w:szCs w:val="32"/>
          <w:lang w:eastAsia="zh-CN"/>
        </w:rPr>
        <w:t>我单位2024年度无政府采购支出，授予中小企业合同金额0.00万元</w:t>
      </w:r>
      <w:bookmarkEnd w:id="10"/>
      <w:r>
        <w:rPr>
          <w:rFonts w:ascii="仿宋_GB2312" w:eastAsia="仿宋_GB2312"/>
          <w:sz w:val="32"/>
          <w:szCs w:val="32"/>
          <w:lang w:eastAsia="zh-CN"/>
        </w:rPr>
        <w:t>。</w:t>
      </w:r>
    </w:p>
    <w:p w14:paraId="3B263EAE">
      <w:pPr>
        <w:rPr>
          <w:rFonts w:hint="eastAsia"/>
          <w:lang w:eastAsia="zh-CN"/>
        </w:rPr>
      </w:pPr>
      <w:r>
        <w:rPr>
          <w:sz w:val="0"/>
          <w:szCs w:val="0"/>
          <w:lang w:eastAsia="zh-CN"/>
        </w:rPr>
        <w:br w:type="page"/>
      </w:r>
    </w:p>
    <w:p w14:paraId="20A0977F">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078C706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AA80E2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3441EF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789444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F1D050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0D6037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3C16EEB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A24D92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C06580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C6A9EC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303F6B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918CDE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095A82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2869FD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5F6C5B1">
      <w:pPr>
        <w:rPr>
          <w:rFonts w:hint="eastAsia"/>
          <w:lang w:eastAsia="zh-CN"/>
        </w:rPr>
      </w:pPr>
      <w:r>
        <w:rPr>
          <w:sz w:val="0"/>
          <w:szCs w:val="0"/>
          <w:lang w:eastAsia="zh-CN"/>
        </w:rPr>
        <w:br w:type="page"/>
      </w:r>
    </w:p>
    <w:p w14:paraId="1FF666D5">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524F1A2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0803429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616A385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0ADACD8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3F01F019">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0670EEC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18491B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0368D0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5D0B4A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197DA1"/>
    <w:rsid w:val="000813B0"/>
    <w:rsid w:val="00197DA1"/>
    <w:rsid w:val="004F78B2"/>
    <w:rsid w:val="007F0AF2"/>
    <w:rsid w:val="0093141F"/>
    <w:rsid w:val="00B13A54"/>
    <w:rsid w:val="33047D80"/>
    <w:rsid w:val="55155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9396</Words>
  <Characters>10039</Characters>
  <Lines>527</Lines>
  <Paragraphs>428</Paragraphs>
  <TotalTime>0</TotalTime>
  <ScaleCrop>false</ScaleCrop>
  <LinksUpToDate>false</LinksUpToDate>
  <CharactersWithSpaces>10049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2025-10-09T03:02:00Z</dcterms:created>
  <dc:creator>回上.LAPTOP-7R4U860U</dc:creator>
  <cp:lastModifiedBy>局外人.</cp:lastModifiedBy>
  <dcterms:modified xsi:type="dcterms:W3CDTF">2025-11-20T04:06:36Z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eyJoZGlkIjoiYzI4NzYwZWZkM2I0OTdlMTA3M2NkMmFjZWIyMDVmNjUiLCJ1c2VySWQiOiIxMjM2MzIxMjUwIn0=</vt:lpwstr>
  </property>
  <property fmtid="{D5CDD505-2E9C-101B-9397-08002B2CF9AE}" pid="4" name="ICV">
    <vt:lpwstr>C8831E35C6CA4EF79493089B2751853A_12</vt:lpwstr>
  </property>
</Properties>
</file>