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BA092C"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1D33FA27" w14:textId="77777777" w:rsidR="00BA092C" w:rsidRDefault="00BA092C">
      <w:pPr>
        <w:spacing w:line="540" w:lineRule="exact"/>
        <w:jc w:val="center"/>
        <w:rPr>
          <w:rFonts w:ascii="华文中宋" w:eastAsia="华文中宋" w:hAnsi="华文中宋" w:cs="宋体" w:hint="eastAsia"/>
          <w:b/>
          <w:kern w:val="0"/>
          <w:sz w:val="52"/>
          <w:szCs w:val="52"/>
        </w:rPr>
      </w:pPr>
    </w:p>
    <w:p w14:paraId="6E106AD4" w14:textId="77777777" w:rsidR="00BA092C" w:rsidRDefault="00BA092C">
      <w:pPr>
        <w:spacing w:line="540" w:lineRule="exact"/>
        <w:jc w:val="center"/>
        <w:rPr>
          <w:rFonts w:ascii="华文中宋" w:eastAsia="华文中宋" w:hAnsi="华文中宋" w:cs="宋体" w:hint="eastAsia"/>
          <w:b/>
          <w:kern w:val="0"/>
          <w:sz w:val="52"/>
          <w:szCs w:val="52"/>
        </w:rPr>
      </w:pPr>
    </w:p>
    <w:p w14:paraId="06DF3DDB" w14:textId="77777777" w:rsidR="00BA092C" w:rsidRDefault="00BA092C">
      <w:pPr>
        <w:spacing w:line="540" w:lineRule="exact"/>
        <w:jc w:val="center"/>
        <w:rPr>
          <w:rFonts w:ascii="华文中宋" w:eastAsia="华文中宋" w:hAnsi="华文中宋" w:cs="宋体" w:hint="eastAsia"/>
          <w:b/>
          <w:kern w:val="0"/>
          <w:sz w:val="52"/>
          <w:szCs w:val="52"/>
        </w:rPr>
      </w:pPr>
    </w:p>
    <w:p w14:paraId="3D54B155" w14:textId="77777777" w:rsidR="00BA092C" w:rsidRDefault="00BA092C">
      <w:pPr>
        <w:spacing w:line="540" w:lineRule="exact"/>
        <w:jc w:val="center"/>
        <w:rPr>
          <w:rFonts w:ascii="华文中宋" w:eastAsia="华文中宋" w:hAnsi="华文中宋" w:cs="宋体" w:hint="eastAsia"/>
          <w:b/>
          <w:kern w:val="0"/>
          <w:sz w:val="52"/>
          <w:szCs w:val="52"/>
        </w:rPr>
      </w:pPr>
    </w:p>
    <w:p w14:paraId="7523DB40" w14:textId="77777777" w:rsidR="00BA092C" w:rsidRDefault="00BA092C">
      <w:pPr>
        <w:spacing w:line="540" w:lineRule="exact"/>
        <w:jc w:val="center"/>
        <w:rPr>
          <w:rFonts w:ascii="华文中宋" w:eastAsia="华文中宋" w:hAnsi="华文中宋" w:cs="宋体" w:hint="eastAsia"/>
          <w:b/>
          <w:kern w:val="0"/>
          <w:sz w:val="52"/>
          <w:szCs w:val="52"/>
        </w:rPr>
      </w:pPr>
    </w:p>
    <w:p w14:paraId="7B9F0A20" w14:textId="77777777" w:rsidR="00BA092C" w:rsidRDefault="00BA092C">
      <w:pPr>
        <w:spacing w:line="540" w:lineRule="exact"/>
        <w:jc w:val="center"/>
        <w:rPr>
          <w:rFonts w:ascii="华文中宋" w:eastAsia="华文中宋" w:hAnsi="华文中宋" w:cs="宋体" w:hint="eastAsia"/>
          <w:b/>
          <w:kern w:val="0"/>
          <w:sz w:val="52"/>
          <w:szCs w:val="52"/>
        </w:rPr>
      </w:pPr>
    </w:p>
    <w:p w14:paraId="1F5472C6" w14:textId="77777777" w:rsidR="00BA092C"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BA092C" w:rsidRDefault="00BA092C">
      <w:pPr>
        <w:spacing w:line="540" w:lineRule="exact"/>
        <w:jc w:val="center"/>
        <w:rPr>
          <w:rFonts w:ascii="华文中宋" w:eastAsia="华文中宋" w:hAnsi="华文中宋" w:cs="宋体" w:hint="eastAsia"/>
          <w:b/>
          <w:kern w:val="0"/>
          <w:sz w:val="52"/>
          <w:szCs w:val="52"/>
        </w:rPr>
      </w:pPr>
    </w:p>
    <w:p w14:paraId="478A78FB" w14:textId="77777777" w:rsidR="00BA092C"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26501804" w14:textId="77777777" w:rsidR="00BA092C" w:rsidRDefault="00BA092C">
      <w:pPr>
        <w:spacing w:line="540" w:lineRule="exact"/>
        <w:jc w:val="center"/>
        <w:rPr>
          <w:rFonts w:eastAsia="仿宋_GB2312" w:hAnsi="宋体" w:cs="宋体" w:hint="eastAsia"/>
          <w:kern w:val="0"/>
          <w:sz w:val="30"/>
          <w:szCs w:val="30"/>
        </w:rPr>
      </w:pPr>
    </w:p>
    <w:p w14:paraId="69B61B55" w14:textId="77777777" w:rsidR="00BA092C" w:rsidRDefault="00BA092C">
      <w:pPr>
        <w:spacing w:line="540" w:lineRule="exact"/>
        <w:jc w:val="center"/>
        <w:rPr>
          <w:rFonts w:eastAsia="仿宋_GB2312" w:hAnsi="宋体" w:cs="宋体" w:hint="eastAsia"/>
          <w:kern w:val="0"/>
          <w:sz w:val="30"/>
          <w:szCs w:val="30"/>
        </w:rPr>
      </w:pPr>
    </w:p>
    <w:p w14:paraId="0A436978" w14:textId="77777777" w:rsidR="00BA092C" w:rsidRDefault="00BA092C">
      <w:pPr>
        <w:spacing w:line="540" w:lineRule="exact"/>
        <w:jc w:val="center"/>
        <w:rPr>
          <w:rFonts w:eastAsia="仿宋_GB2312" w:hAnsi="宋体" w:cs="宋体" w:hint="eastAsia"/>
          <w:kern w:val="0"/>
          <w:sz w:val="30"/>
          <w:szCs w:val="30"/>
        </w:rPr>
      </w:pPr>
    </w:p>
    <w:p w14:paraId="5731CF0C" w14:textId="77777777" w:rsidR="00BA092C" w:rsidRDefault="00BA092C">
      <w:pPr>
        <w:spacing w:line="540" w:lineRule="exact"/>
        <w:jc w:val="center"/>
        <w:rPr>
          <w:rFonts w:eastAsia="仿宋_GB2312" w:hAnsi="宋体" w:cs="宋体" w:hint="eastAsia"/>
          <w:kern w:val="0"/>
          <w:sz w:val="30"/>
          <w:szCs w:val="30"/>
        </w:rPr>
      </w:pPr>
    </w:p>
    <w:p w14:paraId="2CE0F0E1" w14:textId="77777777" w:rsidR="00BA092C" w:rsidRDefault="00BA092C">
      <w:pPr>
        <w:spacing w:line="540" w:lineRule="exact"/>
        <w:jc w:val="center"/>
        <w:rPr>
          <w:rFonts w:eastAsia="仿宋_GB2312" w:hAnsi="宋体" w:cs="宋体" w:hint="eastAsia"/>
          <w:kern w:val="0"/>
          <w:sz w:val="30"/>
          <w:szCs w:val="30"/>
        </w:rPr>
      </w:pPr>
    </w:p>
    <w:p w14:paraId="4C85A255" w14:textId="77777777" w:rsidR="00BA092C" w:rsidRDefault="00BA092C">
      <w:pPr>
        <w:spacing w:line="540" w:lineRule="exact"/>
        <w:jc w:val="center"/>
        <w:rPr>
          <w:rFonts w:eastAsia="仿宋_GB2312" w:hAnsi="宋体" w:cs="宋体" w:hint="eastAsia"/>
          <w:kern w:val="0"/>
          <w:sz w:val="30"/>
          <w:szCs w:val="30"/>
        </w:rPr>
      </w:pPr>
    </w:p>
    <w:p w14:paraId="3DB1725E" w14:textId="77777777" w:rsidR="00BA092C" w:rsidRDefault="00BA092C">
      <w:pPr>
        <w:spacing w:line="540" w:lineRule="exact"/>
        <w:rPr>
          <w:rFonts w:eastAsia="仿宋_GB2312" w:hAnsi="宋体" w:cs="宋体" w:hint="eastAsia"/>
          <w:kern w:val="0"/>
          <w:sz w:val="30"/>
          <w:szCs w:val="30"/>
        </w:rPr>
      </w:pPr>
    </w:p>
    <w:p w14:paraId="5B7D51AB" w14:textId="77777777" w:rsidR="00BA092C"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1B2FEEF" w14:textId="77777777" w:rsidR="00BA092C"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乌财科教（2023）106号关于拨付2023年中小学和幼儿园自聘教师补助资金</w:t>
      </w:r>
    </w:p>
    <w:p w14:paraId="7AEB13A7" w14:textId="77777777" w:rsidR="00BA092C"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乌鲁木齐市第114中学</w:t>
      </w:r>
    </w:p>
    <w:p w14:paraId="275DDF30" w14:textId="77777777" w:rsidR="00BA092C"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乌鲁木齐市第114中学</w:t>
      </w:r>
    </w:p>
    <w:p w14:paraId="5747EF1B" w14:textId="77777777" w:rsidR="00BA092C"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朱美琳</w:t>
      </w:r>
    </w:p>
    <w:p w14:paraId="7DACC143" w14:textId="77777777" w:rsidR="00BA092C"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2024年05月24日</w:t>
      </w:r>
    </w:p>
    <w:p w14:paraId="677F1B1A" w14:textId="77777777" w:rsidR="00BA092C" w:rsidRDefault="00BA092C">
      <w:pPr>
        <w:spacing w:line="700" w:lineRule="exact"/>
        <w:ind w:firstLineChars="236" w:firstLine="708"/>
        <w:jc w:val="left"/>
        <w:rPr>
          <w:rFonts w:eastAsia="仿宋_GB2312" w:hAnsi="宋体" w:cs="宋体" w:hint="eastAsia"/>
          <w:kern w:val="0"/>
          <w:sz w:val="30"/>
          <w:szCs w:val="30"/>
        </w:rPr>
      </w:pPr>
    </w:p>
    <w:p w14:paraId="123FA6B7" w14:textId="77777777" w:rsidR="00BA092C" w:rsidRDefault="00BA092C">
      <w:pPr>
        <w:spacing w:line="540" w:lineRule="exact"/>
        <w:rPr>
          <w:rStyle w:val="ad"/>
          <w:rFonts w:ascii="黑体" w:eastAsia="黑体" w:hAnsi="黑体" w:hint="eastAsia"/>
          <w:b w:val="0"/>
          <w:spacing w:val="-4"/>
          <w:sz w:val="32"/>
          <w:szCs w:val="32"/>
        </w:rPr>
      </w:pPr>
    </w:p>
    <w:p w14:paraId="2EEB6E08" w14:textId="77777777" w:rsidR="00BA092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18E9018D" w14:textId="77777777" w:rsidR="00BA092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3DED2D21"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（一）项目概况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项目背景、主要内容及实施情况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该项目实施背景：根据《乌财科教【2023】106号-关于拨付2023年中小学和幼儿园自聘教师补助资金的通知》，下达聘用教师补助资金，用于我校聘用教师工资待遇的发放，为聘用教师队伍的稳定提供必要的经费保障，同时提高聘用教师工作的积极性，保障了学校教育教学正常开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（2）项目2023年的主要实施内容：用于聘用教师100%工资发放以及支付聘用教师社保、医保，提高聘用教师工资待遇，调动工作积极性，保持教师队伍建设稳定发展，提升教学质量，促进学生素质全面发展。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2023年当年完成情况：实际完成情况为该项目由学校委托劳务派遣公司支付31名同工同酬和42名聘用教师2023年工资薪酬以及社保、医疗缴费，共计107.71万元。达到保障聘用教师工资薪酬发放的目的，提高聘用教师的工资待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资金投入和使用情况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 xml:space="preserve">（1）该项目资金投入情况：经乌财科教【2023】106号文件批准，项目系2023年自治区资金，共安排预算107.71万元，为年初部门预算批复项目，后结转上年资金180.08万元，全年预算资金287.79元。 </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该项目资金使用情况：①总预算情况：287.79万元；②预算资金全部用于2023年聘用教师的工资支付以及社保支付，实际支出287.79万元，确保学校教师队伍稳定性，有效保障学校教育教学工作正常运行，推动学校均衡化发展；③预算执行率：100%。</w:t>
      </w:r>
    </w:p>
    <w:p w14:paraId="4EE91996" w14:textId="77777777" w:rsidR="00BA092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F877E16"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w:t>
      </w:r>
      <w:r>
        <w:rPr>
          <w:rStyle w:val="ad"/>
          <w:rFonts w:ascii="楷体" w:eastAsia="楷体" w:hAnsi="楷体" w:hint="eastAsia"/>
          <w:b w:val="0"/>
          <w:bCs w:val="0"/>
          <w:spacing w:val="-4"/>
          <w:sz w:val="32"/>
          <w:szCs w:val="32"/>
        </w:rPr>
        <w:lastRenderedPageBreak/>
        <w:t>清晰地反映财政资金在使用期所能达到的预期产出和效果。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该项目为经常性项目。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该项目总体绩效目标：此项目主要内容为按标准为我校自聘教师及时发放工资并缴纳社保，此项目的实施可提升我校教师队伍稳定性，有效保障学校正常运行，推动学校均衡化发展。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该项目阶段性目标为：在2023年计划支付73名聘用教师以及同工同酬教师2023年工资以及社保、医疗，提升我校教师队伍稳定性，有效保障学校正常运行，推动学校均衡化发展。</w:t>
      </w:r>
    </w:p>
    <w:p w14:paraId="6BFCEFBA" w14:textId="77777777" w:rsidR="00BA092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BA092C"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5CBE7A93"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绩效评价完整性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首先，本项目旨在通过提供经济补助，吸引和稳定一批优秀的自聘教师，进而提升教学质量和学校整体教育水平。通过设立的绩效评价指标体系，我们能够全面、准确地体现项目的核心目标，包括教师数量的增长、教学质量的提升以及学生满意度的提高等方面。（项目的产出，效益等方面可以被指标体系所体现，具体包括产出的成本，时效，数量、质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其次，聘用教师补助资金拨付到位，保障了学校各项日常教学工作井然有序开展，聘用教师工资的发放、通过东凯劳务派遣公司按月发放到教师，资金使用及时、合理。在评价过程中，我们深</w:t>
      </w:r>
      <w:r>
        <w:rPr>
          <w:rStyle w:val="ad"/>
          <w:rFonts w:ascii="楷体" w:eastAsia="楷体" w:hAnsi="楷体" w:hint="eastAsia"/>
          <w:b w:val="0"/>
          <w:bCs w:val="0"/>
          <w:spacing w:val="-4"/>
          <w:sz w:val="32"/>
          <w:szCs w:val="32"/>
        </w:rPr>
        <w:lastRenderedPageBreak/>
        <w:t>入分析了项目的计划和执行过程。从计划的制定到资金的分配，再到补助的发放和跟进，整个流程都经过了严格的监控和评估。通过定期的教学数据收集和教学质量分析，我们能够清晰地看到教师上课的教学情况，追踪项目的进展情况，包括资金的使用情况、教师的工作状态以及学生的学习成果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最后，我单位将通过查询聘用教师工资表，对教师和学生发放调查问卷等方式收集评价数据，评价数据准确、完整。为了确保评价数据的准确性和完整性，我们特别关注了数据的来源和采集过程。所有数据均来源于学校的教学管理日常、财务系统以及学生评价，确保了数据的真实性和可靠性。同时，我们还采取了多种数据采集方式，包括问卷调查、访谈、观察等，以获取更为全面、深入的信息。</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科教【2023】106号-关于拨付2023年中小学和幼儿园自聘教师补助资金的通知项目实施情况，并考察项目实施过程和效果。（2）通过评价，客观公正反映项目立项科学性、项</w:t>
      </w:r>
      <w:r>
        <w:rPr>
          <w:rStyle w:val="ad"/>
          <w:rFonts w:ascii="楷体" w:eastAsia="楷体" w:hAnsi="楷体" w:hint="eastAsia"/>
          <w:b w:val="0"/>
          <w:bCs w:val="0"/>
          <w:spacing w:val="-4"/>
          <w:sz w:val="32"/>
          <w:szCs w:val="32"/>
        </w:rPr>
        <w:lastRenderedPageBreak/>
        <w:t>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（1）绩效评价的对象：乌财科教【2023】106号-关于拨付2023年中小学和幼儿园自聘教师补助资金的通知项目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项目范围：乌财科教【2023】106号-关于拨付2023年中小学和幼儿园自聘教师补助资金的通知项目资金全年下达287.79万元，是按照上级主管部门核定聘用教师人数申请的项目资金，用于聘用教师工资的发放和社保医疗的支付，绩效评价工作是从同工同酬教师人数、聘用教师工资发放准确率、工资发放标准、支付时限、提高教学质量、聘用教师满意度这6个指标进行开展，并完成了73名聘用教师2023年工资正常发放、社保、医疗正常支付，保障了聘用教师的工资待遇，聘用教师都能安心工作，钻研教学业务，从而保障了学校的正常教学工作。本项目开展的主要经验是通过对聘用教师工资项目的绩效评价，总结出有助于学校其它项目的目标评价、指标以及佐证材料的提供方式</w:t>
      </w:r>
      <w:r>
        <w:rPr>
          <w:rStyle w:val="ad"/>
          <w:rFonts w:ascii="楷体" w:eastAsia="楷体" w:hAnsi="楷体" w:hint="eastAsia"/>
          <w:b w:val="0"/>
          <w:bCs w:val="0"/>
          <w:spacing w:val="-4"/>
          <w:sz w:val="32"/>
          <w:szCs w:val="32"/>
        </w:rPr>
        <w:lastRenderedPageBreak/>
        <w:t>等相关设立方法。通过查询相关项目的原始凭证、项目文件、项目受益人满意度的调查问卷来体现项目实现的开展、产出、效益情况。本项存在的问题是局限于合规性的评价，绩效评价的内容不完全合理，需要完善，学校财务人员更侧重于学习资金支付，是否合规对资金支付的效率性和有效性方向的分析评价还不够。绩效评价工作对于学校资金支付的时效性、真实性合理性进行监督和评测。</w:t>
      </w:r>
    </w:p>
    <w:p w14:paraId="1271490C" w14:textId="77777777" w:rsidR="00BA092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评价指标体系</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c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一级指标</w:t>
      </w:r>
      <w:r>
        <w:rPr>
          <w:rStyle w:val="ad"/>
          <w:rFonts w:ascii="楷体" w:eastAsia="楷体" w:hAnsi="楷体" w:hint="eastAsia"/>
          <w:b w:val="0"/>
          <w:bCs w:val="0"/>
          <w:spacing w:val="-4"/>
          <w:sz w:val="32"/>
          <w:szCs w:val="32"/>
        </w:rPr>
        <w:tab/>
        <w:t>二级指标</w:t>
      </w:r>
      <w:r>
        <w:rPr>
          <w:rStyle w:val="ad"/>
          <w:rFonts w:ascii="楷体" w:eastAsia="楷体" w:hAnsi="楷体" w:hint="eastAsia"/>
          <w:b w:val="0"/>
          <w:bCs w:val="0"/>
          <w:spacing w:val="-4"/>
          <w:sz w:val="32"/>
          <w:szCs w:val="32"/>
        </w:rPr>
        <w:tab/>
        <w:t>三级指标</w:t>
      </w:r>
      <w:r>
        <w:rPr>
          <w:rStyle w:val="ad"/>
          <w:rFonts w:ascii="楷体" w:eastAsia="楷体" w:hAnsi="楷体" w:hint="eastAsia"/>
          <w:b w:val="0"/>
          <w:bCs w:val="0"/>
          <w:spacing w:val="-4"/>
          <w:sz w:val="32"/>
          <w:szCs w:val="32"/>
        </w:rPr>
        <w:tab/>
        <w:t>指标解释</w:t>
      </w:r>
      <w:r>
        <w:rPr>
          <w:rStyle w:val="ad"/>
          <w:rFonts w:ascii="楷体" w:eastAsia="楷体" w:hAnsi="楷体" w:hint="eastAsia"/>
          <w:b w:val="0"/>
          <w:bCs w:val="0"/>
          <w:spacing w:val="-4"/>
          <w:sz w:val="32"/>
          <w:szCs w:val="32"/>
        </w:rPr>
        <w:tab/>
        <w:t>指标说明</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项目立项</w:t>
      </w:r>
      <w:r>
        <w:rPr>
          <w:rStyle w:val="ad"/>
          <w:rFonts w:ascii="楷体" w:eastAsia="楷体" w:hAnsi="楷体" w:hint="eastAsia"/>
          <w:b w:val="0"/>
          <w:bCs w:val="0"/>
          <w:spacing w:val="-4"/>
          <w:sz w:val="32"/>
          <w:szCs w:val="32"/>
        </w:rPr>
        <w:tab/>
        <w:t>立项依据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充分性</w:t>
      </w:r>
      <w:r>
        <w:rPr>
          <w:rStyle w:val="ad"/>
          <w:rFonts w:ascii="楷体" w:eastAsia="楷体" w:hAnsi="楷体" w:hint="eastAsia"/>
          <w:b w:val="0"/>
          <w:bCs w:val="0"/>
          <w:spacing w:val="-4"/>
          <w:sz w:val="32"/>
          <w:szCs w:val="32"/>
        </w:rPr>
        <w:tab/>
        <w:t>项目立项是否符合法律法规、相关政策、发展规划以及部门职责，用以反映和考核项目立项依据情况。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立项程序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规范性</w:t>
      </w:r>
      <w:r>
        <w:rPr>
          <w:rStyle w:val="ad"/>
          <w:rFonts w:ascii="楷体" w:eastAsia="楷体" w:hAnsi="楷体" w:hint="eastAsia"/>
          <w:b w:val="0"/>
          <w:bCs w:val="0"/>
          <w:spacing w:val="-4"/>
          <w:sz w:val="32"/>
          <w:szCs w:val="32"/>
        </w:rPr>
        <w:tab/>
        <w:t>项目申请、设立过程是否符合相关要求，用以反映和考核项目立项的规范情况。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合理性</w:t>
      </w:r>
      <w:r>
        <w:rPr>
          <w:rStyle w:val="ad"/>
          <w:rFonts w:ascii="楷体" w:eastAsia="楷体" w:hAnsi="楷体" w:hint="eastAsia"/>
          <w:b w:val="0"/>
          <w:bCs w:val="0"/>
          <w:spacing w:val="-4"/>
          <w:sz w:val="32"/>
          <w:szCs w:val="32"/>
        </w:rPr>
        <w:tab/>
        <w:t>项目所设定的绩效目标是否依据充分，是否符合客观实际，用以反映和考核项目绩效目标与项目实施的相符情况。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决策</w:t>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明确性</w:t>
      </w:r>
      <w:r>
        <w:rPr>
          <w:rStyle w:val="ad"/>
          <w:rFonts w:ascii="楷体" w:eastAsia="楷体" w:hAnsi="楷体" w:hint="eastAsia"/>
          <w:b w:val="0"/>
          <w:bCs w:val="0"/>
          <w:spacing w:val="-4"/>
          <w:sz w:val="32"/>
          <w:szCs w:val="32"/>
        </w:rPr>
        <w:tab/>
        <w:t>依据绩效目标设定的绩效指标是否清晰、细化、可衡量等，用以反映和考核项目绩效目标的明细化情况。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资金投入</w:t>
      </w:r>
      <w:r>
        <w:rPr>
          <w:rStyle w:val="ad"/>
          <w:rFonts w:ascii="楷体" w:eastAsia="楷体" w:hAnsi="楷体" w:hint="eastAsia"/>
          <w:b w:val="0"/>
          <w:bCs w:val="0"/>
          <w:spacing w:val="-4"/>
          <w:sz w:val="32"/>
          <w:szCs w:val="32"/>
        </w:rPr>
        <w:tab/>
        <w:t>预算编制</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科学性</w:t>
      </w:r>
      <w:r>
        <w:rPr>
          <w:rStyle w:val="ad"/>
          <w:rFonts w:ascii="楷体" w:eastAsia="楷体" w:hAnsi="楷体" w:hint="eastAsia"/>
          <w:b w:val="0"/>
          <w:bCs w:val="0"/>
          <w:spacing w:val="-4"/>
          <w:sz w:val="32"/>
          <w:szCs w:val="32"/>
        </w:rPr>
        <w:tab/>
        <w:t>项目预算编制是否经过科学论证、有明确标准，资金额度与年度目标是否相适应，用以反映和考核项目预算编制的科学性、合理性情况。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④预算确定的项目投资额或资金量是否与工作任务相匹配。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资金分配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合理性</w:t>
      </w:r>
      <w:r>
        <w:rPr>
          <w:rStyle w:val="ad"/>
          <w:rFonts w:ascii="楷体" w:eastAsia="楷体" w:hAnsi="楷体" w:hint="eastAsia"/>
          <w:b w:val="0"/>
          <w:bCs w:val="0"/>
          <w:spacing w:val="-4"/>
          <w:sz w:val="32"/>
          <w:szCs w:val="32"/>
        </w:rPr>
        <w:tab/>
        <w:t>项目预算资金分配是否有测算依据，与补助单位或地方实际是否相适应，用以反映和考核项目预算资金分配的科学性、合理性情况。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资金到位率</w:t>
      </w:r>
      <w:r>
        <w:rPr>
          <w:rStyle w:val="ad"/>
          <w:rFonts w:ascii="楷体" w:eastAsia="楷体" w:hAnsi="楷体" w:hint="eastAsia"/>
          <w:b w:val="0"/>
          <w:bCs w:val="0"/>
          <w:spacing w:val="-4"/>
          <w:sz w:val="32"/>
          <w:szCs w:val="32"/>
        </w:rPr>
        <w:tab/>
        <w:t>实际到位资金与预算资金的比率，用以反映和考核资金落实情况对项目实施的总体保障程度。</w:t>
      </w:r>
      <w:r>
        <w:rPr>
          <w:rStyle w:val="ad"/>
          <w:rFonts w:ascii="楷体" w:eastAsia="楷体" w:hAnsi="楷体" w:hint="eastAsia"/>
          <w:b w:val="0"/>
          <w:bCs w:val="0"/>
          <w:spacing w:val="-4"/>
          <w:sz w:val="32"/>
          <w:szCs w:val="32"/>
        </w:rPr>
        <w:tab/>
        <w:t>资金到位率=（实际到位资金/预算资金）×100%。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预算执行率</w:t>
      </w:r>
      <w:r>
        <w:rPr>
          <w:rStyle w:val="ad"/>
          <w:rFonts w:ascii="楷体" w:eastAsia="楷体" w:hAnsi="楷体" w:hint="eastAsia"/>
          <w:b w:val="0"/>
          <w:bCs w:val="0"/>
          <w:spacing w:val="-4"/>
          <w:sz w:val="32"/>
          <w:szCs w:val="32"/>
        </w:rPr>
        <w:tab/>
        <w:t>项目预算资金是否按照计划执行，用以反映或考核项目预算执行情况。</w:t>
      </w:r>
      <w:r>
        <w:rPr>
          <w:rStyle w:val="ad"/>
          <w:rFonts w:ascii="楷体" w:eastAsia="楷体" w:hAnsi="楷体" w:hint="eastAsia"/>
          <w:b w:val="0"/>
          <w:bCs w:val="0"/>
          <w:spacing w:val="-4"/>
          <w:sz w:val="32"/>
          <w:szCs w:val="32"/>
        </w:rPr>
        <w:tab/>
        <w:t>预算执行率=（实际支出资金/实际到位资金）×100%。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实际支出资金：一定时期（本年度或项目期）内项目实际拨付的资金。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资金使用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合规性</w:t>
      </w:r>
      <w:r>
        <w:rPr>
          <w:rStyle w:val="ad"/>
          <w:rFonts w:ascii="楷体" w:eastAsia="楷体" w:hAnsi="楷体" w:hint="eastAsia"/>
          <w:b w:val="0"/>
          <w:bCs w:val="0"/>
          <w:spacing w:val="-4"/>
          <w:sz w:val="32"/>
          <w:szCs w:val="32"/>
        </w:rPr>
        <w:tab/>
        <w:t>项目资金使用是否符合相关的财务管理制度规定，用以反映和考核项目资金的规范运行情况。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组织实施</w:t>
      </w:r>
      <w:r>
        <w:rPr>
          <w:rStyle w:val="ad"/>
          <w:rFonts w:ascii="楷体" w:eastAsia="楷体" w:hAnsi="楷体" w:hint="eastAsia"/>
          <w:b w:val="0"/>
          <w:bCs w:val="0"/>
          <w:spacing w:val="-4"/>
          <w:sz w:val="32"/>
          <w:szCs w:val="32"/>
        </w:rPr>
        <w:tab/>
        <w:t>管理制度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健全性</w:t>
      </w:r>
      <w:r>
        <w:rPr>
          <w:rStyle w:val="ad"/>
          <w:rFonts w:ascii="楷体" w:eastAsia="楷体" w:hAnsi="楷体" w:hint="eastAsia"/>
          <w:b w:val="0"/>
          <w:bCs w:val="0"/>
          <w:spacing w:val="-4"/>
          <w:sz w:val="32"/>
          <w:szCs w:val="32"/>
        </w:rPr>
        <w:tab/>
        <w:t>项目实施单位的财务和业务管理制度是否健全，用以反映和考核财务和业务管理制度对项目顺利实施的保障情况。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②财务和业务管理制度是否合法、合规、完整。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制度执行</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有效性</w:t>
      </w:r>
      <w:r>
        <w:rPr>
          <w:rStyle w:val="ad"/>
          <w:rFonts w:ascii="楷体" w:eastAsia="楷体" w:hAnsi="楷体" w:hint="eastAsia"/>
          <w:b w:val="0"/>
          <w:bCs w:val="0"/>
          <w:spacing w:val="-4"/>
          <w:sz w:val="32"/>
          <w:szCs w:val="32"/>
        </w:rPr>
        <w:tab/>
        <w:t>项目实施是否符合相关管理规定，用以反映和考核相关管理制度的有效执行情况。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产出数量</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同工同酬、聘用教师人数</w:t>
      </w:r>
      <w:r>
        <w:rPr>
          <w:rStyle w:val="ad"/>
          <w:rFonts w:ascii="楷体" w:eastAsia="楷体" w:hAnsi="楷体" w:hint="eastAsia"/>
          <w:b w:val="0"/>
          <w:bCs w:val="0"/>
          <w:spacing w:val="-4"/>
          <w:sz w:val="32"/>
          <w:szCs w:val="32"/>
        </w:rPr>
        <w:tab/>
        <w:t>项目实施的实际产出数与计划产出数的比率，用以反映和考核项目产出数量目标的实现程度。</w:t>
      </w:r>
      <w:r>
        <w:rPr>
          <w:rStyle w:val="ad"/>
          <w:rFonts w:ascii="楷体" w:eastAsia="楷体" w:hAnsi="楷体" w:hint="eastAsia"/>
          <w:b w:val="0"/>
          <w:bCs w:val="0"/>
          <w:spacing w:val="-4"/>
          <w:sz w:val="32"/>
          <w:szCs w:val="32"/>
        </w:rPr>
        <w:tab/>
        <w:t>实际完成率=（实际产出数/计划产出数）×100%。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实际产出数：一定时期（本年度或项目期）内项目实际产出的产品或提供的服务数量。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计划产出数：项目绩效目标确定的在一定时期（本年度或项目期）内计划产出的产品或提供的服务数量。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产出质量</w:t>
      </w:r>
      <w:r>
        <w:rPr>
          <w:rStyle w:val="ad"/>
          <w:rFonts w:ascii="楷体" w:eastAsia="楷体" w:hAnsi="楷体" w:hint="eastAsia"/>
          <w:b w:val="0"/>
          <w:bCs w:val="0"/>
          <w:spacing w:val="-4"/>
          <w:sz w:val="32"/>
          <w:szCs w:val="32"/>
        </w:rPr>
        <w:tab/>
        <w:t>工资发放准确率</w:t>
      </w:r>
      <w:r>
        <w:rPr>
          <w:rStyle w:val="ad"/>
          <w:rFonts w:ascii="楷体" w:eastAsia="楷体" w:hAnsi="楷体" w:hint="eastAsia"/>
          <w:b w:val="0"/>
          <w:bCs w:val="0"/>
          <w:spacing w:val="-4"/>
          <w:sz w:val="32"/>
          <w:szCs w:val="32"/>
        </w:rPr>
        <w:tab/>
        <w:t>项目完成的质量达标产出数与实际产出数的比率，用以反映和考核项目产出质量目标的实现程度。</w:t>
      </w:r>
      <w:r>
        <w:rPr>
          <w:rStyle w:val="ad"/>
          <w:rFonts w:ascii="楷体" w:eastAsia="楷体" w:hAnsi="楷体" w:hint="eastAsia"/>
          <w:b w:val="0"/>
          <w:bCs w:val="0"/>
          <w:spacing w:val="-4"/>
          <w:sz w:val="32"/>
          <w:szCs w:val="32"/>
        </w:rPr>
        <w:tab/>
        <w:t>质量达标率=（质量达标产出数/实际产出数）×100%。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产出时效</w:t>
      </w:r>
      <w:r>
        <w:rPr>
          <w:rStyle w:val="ad"/>
          <w:rFonts w:ascii="楷体" w:eastAsia="楷体" w:hAnsi="楷体" w:hint="eastAsia"/>
          <w:b w:val="0"/>
          <w:bCs w:val="0"/>
          <w:spacing w:val="-4"/>
          <w:sz w:val="32"/>
          <w:szCs w:val="32"/>
        </w:rPr>
        <w:tab/>
        <w:t>完成时间</w:t>
      </w:r>
      <w:r>
        <w:rPr>
          <w:rStyle w:val="ad"/>
          <w:rFonts w:ascii="楷体" w:eastAsia="楷体" w:hAnsi="楷体" w:hint="eastAsia"/>
          <w:b w:val="0"/>
          <w:bCs w:val="0"/>
          <w:spacing w:val="-4"/>
          <w:sz w:val="32"/>
          <w:szCs w:val="32"/>
        </w:rPr>
        <w:tab/>
        <w:t>项目实际完成时间与计划完成时间的比较，用以反映和考核项目产出时效目标的实现程度。</w:t>
      </w:r>
      <w:r>
        <w:rPr>
          <w:rStyle w:val="ad"/>
          <w:rFonts w:ascii="楷体" w:eastAsia="楷体" w:hAnsi="楷体" w:hint="eastAsia"/>
          <w:b w:val="0"/>
          <w:bCs w:val="0"/>
          <w:spacing w:val="-4"/>
          <w:sz w:val="32"/>
          <w:szCs w:val="32"/>
        </w:rPr>
        <w:tab/>
        <w:t>实际完成时间：项目实施单位完成该项目实际所耗用的时间。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计划完成时间：按照项目实施计划或相关规定完成该项目所需的时间。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ab/>
        <w:t>产出成本</w:t>
      </w:r>
      <w:r>
        <w:rPr>
          <w:rStyle w:val="ad"/>
          <w:rFonts w:ascii="楷体" w:eastAsia="楷体" w:hAnsi="楷体" w:hint="eastAsia"/>
          <w:b w:val="0"/>
          <w:bCs w:val="0"/>
          <w:spacing w:val="-4"/>
          <w:sz w:val="32"/>
          <w:szCs w:val="32"/>
        </w:rPr>
        <w:tab/>
        <w:t>聘用教师工资标准</w:t>
      </w:r>
      <w:r>
        <w:rPr>
          <w:rStyle w:val="ad"/>
          <w:rFonts w:ascii="楷体" w:eastAsia="楷体" w:hAnsi="楷体" w:hint="eastAsia"/>
          <w:b w:val="0"/>
          <w:bCs w:val="0"/>
          <w:spacing w:val="-4"/>
          <w:sz w:val="32"/>
          <w:szCs w:val="32"/>
        </w:rPr>
        <w:tab/>
        <w:t>指代课教师工资发放的实际标准，用以反映和考核我校代课教师工资发放情况。</w:t>
      </w:r>
      <w:r>
        <w:rPr>
          <w:rStyle w:val="ad"/>
          <w:rFonts w:ascii="楷体" w:eastAsia="楷体" w:hAnsi="楷体" w:hint="eastAsia"/>
          <w:b w:val="0"/>
          <w:bCs w:val="0"/>
          <w:spacing w:val="-4"/>
          <w:sz w:val="32"/>
          <w:szCs w:val="32"/>
        </w:rPr>
        <w:tab/>
        <w:t>是否按照上级统一标准发放代课教师工资。</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若能够按照上级统一标准发放代课教师工资，得满分。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若未按照上级统一标准发放代课教师工资，不得分。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效益</w:t>
      </w:r>
      <w:r>
        <w:rPr>
          <w:rStyle w:val="ad"/>
          <w:rFonts w:ascii="楷体" w:eastAsia="楷体" w:hAnsi="楷体" w:hint="eastAsia"/>
          <w:b w:val="0"/>
          <w:bCs w:val="0"/>
          <w:spacing w:val="-4"/>
          <w:sz w:val="32"/>
          <w:szCs w:val="32"/>
        </w:rPr>
        <w:tab/>
        <w:t>社会效益指标</w:t>
      </w:r>
      <w:r>
        <w:rPr>
          <w:rStyle w:val="ad"/>
          <w:rFonts w:ascii="楷体" w:eastAsia="楷体" w:hAnsi="楷体" w:hint="eastAsia"/>
          <w:b w:val="0"/>
          <w:bCs w:val="0"/>
          <w:spacing w:val="-4"/>
          <w:sz w:val="32"/>
          <w:szCs w:val="32"/>
        </w:rPr>
        <w:tab/>
        <w:t>提高教学质量</w:t>
      </w:r>
      <w:r>
        <w:rPr>
          <w:rStyle w:val="ad"/>
          <w:rFonts w:ascii="楷体" w:eastAsia="楷体" w:hAnsi="楷体" w:hint="eastAsia"/>
          <w:b w:val="0"/>
          <w:bCs w:val="0"/>
          <w:spacing w:val="-4"/>
          <w:sz w:val="32"/>
          <w:szCs w:val="32"/>
        </w:rPr>
        <w:tab/>
        <w:t>项目实施所产生的效益。</w:t>
      </w:r>
      <w:r>
        <w:rPr>
          <w:rStyle w:val="ad"/>
          <w:rFonts w:ascii="楷体" w:eastAsia="楷体" w:hAnsi="楷体" w:hint="eastAsia"/>
          <w:b w:val="0"/>
          <w:bCs w:val="0"/>
          <w:spacing w:val="-4"/>
          <w:sz w:val="32"/>
          <w:szCs w:val="32"/>
        </w:rPr>
        <w:tab/>
        <w:t>项目实施所产生的社会效益、经济效益、生态效益、可持续影响等。可根据项目实际情况有选择地设置和细化。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满意度指标完成情况分析</w:t>
      </w:r>
      <w:r>
        <w:rPr>
          <w:rStyle w:val="ad"/>
          <w:rFonts w:ascii="楷体" w:eastAsia="楷体" w:hAnsi="楷体" w:hint="eastAsia"/>
          <w:b w:val="0"/>
          <w:bCs w:val="0"/>
          <w:spacing w:val="-4"/>
          <w:sz w:val="32"/>
          <w:szCs w:val="32"/>
        </w:rPr>
        <w:tab/>
        <w:t>满意度指标</w:t>
      </w:r>
      <w:r>
        <w:rPr>
          <w:rStyle w:val="ad"/>
          <w:rFonts w:ascii="楷体" w:eastAsia="楷体" w:hAnsi="楷体" w:hint="eastAsia"/>
          <w:b w:val="0"/>
          <w:bCs w:val="0"/>
          <w:spacing w:val="-4"/>
          <w:sz w:val="32"/>
          <w:szCs w:val="32"/>
        </w:rPr>
        <w:tab/>
        <w:t>教师满意度</w:t>
      </w:r>
      <w:r>
        <w:rPr>
          <w:rStyle w:val="ad"/>
          <w:rFonts w:ascii="楷体" w:eastAsia="楷体" w:hAnsi="楷体" w:hint="eastAsia"/>
          <w:b w:val="0"/>
          <w:bCs w:val="0"/>
          <w:spacing w:val="-4"/>
          <w:sz w:val="32"/>
          <w:szCs w:val="32"/>
        </w:rPr>
        <w:tab/>
        <w:t>社会公众或服务对象对项目实施效果的满意程度。</w:t>
      </w:r>
      <w:r>
        <w:rPr>
          <w:rStyle w:val="ad"/>
          <w:rFonts w:ascii="楷体" w:eastAsia="楷体" w:hAnsi="楷体" w:hint="eastAsia"/>
          <w:b w:val="0"/>
          <w:bCs w:val="0"/>
          <w:spacing w:val="-4"/>
          <w:sz w:val="32"/>
          <w:szCs w:val="32"/>
        </w:rPr>
        <w:tab/>
        <w:t>社会公众或服务对象是指因该项目实施而受到影响的部门（单位）、群体或个人。一般采取社会调查的方式。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评价方法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w:t>
      </w:r>
      <w:proofErr w:type="gramStart"/>
      <w:r>
        <w:rPr>
          <w:rStyle w:val="ad"/>
          <w:rFonts w:ascii="楷体" w:eastAsia="楷体" w:hAnsi="楷体" w:hint="eastAsia"/>
          <w:b w:val="0"/>
          <w:bCs w:val="0"/>
          <w:spacing w:val="-4"/>
          <w:sz w:val="32"/>
          <w:szCs w:val="32"/>
        </w:rPr>
        <w:t>&lt;项目</w:t>
      </w:r>
      <w:proofErr w:type="gramEnd"/>
      <w:r>
        <w:rPr>
          <w:rStyle w:val="ad"/>
          <w:rFonts w:ascii="楷体" w:eastAsia="楷体" w:hAnsi="楷体" w:hint="eastAsia"/>
          <w:b w:val="0"/>
          <w:bCs w:val="0"/>
          <w:spacing w:val="-4"/>
          <w:sz w:val="32"/>
          <w:szCs w:val="32"/>
        </w:rPr>
        <w:t>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w:t>
      </w:r>
      <w:r>
        <w:rPr>
          <w:rStyle w:val="ad"/>
          <w:rFonts w:ascii="楷体" w:eastAsia="楷体" w:hAnsi="楷体" w:hint="eastAsia"/>
          <w:b w:val="0"/>
          <w:bCs w:val="0"/>
          <w:spacing w:val="-4"/>
          <w:sz w:val="32"/>
          <w:szCs w:val="32"/>
        </w:rPr>
        <w:lastRenderedPageBreak/>
        <w:t>较法、因素分析法、最低成本法、公众评判法、标杆管理法等。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根据本项目（乌财科教【2023】106号-关于拨付2023年中小学和幼儿园自聘教师补助资金的通知项目）的特点，本次评价主要采用比较法和公众评判法，对项目总预算和明细预算的内容、标</w:t>
      </w:r>
      <w:r>
        <w:rPr>
          <w:rStyle w:val="ad"/>
          <w:rFonts w:ascii="楷体" w:eastAsia="楷体" w:hAnsi="楷体" w:hint="eastAsia"/>
          <w:b w:val="0"/>
          <w:bCs w:val="0"/>
          <w:spacing w:val="-4"/>
          <w:sz w:val="32"/>
          <w:szCs w:val="32"/>
        </w:rPr>
        <w:lastRenderedPageBreak/>
        <w:t>准、计划是否经济合理进行深入分析，以考察实际产出和效益是否达到预期。</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·《中共中央国务院关于全面实施预算绩效管理的意见》（中发〔2018〕34号）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w:t>
      </w:r>
      <w:proofErr w:type="gramStart"/>
      <w:r>
        <w:rPr>
          <w:rStyle w:val="ad"/>
          <w:rFonts w:ascii="楷体" w:eastAsia="楷体" w:hAnsi="楷体" w:hint="eastAsia"/>
          <w:b w:val="0"/>
          <w:bCs w:val="0"/>
          <w:spacing w:val="-4"/>
          <w:sz w:val="32"/>
          <w:szCs w:val="32"/>
        </w:rPr>
        <w:t>&lt;乌鲁木齐市</w:t>
      </w:r>
      <w:proofErr w:type="gramEnd"/>
      <w:r>
        <w:rPr>
          <w:rStyle w:val="ad"/>
          <w:rFonts w:ascii="楷体" w:eastAsia="楷体" w:hAnsi="楷体" w:hint="eastAsia"/>
          <w:b w:val="0"/>
          <w:bCs w:val="0"/>
          <w:spacing w:val="-4"/>
          <w:sz w:val="32"/>
          <w:szCs w:val="32"/>
        </w:rPr>
        <w:t>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·《关于做好2019年部门预算项目支出绩效目标管理有关事宜的通知》（乌财预〔2018〕76号）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·《乌财科教【2023】106号-关于拨付2023年中小学和幼儿园自聘教师补助资金的通知》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 《政府会计准则制度解释第6号》的通知财会【2023】18号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·《关于印发米东区教育系统临聘教师管理办法的通知》（米政办【2021】31号）</w:t>
      </w:r>
    </w:p>
    <w:p w14:paraId="2ED6ECBD" w14:textId="77777777" w:rsidR="00BA092C"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644D6D2"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BA092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三、综合评价情况及评价结论</w:t>
      </w:r>
    </w:p>
    <w:p w14:paraId="702BFB2D"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（一）评价结论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乌财科教【2023】106号-关于拨付2023年中小学和幼儿园自聘教师补助资金的通知进行客观评价，最终评分结果为：总分为100分，绩效评级为“优”[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项目各部分权重和绩效分值如表3-1所示：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一级指标</w:t>
      </w:r>
      <w:r>
        <w:rPr>
          <w:rStyle w:val="ad"/>
          <w:rFonts w:ascii="楷体" w:eastAsia="楷体" w:hAnsi="楷体" w:hint="eastAsia"/>
          <w:b w:val="0"/>
          <w:bCs w:val="0"/>
          <w:spacing w:val="-4"/>
          <w:sz w:val="32"/>
          <w:szCs w:val="32"/>
        </w:rPr>
        <w:tab/>
        <w:t>二级指标</w:t>
      </w:r>
      <w:r>
        <w:rPr>
          <w:rStyle w:val="ad"/>
          <w:rFonts w:ascii="楷体" w:eastAsia="楷体" w:hAnsi="楷体" w:hint="eastAsia"/>
          <w:b w:val="0"/>
          <w:bCs w:val="0"/>
          <w:spacing w:val="-4"/>
          <w:sz w:val="32"/>
          <w:szCs w:val="32"/>
        </w:rPr>
        <w:tab/>
        <w:t>三级指标</w:t>
      </w:r>
      <w:r>
        <w:rPr>
          <w:rStyle w:val="ad"/>
          <w:rFonts w:ascii="楷体" w:eastAsia="楷体" w:hAnsi="楷体" w:hint="eastAsia"/>
          <w:b w:val="0"/>
          <w:bCs w:val="0"/>
          <w:spacing w:val="-4"/>
          <w:sz w:val="32"/>
          <w:szCs w:val="32"/>
        </w:rPr>
        <w:tab/>
        <w:t>分值</w:t>
      </w:r>
      <w:r>
        <w:rPr>
          <w:rStyle w:val="ad"/>
          <w:rFonts w:ascii="楷体" w:eastAsia="楷体" w:hAnsi="楷体" w:hint="eastAsia"/>
          <w:b w:val="0"/>
          <w:bCs w:val="0"/>
          <w:spacing w:val="-4"/>
          <w:sz w:val="32"/>
          <w:szCs w:val="32"/>
        </w:rPr>
        <w:tab/>
        <w:t>得分</w:t>
      </w:r>
      <w:r>
        <w:rPr>
          <w:rStyle w:val="ad"/>
          <w:rFonts w:ascii="楷体" w:eastAsia="楷体" w:hAnsi="楷体" w:hint="eastAsia"/>
          <w:b w:val="0"/>
          <w:bCs w:val="0"/>
          <w:spacing w:val="-4"/>
          <w:sz w:val="32"/>
          <w:szCs w:val="32"/>
        </w:rPr>
        <w:tab/>
        <w:t>得分率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项目立项</w:t>
      </w:r>
      <w:r>
        <w:rPr>
          <w:rStyle w:val="ad"/>
          <w:rFonts w:ascii="楷体" w:eastAsia="楷体" w:hAnsi="楷体" w:hint="eastAsia"/>
          <w:b w:val="0"/>
          <w:bCs w:val="0"/>
          <w:spacing w:val="-4"/>
          <w:sz w:val="32"/>
          <w:szCs w:val="32"/>
        </w:rPr>
        <w:tab/>
        <w:t>立项依据充分性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立项程序规范性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绩效目标合理性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绩效指标明确性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ab/>
        <w:t>资金投入</w:t>
      </w:r>
      <w:r>
        <w:rPr>
          <w:rStyle w:val="ad"/>
          <w:rFonts w:ascii="楷体" w:eastAsia="楷体" w:hAnsi="楷体" w:hint="eastAsia"/>
          <w:b w:val="0"/>
          <w:bCs w:val="0"/>
          <w:spacing w:val="-4"/>
          <w:sz w:val="32"/>
          <w:szCs w:val="32"/>
        </w:rPr>
        <w:tab/>
        <w:t>预算编制科学性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资金分配合理性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资金到位率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预算执行率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资金使用合规性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组织实施</w:t>
      </w:r>
      <w:r>
        <w:rPr>
          <w:rStyle w:val="ad"/>
          <w:rFonts w:ascii="楷体" w:eastAsia="楷体" w:hAnsi="楷体" w:hint="eastAsia"/>
          <w:b w:val="0"/>
          <w:bCs w:val="0"/>
          <w:spacing w:val="-4"/>
          <w:sz w:val="32"/>
          <w:szCs w:val="32"/>
        </w:rPr>
        <w:tab/>
        <w:t>管理制度健全性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制度执行有效性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产出数量</w:t>
      </w:r>
      <w:r>
        <w:rPr>
          <w:rStyle w:val="ad"/>
          <w:rFonts w:ascii="楷体" w:eastAsia="楷体" w:hAnsi="楷体" w:hint="eastAsia"/>
          <w:b w:val="0"/>
          <w:bCs w:val="0"/>
          <w:spacing w:val="-4"/>
          <w:sz w:val="32"/>
          <w:szCs w:val="32"/>
        </w:rPr>
        <w:tab/>
        <w:t>同工同酬教师人数</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代课教师人数</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产出质量</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工资发放准确率</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产出时效</w:t>
      </w:r>
      <w:r>
        <w:rPr>
          <w:rStyle w:val="ad"/>
          <w:rFonts w:ascii="楷体" w:eastAsia="楷体" w:hAnsi="楷体" w:hint="eastAsia"/>
          <w:b w:val="0"/>
          <w:bCs w:val="0"/>
          <w:spacing w:val="-4"/>
          <w:sz w:val="32"/>
          <w:szCs w:val="32"/>
        </w:rPr>
        <w:tab/>
        <w:t>完成时间</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6</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产出成本</w:t>
      </w:r>
      <w:r>
        <w:rPr>
          <w:rStyle w:val="ad"/>
          <w:rFonts w:ascii="楷体" w:eastAsia="楷体" w:hAnsi="楷体" w:hint="eastAsia"/>
          <w:b w:val="0"/>
          <w:bCs w:val="0"/>
          <w:spacing w:val="-4"/>
          <w:sz w:val="32"/>
          <w:szCs w:val="32"/>
        </w:rPr>
        <w:tab/>
        <w:t>聘用教师工资标准</w:t>
      </w:r>
      <w:r>
        <w:rPr>
          <w:rStyle w:val="ad"/>
          <w:rFonts w:ascii="楷体" w:eastAsia="楷体" w:hAnsi="楷体" w:hint="eastAsia"/>
          <w:b w:val="0"/>
          <w:bCs w:val="0"/>
          <w:spacing w:val="-4"/>
          <w:sz w:val="32"/>
          <w:szCs w:val="32"/>
        </w:rPr>
        <w:tab/>
        <w:t>12</w:t>
      </w:r>
      <w:r>
        <w:rPr>
          <w:rStyle w:val="ad"/>
          <w:rFonts w:ascii="楷体" w:eastAsia="楷体" w:hAnsi="楷体" w:hint="eastAsia"/>
          <w:b w:val="0"/>
          <w:bCs w:val="0"/>
          <w:spacing w:val="-4"/>
          <w:sz w:val="32"/>
          <w:szCs w:val="32"/>
        </w:rPr>
        <w:tab/>
        <w:t>12</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效益</w:t>
      </w:r>
      <w:r>
        <w:rPr>
          <w:rStyle w:val="ad"/>
          <w:rFonts w:ascii="楷体" w:eastAsia="楷体" w:hAnsi="楷体" w:hint="eastAsia"/>
          <w:b w:val="0"/>
          <w:bCs w:val="0"/>
          <w:spacing w:val="-4"/>
          <w:sz w:val="32"/>
          <w:szCs w:val="32"/>
        </w:rPr>
        <w:tab/>
        <w:t>社会效益指标</w:t>
      </w:r>
      <w:r>
        <w:rPr>
          <w:rStyle w:val="ad"/>
          <w:rFonts w:ascii="楷体" w:eastAsia="楷体" w:hAnsi="楷体" w:hint="eastAsia"/>
          <w:b w:val="0"/>
          <w:bCs w:val="0"/>
          <w:spacing w:val="-4"/>
          <w:sz w:val="32"/>
          <w:szCs w:val="32"/>
        </w:rPr>
        <w:tab/>
        <w:t>提高教学质量</w:t>
      </w:r>
      <w:r>
        <w:rPr>
          <w:rStyle w:val="ad"/>
          <w:rFonts w:ascii="楷体" w:eastAsia="楷体" w:hAnsi="楷体" w:hint="eastAsia"/>
          <w:b w:val="0"/>
          <w:bCs w:val="0"/>
          <w:spacing w:val="-4"/>
          <w:sz w:val="32"/>
          <w:szCs w:val="32"/>
        </w:rPr>
        <w:tab/>
        <w:t>12</w:t>
      </w:r>
      <w:r>
        <w:rPr>
          <w:rStyle w:val="ad"/>
          <w:rFonts w:ascii="楷体" w:eastAsia="楷体" w:hAnsi="楷体" w:hint="eastAsia"/>
          <w:b w:val="0"/>
          <w:bCs w:val="0"/>
          <w:spacing w:val="-4"/>
          <w:sz w:val="32"/>
          <w:szCs w:val="32"/>
        </w:rPr>
        <w:tab/>
        <w:t>12</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满意度指标完成情况分析</w:t>
      </w:r>
      <w:r>
        <w:rPr>
          <w:rStyle w:val="ad"/>
          <w:rFonts w:ascii="楷体" w:eastAsia="楷体" w:hAnsi="楷体" w:hint="eastAsia"/>
          <w:b w:val="0"/>
          <w:bCs w:val="0"/>
          <w:spacing w:val="-4"/>
          <w:sz w:val="32"/>
          <w:szCs w:val="32"/>
        </w:rPr>
        <w:tab/>
        <w:t>满意度指标</w:t>
      </w:r>
      <w:r>
        <w:rPr>
          <w:rStyle w:val="ad"/>
          <w:rFonts w:ascii="楷体" w:eastAsia="楷体" w:hAnsi="楷体" w:hint="eastAsia"/>
          <w:b w:val="0"/>
          <w:bCs w:val="0"/>
          <w:spacing w:val="-4"/>
          <w:sz w:val="32"/>
          <w:szCs w:val="32"/>
        </w:rPr>
        <w:tab/>
        <w:t>聘用教师满意度</w:t>
      </w:r>
      <w:r>
        <w:rPr>
          <w:rStyle w:val="ad"/>
          <w:rFonts w:ascii="楷体" w:eastAsia="楷体" w:hAnsi="楷体" w:hint="eastAsia"/>
          <w:b w:val="0"/>
          <w:bCs w:val="0"/>
          <w:spacing w:val="-4"/>
          <w:sz w:val="32"/>
          <w:szCs w:val="32"/>
        </w:rPr>
        <w:tab/>
        <w:t>12</w:t>
      </w:r>
      <w:r>
        <w:rPr>
          <w:rStyle w:val="ad"/>
          <w:rFonts w:ascii="楷体" w:eastAsia="楷体" w:hAnsi="楷体" w:hint="eastAsia"/>
          <w:b w:val="0"/>
          <w:bCs w:val="0"/>
          <w:spacing w:val="-4"/>
          <w:sz w:val="32"/>
          <w:szCs w:val="32"/>
        </w:rPr>
        <w:tab/>
        <w:t>12</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资金区财政及时拨付，单位在此次评价期间内，有序完成设定目标的部分工作任务，保障了学校聘用教师工资的及时发放、社保、医疗按时缴纳，提高了聘用教师的工作积极性，同时也保障了学校教师队伍的稳定。此项聘用教师补助资金拨款到位，使学校各项日常教学教育工作有序开展，聘用教师工资的发放，通过东凯劳务派遣公司按月发放，确保了资金使用及时、合理合规。</w:t>
      </w:r>
    </w:p>
    <w:p w14:paraId="624FD63F" w14:textId="77777777" w:rsidR="00BA092C"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BA092C"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BA092C"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项目决策指标由3个二级指标和6个三级指标构成，权重为20分，实际得分20分。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立项依据充分性：项目立项《关于印发米东区教育系统临聘教师管理办法的通知》（米政办【2021】31号）政策要求。同时，部</w:t>
      </w:r>
      <w:r>
        <w:rPr>
          <w:rStyle w:val="ad"/>
          <w:rFonts w:ascii="楷体" w:eastAsia="楷体" w:hAnsi="楷体" w:hint="eastAsia"/>
          <w:b w:val="0"/>
          <w:bCs w:val="0"/>
          <w:spacing w:val="-4"/>
          <w:sz w:val="32"/>
          <w:szCs w:val="32"/>
        </w:rPr>
        <w:lastRenderedPageBreak/>
        <w:t>门履职要求年初按照上级部门所核定的人数进行资金的申请，在每月按时发放聘用教师工资，缴纳聘用教师社保、医疗。此外，本项目属于公共财政支持范围，符合中央、自治区、地方事权支出责任划分原则，没有与相关部门同类项目或部门内部相关项目重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故立项依据充分性权重为4分，实际得分4分。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立项程序规范性：项目按照按照上级部门所核定的人数进行资金的申请设立，审批文件乌财科教【2023】106号-关于拨付2023年中小学和幼儿园自聘教师补助资金的通知、外聘教师工资表等材料符合相关要求。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故立项程序规范指标权重为4分，实际得分4分。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目标合理性：本项目的绩效目标按照产出、成本、效益和满意度构建绩效评价指标，且具有明确性、可衡量性、可实现性、相关性和时限性等特点，能较为全面地反映本项目外聘教师人数按照上级部门要求范围内招聘、外聘教师工资标准按照文件要求发放、时效按照12个月发放、有效保障外聘教师生活水平并提高代课教师满意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故绩效目标合理性指标权重为3分，实际得分3分。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绩效目标明确性：本项目目标为按标准为我校自聘教师及时发放工资并缴纳社保，提升我校教师队伍稳定性，有效保障学校正常运行，推动学校均衡化发展。其中，目标已细化为具体的绩效指标，如同工同酬教师</w:t>
      </w:r>
      <w:proofErr w:type="gramStart"/>
      <w:r>
        <w:rPr>
          <w:rStyle w:val="ad"/>
          <w:rFonts w:ascii="楷体" w:eastAsia="楷体" w:hAnsi="楷体" w:hint="eastAsia"/>
          <w:b w:val="0"/>
          <w:bCs w:val="0"/>
          <w:spacing w:val="-4"/>
          <w:sz w:val="32"/>
          <w:szCs w:val="32"/>
        </w:rPr>
        <w:t>人数&gt;</w:t>
      </w:r>
      <w:proofErr w:type="gramEnd"/>
      <w:r>
        <w:rPr>
          <w:rStyle w:val="ad"/>
          <w:rFonts w:ascii="楷体" w:eastAsia="楷体" w:hAnsi="楷体" w:hint="eastAsia"/>
          <w:b w:val="0"/>
          <w:bCs w:val="0"/>
          <w:spacing w:val="-4"/>
          <w:sz w:val="32"/>
          <w:szCs w:val="32"/>
        </w:rPr>
        <w:t>=31人、聘用教师人数&gt;=42人、工资发放准确率=100%、同工同酬教师工资标准=6777元/人/月、聘用教师工资标准=4550元/人/月、完成时间=12个月、提高教学质量、有所提高、聘用教师满意度&gt;=95%，可通过数量指标、质量指标、时效指标、成本指标、社会效益和满意度指标予以量化，并具有确切的评价标准，且指标设定均与目标相关。指标可以通过查询外聘教师工资表，对教师和学生发放调查问卷等方式收集评价数据进行佐证，且指标能够与当年项目年度计划相对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故绩效目标明确性指标权重为3分，实际得分3分。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编制科学性：教育局根据我校上级部门审批的代课教师工资表，根据我校核定的代课教师实际人数预算我校代课教师工资的补助资金，财政局为我校合理的安排了代课教师的薪酬，为我校顺利发放代课教师工资提供了有力的保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故预算编制科学性指标权重为3分，实际得分3分。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分配合理性：根据《乌财科教【2023】106号-关于拨付2023年中小学和幼儿园自聘教师补助资金的通知》和《关于印发米东区教育系统临聘教师管理办法的通知》（米政办【2021】31号）文件精神，该部分资金适合使用外聘教师工资发放，具体发放依据上级部门核算的外聘教师人数和上级部门要求的外聘教师工资标准来测算。</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故资金分配合理性指标权重为3分，实际得分3分。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tab/>
      </w:r>
    </w:p>
    <w:p w14:paraId="18D4984C" w14:textId="77777777" w:rsidR="00BA092C"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050D79C3"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资金到位率：单位财政局下达预算指标为287.79万元，在2023年12月31日之前累计拨付代课教师补助资金287.79万元全年资金到位率=（实际拨付资金/全年预算数）*100%=287.79/287.79*100*=100%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故资金到位率指标权重为5分，实际得分5分。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预算执行率：学校聘用教师补助资金全年预算数287.79万元，</w:t>
      </w:r>
      <w:r w:rsidR="00863F95">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2023年12月财政累计支付代课教师补助资金287.79万元，学校全部用于支付聘用教师工资、社保、医疗预算执行率为100%。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故预算执行率指标权重为5分，实际得分5分。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使用合规性：本项目资金的使用符合《关于印发米东区教育系统临聘教师管理办法的通知》（米政办【2021】31号）管理制度以及有关《乌财科教【2023】106号-关于拨付2023年中小学和幼儿园自聘教师补助资金的通知》资金管理办法的规定。同时，资金的拨付有通过人事主任对外聘教师人数和人员的审核、教务主任对外聘教师人员到岗情况、分管财务校长审批签字、财政局对资金的支付指标审核等流程。符合项目预算文件的用途，不存在截留、挤占、挪用、虚列支出等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故资金使用合规性指标权重为3分，实际得分3分。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综上，该指标满分13分，得分13分。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管理制度健全性：乌鲁木齐市第114中学完全执行《关于印发米东区教育系统临聘教师管理办法的通知》（米政办【2021】31号）的管理制度，且制度合法、合规、完整，为项目顺利实施提供重</w:t>
      </w:r>
      <w:r>
        <w:rPr>
          <w:rStyle w:val="ad"/>
          <w:rFonts w:ascii="楷体" w:eastAsia="楷体" w:hAnsi="楷体" w:hint="eastAsia"/>
          <w:b w:val="0"/>
          <w:bCs w:val="0"/>
          <w:spacing w:val="-4"/>
          <w:sz w:val="32"/>
          <w:szCs w:val="32"/>
        </w:rPr>
        <w:lastRenderedPageBreak/>
        <w:t>要保障。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故管理制度健全性指标权重为3分，实际得分3分。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制度执行有效性：根据评价小组核查情况乌鲁木齐市第114中学严格遵守相关法律法规和相关管理规定，项目调整及支出调整手续完备，整体管理合理有序，项目完成后，及时将会计凭证、外聘教师工资发票工资表等相关资料分类归档，制度执行有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故制度执行有效性指标权重为4分，实际得分4分。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综上，该指标满分7分，得分7分。</w:t>
      </w:r>
    </w:p>
    <w:p w14:paraId="626924A3" w14:textId="77777777" w:rsidR="00BA092C"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项目产出指标由4个二级指标和5个三级指标构成，权重为36分，实际得分36分。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数量指标“聘用教师人数”的目标值是73个，2023年度我单位实际完成73个，原因是教育局根据我校在人事局审批的聘用教师工资表，为我校核定的聘用教师人数为73人，实际人数73人，指标完成率100%。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故聘用教师人数指标权重为6分，实际得分6分。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产出质量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聘用资金发放准确率：我单位通过中小学教务主任对自聘教师的考勤考核得出自聘教师到校上岗率目标值为100%，实际自聘教师上岗率为100%。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故自聘教师上岗率指标权重为6分，实际得分6分。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产出时效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项目完成时间：我单位计划发放12个月外聘教师工资并支付社保、医疗，实际发放12个月外聘教师工资并支付社保、医疗。</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故支付时限指标权重为6分，实际得分6分。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聘用教师工资标准：本项目同工同酬教师工资标准6777元/人/月，聘用教师工资标准4550元/人/月；实际支付同工同酬教师工资标准6777元/人/月、聘用教师工资标准4550元/人/月。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故聘用教师工资标准指标权重为12分，实际得分12分。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综上，该部分指标满分36分，得分36分。</w:t>
      </w:r>
    </w:p>
    <w:p w14:paraId="404219E3" w14:textId="77777777" w:rsidR="00BA092C"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CE82706"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lastRenderedPageBreak/>
        <w:t>项目效益指标由1个二级指标和1个三级指标构成，权重为12分，实际得分12分。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经济效益指标：不适用。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社会效益指标：评价指标“提高教学质量”，指标值：有所提高，实际完成值：达成年度指标。本项目的实施有效提高了自聘教师的工资待遇，调动了代课教师的积极性，同时也给学校正常开展教学工作提供有利的保障。故社会效益指标权重为12分，实际得分12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生态效益指标：不适用。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综上，该指标满分12分，得分12分。</w:t>
      </w:r>
    </w:p>
    <w:p w14:paraId="57FD828A"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2. 满意度指标完成情况分析</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（1）满意度指标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聘用教师满意度：评价指标“代课教师满意度”，指标值：≥95%，</w:t>
      </w:r>
      <w:r>
        <w:rPr>
          <w:rStyle w:val="ad"/>
          <w:rFonts w:ascii="楷体" w:eastAsia="楷体" w:hAnsi="楷体" w:hint="eastAsia"/>
          <w:b w:val="0"/>
          <w:bCs w:val="0"/>
          <w:spacing w:val="-4"/>
          <w:sz w:val="32"/>
          <w:szCs w:val="32"/>
        </w:rPr>
        <w:lastRenderedPageBreak/>
        <w:t>实际完成值：95%。通过设置问卷调查的方式进行考评评价，共计调查样本总量为10个样本，有效调查问卷10份。其中，统计“满意”的平均值为95%。故满意度指标得分为12分。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综上，该指标满分12分，得分12分。</w:t>
      </w:r>
    </w:p>
    <w:p w14:paraId="3385D9A6" w14:textId="77777777" w:rsidR="00BA092C" w:rsidRDefault="00BA092C">
      <w:pPr>
        <w:spacing w:line="540" w:lineRule="exact"/>
        <w:ind w:firstLine="567"/>
        <w:rPr>
          <w:rStyle w:val="ad"/>
          <w:rFonts w:ascii="楷体" w:eastAsia="楷体" w:hAnsi="楷体" w:hint="eastAsia"/>
          <w:spacing w:val="-4"/>
          <w:sz w:val="32"/>
          <w:szCs w:val="32"/>
        </w:rPr>
      </w:pPr>
    </w:p>
    <w:p w14:paraId="75C28D89" w14:textId="77777777" w:rsidR="00BA092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43BCB296" w14:textId="77777777" w:rsidR="00BA092C"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严格落实上级有关政策和精神，做好政策的宣传、解释工作。学习并健全机制，强化工作保障，细化部门责任形成齐抓共管的工作局面，建立健全通报、简报、督办等专项工作制度，及时掌握各项目的进展和存在的问题。</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2、领导重视项目的开展执行和成效，责任分工明确，负责组织协调各方面工作，是项目顺利进行和保障项目质量的前提。</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3、学校对聘用教师每学期工作情况，都严格按照学校教职工绩效考核方案，制定切实可行的考核办法，及时公示量化考核结果。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局限于合规性的评价，绩效评价的内容不完全合理，因为财务人员更侧重于学习资金支付是否合规，对资金支付的效率性和有效性方向的分析评价还不够。</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尽管我们在发放自聘教师工资项目中取得了一定成效，但仍存在一些问题：</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同工同酬教师工资待遇有所提高，聘用教师薪酬水平偏低，教师流动性大。由于财政资金的限制，部分聘用教师的薪酬水平仍然偏低，难以吸引和留住优秀人才。这主要源于财政资金的有限性和教育投入的长期性之间的矛盾。</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工资发放不及时：因财政资金紧张导致工资发放存在延迟现象，给教师的生活带来了一定困扰。学校劳资给老师们解释工作到位，老师们理解暂时的困难坚持把工作干好，因此在学校管理水平和资金管理能力要不断提高。</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3.聘用教师队伍建设有待完善，以目前的教师业务能力水平不断加强培训，要能充分考虑教师的个人发展、职业规划等因素，其实这主要是由于我们在制定薪酬待遇方面缺乏全面性和前瞻性。</w:t>
      </w:r>
    </w:p>
    <w:p w14:paraId="391BFB09" w14:textId="77777777" w:rsidR="00BA092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017A5A3F" w14:textId="77777777" w:rsidR="00BA092C"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《乌财科教【2023】106号-关于拨付2023年中小学和幼儿园自聘教师补助资金的通知》项目的绩效目标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此项目主要内容为按标准聘用教师及时发放工资并缴纳社保、医疗。此项目的实施可提升我校教师队伍稳定性，有效保障学校正常运行，推动学校均衡化发展贯穿项目实施的整个周期，指导着《乌财科教【2023】106号-关于拨付2023年中小学和幼儿园自</w:t>
      </w:r>
      <w:r>
        <w:rPr>
          <w:rStyle w:val="ad"/>
          <w:rFonts w:ascii="楷体" w:eastAsia="楷体" w:hAnsi="楷体" w:hint="eastAsia"/>
          <w:b w:val="0"/>
          <w:bCs w:val="0"/>
          <w:spacing w:val="-4"/>
          <w:sz w:val="32"/>
          <w:szCs w:val="32"/>
        </w:rPr>
        <w:lastRenderedPageBreak/>
        <w:t>聘教师补助资金的通知》项目的发展方向：绩效指标聘用教师</w:t>
      </w:r>
      <w:proofErr w:type="gramStart"/>
      <w:r>
        <w:rPr>
          <w:rStyle w:val="ad"/>
          <w:rFonts w:ascii="楷体" w:eastAsia="楷体" w:hAnsi="楷体" w:hint="eastAsia"/>
          <w:b w:val="0"/>
          <w:bCs w:val="0"/>
          <w:spacing w:val="-4"/>
          <w:sz w:val="32"/>
          <w:szCs w:val="32"/>
        </w:rPr>
        <w:t>人数&gt;</w:t>
      </w:r>
      <w:proofErr w:type="gramEnd"/>
      <w:r>
        <w:rPr>
          <w:rStyle w:val="ad"/>
          <w:rFonts w:ascii="楷体" w:eastAsia="楷体" w:hAnsi="楷体" w:hint="eastAsia"/>
          <w:b w:val="0"/>
          <w:bCs w:val="0"/>
          <w:spacing w:val="-4"/>
          <w:sz w:val="32"/>
          <w:szCs w:val="32"/>
        </w:rPr>
        <w:t>=73人、工资发放准确率=100%、聘用教师工资标准=100%、完成时间=12个月、同工同酬教师工资标准6777元/人/月，聘用教师工资标准4550元/人/月、提高教学质量 有所提高、聘用教师满意度&gt;=95%是绩效目标的具体化对项目实施的各个阶段起着考核、监督、引导的作用。我单位在以后年度财政项目绩效目标申报工作中也将结合项目实施内容外聘教师工资发放的情况及特点，设定项目总目标、年度绩效目标及绩效指标，形成项目有目标、工作有计划、绩效可量化、考核有依据的计划自标管理机制，便于有效考核执行效果。</w:t>
      </w:r>
    </w:p>
    <w:p w14:paraId="4DE4CB6C" w14:textId="77777777" w:rsidR="00BA092C"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D5CD257" w14:textId="77777777" w:rsidR="00BA092C"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（二）项目安排资金合理、准确，未发现背离项目立项初衷的情况。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（三）项目的申报、审核机制细致、完善。</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（四）未发现虚假行为和骗取财政资金的问题。</w:t>
      </w:r>
    </w:p>
    <w:p w14:paraId="4CFE2C52" w14:textId="77777777" w:rsidR="00BA092C" w:rsidRDefault="00BA092C">
      <w:pPr>
        <w:spacing w:line="540" w:lineRule="exact"/>
        <w:ind w:firstLine="567"/>
        <w:rPr>
          <w:rStyle w:val="ad"/>
          <w:rFonts w:ascii="仿宋" w:eastAsia="仿宋" w:hAnsi="仿宋" w:hint="eastAsia"/>
          <w:b w:val="0"/>
          <w:spacing w:val="-4"/>
          <w:sz w:val="32"/>
          <w:szCs w:val="32"/>
        </w:rPr>
      </w:pPr>
    </w:p>
    <w:p w14:paraId="4DF72206" w14:textId="77777777" w:rsidR="00BA092C" w:rsidRDefault="00BA092C">
      <w:pPr>
        <w:spacing w:line="540" w:lineRule="exact"/>
        <w:ind w:firstLine="567"/>
        <w:rPr>
          <w:rStyle w:val="ad"/>
          <w:rFonts w:ascii="仿宋" w:eastAsia="仿宋" w:hAnsi="仿宋" w:hint="eastAsia"/>
          <w:b w:val="0"/>
          <w:spacing w:val="-4"/>
          <w:sz w:val="32"/>
          <w:szCs w:val="32"/>
        </w:rPr>
      </w:pPr>
    </w:p>
    <w:p w14:paraId="1CE13106" w14:textId="77777777" w:rsidR="00BA092C" w:rsidRDefault="00BA092C">
      <w:pPr>
        <w:spacing w:line="540" w:lineRule="exact"/>
        <w:ind w:firstLine="567"/>
        <w:rPr>
          <w:rStyle w:val="ad"/>
          <w:rFonts w:ascii="仿宋" w:eastAsia="仿宋" w:hAnsi="仿宋" w:hint="eastAsia"/>
          <w:b w:val="0"/>
          <w:spacing w:val="-4"/>
          <w:sz w:val="32"/>
          <w:szCs w:val="32"/>
        </w:rPr>
      </w:pPr>
    </w:p>
    <w:p w14:paraId="06227BCA" w14:textId="77777777" w:rsidR="00BA092C" w:rsidRDefault="00BA092C">
      <w:pPr>
        <w:spacing w:line="540" w:lineRule="exact"/>
        <w:ind w:firstLine="567"/>
        <w:rPr>
          <w:rStyle w:val="ad"/>
          <w:rFonts w:ascii="仿宋" w:eastAsia="仿宋" w:hAnsi="仿宋" w:hint="eastAsia"/>
          <w:b w:val="0"/>
          <w:spacing w:val="-4"/>
          <w:sz w:val="32"/>
          <w:szCs w:val="32"/>
        </w:rPr>
      </w:pPr>
    </w:p>
    <w:p w14:paraId="73F3A83B" w14:textId="77777777" w:rsidR="00BA092C" w:rsidRDefault="00BA092C">
      <w:pPr>
        <w:spacing w:line="540" w:lineRule="exact"/>
        <w:ind w:firstLine="567"/>
        <w:rPr>
          <w:rStyle w:val="ad"/>
          <w:rFonts w:ascii="仿宋" w:eastAsia="仿宋" w:hAnsi="仿宋" w:hint="eastAsia"/>
          <w:b w:val="0"/>
          <w:spacing w:val="-4"/>
          <w:sz w:val="32"/>
          <w:szCs w:val="32"/>
        </w:rPr>
      </w:pPr>
    </w:p>
    <w:sectPr w:rsidR="00BA092C">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C9183" w14:textId="77777777" w:rsidR="00B85C3C" w:rsidRDefault="00B85C3C">
      <w:r>
        <w:separator/>
      </w:r>
    </w:p>
  </w:endnote>
  <w:endnote w:type="continuationSeparator" w:id="0">
    <w:p w14:paraId="1C45C813" w14:textId="77777777" w:rsidR="00B85C3C" w:rsidRDefault="00B8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BA092C"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BA092C" w:rsidRDefault="00BA09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0C5CE" w14:textId="77777777" w:rsidR="00B85C3C" w:rsidRDefault="00B85C3C">
      <w:r>
        <w:separator/>
      </w:r>
    </w:p>
  </w:footnote>
  <w:footnote w:type="continuationSeparator" w:id="0">
    <w:p w14:paraId="667B9981" w14:textId="77777777" w:rsidR="00B85C3C" w:rsidRDefault="00B85C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03DA3"/>
    <w:rsid w:val="007E3CE9"/>
    <w:rsid w:val="0083370B"/>
    <w:rsid w:val="00855E3A"/>
    <w:rsid w:val="00863F95"/>
    <w:rsid w:val="0091457F"/>
    <w:rsid w:val="00922CB9"/>
    <w:rsid w:val="009C229E"/>
    <w:rsid w:val="009E5CD9"/>
    <w:rsid w:val="00A26421"/>
    <w:rsid w:val="00A34588"/>
    <w:rsid w:val="00A4293B"/>
    <w:rsid w:val="00A67D50"/>
    <w:rsid w:val="00A8691A"/>
    <w:rsid w:val="00AC1946"/>
    <w:rsid w:val="00B40063"/>
    <w:rsid w:val="00B41F61"/>
    <w:rsid w:val="00B85C3C"/>
    <w:rsid w:val="00BA092C"/>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47B7E6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190ED1-6808-40FA-9AE1-0632053F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32</Pages>
  <Words>6155</Words>
  <Characters>6402</Characters>
  <Application>Microsoft Office Word</Application>
  <DocSecurity>0</DocSecurity>
  <Lines>457</Lines>
  <Paragraphs>40</Paragraphs>
  <ScaleCrop>false</ScaleCrop>
  <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23</cp:revision>
  <cp:lastPrinted>2018-12-31T10:56:00Z</cp:lastPrinted>
  <dcterms:created xsi:type="dcterms:W3CDTF">2018-08-15T02:06:00Z</dcterms:created>
  <dcterms:modified xsi:type="dcterms:W3CDTF">2026-08-10T04:45:00Z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C734C92AAAF24344A0E4232D8EB3359B</vt:lpwstr>
  </property>
</Properties>
</file>