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280CF" w14:textId="77777777" w:rsidR="0087346A" w:rsidRDefault="00000000">
      <w:pPr>
        <w:spacing w:line="540" w:lineRule="exact"/>
        <w:jc w:val="left"/>
        <w:rPr>
          <w:rFonts w:ascii="仿宋" w:eastAsia="仿宋" w:hAnsi="仿宋" w:cs="宋体" w:hint="eastAsia"/>
          <w:kern w:val="0"/>
          <w:sz w:val="32"/>
          <w:szCs w:val="32"/>
        </w:rPr>
      </w:pPr>
      <w:r>
        <w:rPr>
          <w:rFonts w:ascii="仿宋" w:eastAsia="仿宋" w:hAnsi="仿宋" w:cs="宋体" w:hint="eastAsia"/>
          <w:kern w:val="0"/>
          <w:sz w:val="32"/>
          <w:szCs w:val="32"/>
        </w:rPr>
        <w:t>附件2：</w:t>
      </w:r>
    </w:p>
    <w:p w14:paraId="4DD46E40" w14:textId="77777777" w:rsidR="0087346A" w:rsidRDefault="0087346A">
      <w:pPr>
        <w:spacing w:line="540" w:lineRule="exact"/>
        <w:jc w:val="center"/>
        <w:rPr>
          <w:rFonts w:ascii="华文中宋" w:eastAsia="华文中宋" w:hAnsi="华文中宋" w:cs="宋体" w:hint="eastAsia"/>
          <w:b/>
          <w:kern w:val="0"/>
          <w:sz w:val="52"/>
          <w:szCs w:val="52"/>
        </w:rPr>
      </w:pPr>
    </w:p>
    <w:p w14:paraId="69965A33" w14:textId="77777777" w:rsidR="0087346A" w:rsidRDefault="0087346A">
      <w:pPr>
        <w:spacing w:line="540" w:lineRule="exact"/>
        <w:jc w:val="center"/>
        <w:rPr>
          <w:rFonts w:ascii="华文中宋" w:eastAsia="华文中宋" w:hAnsi="华文中宋" w:cs="宋体" w:hint="eastAsia"/>
          <w:b/>
          <w:kern w:val="0"/>
          <w:sz w:val="52"/>
          <w:szCs w:val="52"/>
        </w:rPr>
      </w:pPr>
    </w:p>
    <w:p w14:paraId="480F4545" w14:textId="77777777" w:rsidR="0087346A" w:rsidRDefault="0087346A">
      <w:pPr>
        <w:spacing w:line="540" w:lineRule="exact"/>
        <w:jc w:val="center"/>
        <w:rPr>
          <w:rFonts w:ascii="华文中宋" w:eastAsia="华文中宋" w:hAnsi="华文中宋" w:cs="宋体" w:hint="eastAsia"/>
          <w:b/>
          <w:kern w:val="0"/>
          <w:sz w:val="52"/>
          <w:szCs w:val="52"/>
        </w:rPr>
      </w:pPr>
    </w:p>
    <w:p w14:paraId="0CE153BE" w14:textId="77777777" w:rsidR="0087346A" w:rsidRDefault="0087346A">
      <w:pPr>
        <w:spacing w:line="540" w:lineRule="exact"/>
        <w:jc w:val="center"/>
        <w:rPr>
          <w:rFonts w:ascii="华文中宋" w:eastAsia="华文中宋" w:hAnsi="华文中宋" w:cs="宋体" w:hint="eastAsia"/>
          <w:b/>
          <w:kern w:val="0"/>
          <w:sz w:val="52"/>
          <w:szCs w:val="52"/>
        </w:rPr>
      </w:pPr>
    </w:p>
    <w:p w14:paraId="3B56542D" w14:textId="77777777" w:rsidR="0087346A" w:rsidRDefault="0087346A">
      <w:pPr>
        <w:spacing w:line="540" w:lineRule="exact"/>
        <w:jc w:val="center"/>
        <w:rPr>
          <w:rFonts w:ascii="华文中宋" w:eastAsia="华文中宋" w:hAnsi="华文中宋" w:cs="宋体" w:hint="eastAsia"/>
          <w:b/>
          <w:kern w:val="0"/>
          <w:sz w:val="52"/>
          <w:szCs w:val="52"/>
        </w:rPr>
      </w:pPr>
    </w:p>
    <w:p w14:paraId="79E80601" w14:textId="77777777" w:rsidR="0087346A" w:rsidRPr="001535F4" w:rsidRDefault="0087346A">
      <w:pPr>
        <w:spacing w:line="540" w:lineRule="exact"/>
        <w:jc w:val="center"/>
        <w:rPr>
          <w:rFonts w:ascii="华文中宋" w:eastAsia="华文中宋" w:hAnsi="华文中宋" w:cs="宋体" w:hint="eastAsia"/>
          <w:b/>
          <w:kern w:val="0"/>
          <w:sz w:val="52"/>
          <w:szCs w:val="52"/>
        </w:rPr>
      </w:pPr>
    </w:p>
    <w:p w14:paraId="553B5564" w14:textId="77777777" w:rsidR="0087346A" w:rsidRDefault="00000000">
      <w:pPr>
        <w:spacing w:line="540" w:lineRule="exact"/>
        <w:jc w:val="center"/>
        <w:rPr>
          <w:rFonts w:ascii="方正小标宋_GBK" w:eastAsia="方正小标宋_GBK" w:hAnsi="华文中宋" w:cs="宋体" w:hint="eastAsia"/>
          <w:b/>
          <w:kern w:val="0"/>
          <w:sz w:val="48"/>
          <w:szCs w:val="48"/>
        </w:rPr>
      </w:pPr>
      <w:r>
        <w:rPr>
          <w:rFonts w:ascii="方正小标宋_GBK" w:eastAsia="方正小标宋_GBK" w:hAnsi="华文中宋" w:cs="宋体" w:hint="eastAsia"/>
          <w:b/>
          <w:kern w:val="0"/>
          <w:sz w:val="48"/>
          <w:szCs w:val="48"/>
        </w:rPr>
        <w:t>项目支出绩效自评报告</w:t>
      </w:r>
    </w:p>
    <w:p w14:paraId="6047AF13" w14:textId="77777777" w:rsidR="0087346A" w:rsidRDefault="0087346A">
      <w:pPr>
        <w:spacing w:line="540" w:lineRule="exact"/>
        <w:jc w:val="center"/>
        <w:rPr>
          <w:rFonts w:ascii="华文中宋" w:eastAsia="华文中宋" w:hAnsi="华文中宋" w:cs="宋体" w:hint="eastAsia"/>
          <w:b/>
          <w:kern w:val="0"/>
          <w:sz w:val="52"/>
          <w:szCs w:val="52"/>
        </w:rPr>
      </w:pPr>
    </w:p>
    <w:p w14:paraId="39144C43" w14:textId="77777777" w:rsidR="0087346A" w:rsidRDefault="00000000">
      <w:pPr>
        <w:spacing w:line="540" w:lineRule="exact"/>
        <w:jc w:val="center"/>
        <w:rPr>
          <w:rFonts w:eastAsia="仿宋_GB2312" w:hAnsi="宋体" w:cs="宋体" w:hint="eastAsia"/>
          <w:kern w:val="0"/>
          <w:sz w:val="36"/>
          <w:szCs w:val="36"/>
        </w:rPr>
      </w:pPr>
      <w:proofErr w:type="gramStart"/>
      <w:r>
        <w:rPr>
          <w:rFonts w:eastAsia="仿宋_GB2312" w:hAnsi="宋体" w:cs="宋体" w:hint="eastAsia"/>
          <w:kern w:val="0"/>
          <w:sz w:val="36"/>
          <w:szCs w:val="36"/>
        </w:rPr>
        <w:t>（</w:t>
      </w:r>
      <w:r>
        <w:rPr>
          <w:rFonts w:eastAsia="仿宋_GB2312" w:hAnsi="宋体" w:cs="宋体" w:hint="eastAsia"/>
          <w:kern w:val="0"/>
          <w:sz w:val="36"/>
          <w:szCs w:val="36"/>
        </w:rPr>
        <w:t xml:space="preserve"> </w:t>
      </w:r>
      <w:proofErr w:type="gramEnd"/>
      <w:r>
        <w:rPr>
          <w:rFonts w:eastAsia="仿宋_GB2312" w:hAnsi="宋体" w:cs="宋体" w:hint="eastAsia"/>
          <w:kern w:val="0"/>
          <w:sz w:val="36"/>
          <w:szCs w:val="36"/>
        </w:rPr>
        <w:t xml:space="preserve">  </w:t>
      </w:r>
      <w:proofErr w:type="gramStart"/>
      <w:r>
        <w:rPr>
          <w:rStyle w:val="ad"/>
          <w:rFonts w:ascii="楷体" w:eastAsia="楷体" w:hAnsi="楷体" w:hint="eastAsia"/>
          <w:spacing w:val="-4"/>
          <w:sz w:val="32"/>
          <w:szCs w:val="32"/>
        </w:rPr>
        <w:t>2023</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roofErr w:type="gramEnd"/>
      <w:r>
        <w:rPr>
          <w:rFonts w:eastAsia="仿宋_GB2312" w:hAnsi="宋体" w:cs="宋体" w:hint="eastAsia"/>
          <w:kern w:val="0"/>
          <w:sz w:val="36"/>
          <w:szCs w:val="36"/>
        </w:rPr>
        <w:t>）</w:t>
      </w:r>
    </w:p>
    <w:p w14:paraId="5ABE7071" w14:textId="77777777" w:rsidR="0087346A" w:rsidRDefault="0087346A">
      <w:pPr>
        <w:spacing w:line="540" w:lineRule="exact"/>
        <w:jc w:val="center"/>
        <w:rPr>
          <w:rFonts w:eastAsia="仿宋_GB2312" w:hAnsi="宋体" w:cs="宋体" w:hint="eastAsia"/>
          <w:kern w:val="0"/>
          <w:sz w:val="30"/>
          <w:szCs w:val="30"/>
        </w:rPr>
      </w:pPr>
    </w:p>
    <w:p w14:paraId="56EC918A" w14:textId="77777777" w:rsidR="0087346A" w:rsidRDefault="0087346A">
      <w:pPr>
        <w:spacing w:line="540" w:lineRule="exact"/>
        <w:jc w:val="center"/>
        <w:rPr>
          <w:rFonts w:eastAsia="仿宋_GB2312" w:hAnsi="宋体" w:cs="宋体" w:hint="eastAsia"/>
          <w:kern w:val="0"/>
          <w:sz w:val="30"/>
          <w:szCs w:val="30"/>
        </w:rPr>
      </w:pPr>
    </w:p>
    <w:p w14:paraId="4C9849F4" w14:textId="77777777" w:rsidR="0087346A" w:rsidRDefault="0087346A">
      <w:pPr>
        <w:spacing w:line="540" w:lineRule="exact"/>
        <w:jc w:val="center"/>
        <w:rPr>
          <w:rFonts w:eastAsia="仿宋_GB2312" w:hAnsi="宋体" w:cs="宋体" w:hint="eastAsia"/>
          <w:kern w:val="0"/>
          <w:sz w:val="30"/>
          <w:szCs w:val="30"/>
        </w:rPr>
      </w:pPr>
    </w:p>
    <w:p w14:paraId="0959E1EC" w14:textId="77777777" w:rsidR="0087346A" w:rsidRDefault="0087346A">
      <w:pPr>
        <w:spacing w:line="540" w:lineRule="exact"/>
        <w:jc w:val="center"/>
        <w:rPr>
          <w:rFonts w:eastAsia="仿宋_GB2312" w:hAnsi="宋体" w:cs="宋体" w:hint="eastAsia"/>
          <w:kern w:val="0"/>
          <w:sz w:val="30"/>
          <w:szCs w:val="30"/>
        </w:rPr>
      </w:pPr>
    </w:p>
    <w:p w14:paraId="583CCAC3" w14:textId="77777777" w:rsidR="0087346A" w:rsidRDefault="0087346A">
      <w:pPr>
        <w:spacing w:line="540" w:lineRule="exact"/>
        <w:jc w:val="center"/>
        <w:rPr>
          <w:rFonts w:eastAsia="仿宋_GB2312" w:hAnsi="宋体" w:cs="宋体" w:hint="eastAsia"/>
          <w:kern w:val="0"/>
          <w:sz w:val="30"/>
          <w:szCs w:val="30"/>
        </w:rPr>
      </w:pPr>
    </w:p>
    <w:p w14:paraId="2F3B853D" w14:textId="77777777" w:rsidR="0087346A" w:rsidRDefault="0087346A">
      <w:pPr>
        <w:spacing w:line="540" w:lineRule="exact"/>
        <w:jc w:val="center"/>
        <w:rPr>
          <w:rFonts w:eastAsia="仿宋_GB2312" w:hAnsi="宋体" w:cs="宋体" w:hint="eastAsia"/>
          <w:kern w:val="0"/>
          <w:sz w:val="30"/>
          <w:szCs w:val="30"/>
        </w:rPr>
      </w:pPr>
    </w:p>
    <w:p w14:paraId="19734C4E" w14:textId="77777777" w:rsidR="0087346A" w:rsidRDefault="0087346A">
      <w:pPr>
        <w:spacing w:line="540" w:lineRule="exact"/>
        <w:rPr>
          <w:rFonts w:eastAsia="仿宋_GB2312" w:hAnsi="宋体" w:cs="宋体" w:hint="eastAsia"/>
          <w:kern w:val="0"/>
          <w:sz w:val="30"/>
          <w:szCs w:val="30"/>
        </w:rPr>
      </w:pPr>
    </w:p>
    <w:p w14:paraId="77430953" w14:textId="77777777" w:rsidR="0087346A" w:rsidRDefault="00000000">
      <w:pPr>
        <w:spacing w:line="700" w:lineRule="exact"/>
        <w:jc w:val="left"/>
        <w:rPr>
          <w:rFonts w:eastAsia="仿宋_GB2312" w:hAnsi="宋体" w:cs="宋体" w:hint="eastAsia"/>
          <w:kern w:val="0"/>
          <w:sz w:val="36"/>
          <w:szCs w:val="36"/>
        </w:rPr>
      </w:pPr>
      <w:r>
        <w:rPr>
          <w:rFonts w:eastAsia="仿宋_GB2312" w:hAnsi="宋体" w:cs="宋体" w:hint="eastAsia"/>
          <w:kern w:val="0"/>
          <w:sz w:val="36"/>
          <w:szCs w:val="36"/>
        </w:rPr>
        <w:t xml:space="preserve">     </w:t>
      </w:r>
    </w:p>
    <w:p w14:paraId="61C9AFCF" w14:textId="77777777" w:rsidR="0087346A" w:rsidRDefault="00000000">
      <w:pPr>
        <w:spacing w:line="700" w:lineRule="exact"/>
        <w:ind w:firstLineChars="250" w:firstLine="900"/>
        <w:jc w:val="left"/>
        <w:rPr>
          <w:rFonts w:eastAsia="仿宋_GB2312" w:hAnsi="宋体" w:cs="宋体" w:hint="eastAsia"/>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2023年度疫情防控资金</w:t>
      </w:r>
    </w:p>
    <w:p w14:paraId="116A7F61" w14:textId="77777777" w:rsidR="0087346A" w:rsidRDefault="00000000">
      <w:pPr>
        <w:spacing w:line="540" w:lineRule="exact"/>
        <w:ind w:firstLine="567"/>
        <w:rPr>
          <w:rFonts w:ascii="楷体" w:eastAsia="楷体" w:hAnsi="楷体" w:hint="eastAsia"/>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应急管理局</w:t>
      </w:r>
    </w:p>
    <w:p w14:paraId="3DA56449" w14:textId="77777777" w:rsidR="0087346A" w:rsidRDefault="00000000">
      <w:pPr>
        <w:spacing w:line="540" w:lineRule="exact"/>
        <w:ind w:firstLineChars="250" w:firstLine="900"/>
        <w:rPr>
          <w:rFonts w:ascii="楷体" w:eastAsia="楷体" w:hAnsi="楷体" w:hint="eastAsia"/>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应急管理局</w:t>
      </w:r>
    </w:p>
    <w:p w14:paraId="0D051944" w14:textId="77777777" w:rsidR="0087346A" w:rsidRDefault="00000000">
      <w:pPr>
        <w:spacing w:line="540" w:lineRule="exact"/>
        <w:ind w:firstLineChars="250" w:firstLine="900"/>
        <w:rPr>
          <w:rFonts w:ascii="楷体" w:eastAsia="楷体" w:hAnsi="楷体" w:hint="eastAsia"/>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邹渤</w:t>
      </w:r>
    </w:p>
    <w:p w14:paraId="17A709E4" w14:textId="77777777" w:rsidR="0087346A" w:rsidRDefault="00000000">
      <w:pPr>
        <w:spacing w:line="540" w:lineRule="exact"/>
        <w:ind w:left="273" w:firstLine="567"/>
        <w:rPr>
          <w:rStyle w:val="ad"/>
          <w:rFonts w:ascii="楷体" w:eastAsia="楷体" w:hAnsi="楷体" w:hint="eastAsia"/>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2024年05月24日</w:t>
      </w:r>
    </w:p>
    <w:p w14:paraId="7E332E8A" w14:textId="77777777" w:rsidR="0087346A" w:rsidRDefault="0087346A">
      <w:pPr>
        <w:spacing w:line="700" w:lineRule="exact"/>
        <w:ind w:firstLineChars="236" w:firstLine="708"/>
        <w:jc w:val="left"/>
        <w:rPr>
          <w:rFonts w:eastAsia="仿宋_GB2312" w:hAnsi="宋体" w:cs="宋体" w:hint="eastAsia"/>
          <w:kern w:val="0"/>
          <w:sz w:val="30"/>
          <w:szCs w:val="30"/>
        </w:rPr>
      </w:pPr>
    </w:p>
    <w:p w14:paraId="0C8D659D" w14:textId="77777777" w:rsidR="0087346A" w:rsidRDefault="0087346A">
      <w:pPr>
        <w:spacing w:line="540" w:lineRule="exact"/>
        <w:rPr>
          <w:rStyle w:val="ad"/>
          <w:rFonts w:ascii="黑体" w:eastAsia="黑体" w:hAnsi="黑体" w:hint="eastAsia"/>
          <w:b w:val="0"/>
          <w:spacing w:val="-4"/>
          <w:sz w:val="32"/>
          <w:szCs w:val="32"/>
        </w:rPr>
      </w:pPr>
    </w:p>
    <w:p w14:paraId="277FE6B8" w14:textId="77777777" w:rsidR="0087346A"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一、基本情况</w:t>
      </w:r>
    </w:p>
    <w:p w14:paraId="70C2DA89" w14:textId="77777777" w:rsidR="0087346A"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（一）项目概况</w:t>
      </w:r>
    </w:p>
    <w:p w14:paraId="7E46B4B9" w14:textId="42ED55B6" w:rsidR="0087346A"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1. 项目背景、主要内容及实施情况</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1）该项目实施背景：根据《关于拨付”三保”及疫情防控补助资金的通知》（乌财预[2022]59号），新冠疫情专项资金是米东区政府用于新冠疫情防控专项项目，该项目保障新冠疫情防控工作需要，内防反弹、外防输入，落实好重点场所、重点人群的防控措施，坚决把防控工作做实做细；群防群控，充分发挥好战斗堡垒作用，加强防控知识的普及宣传，增强群众的防控意识，确保人民群众生命健康安全，进而保障米东区经济活力和发展后劲。</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2）项目2023年的主要实施内容：该项目属于跨年项目，因资金不到位未及时支付，2023年主要目标任务是按照合同约定及时付款。①完成疫情防控物资储备及疫情运行欠款资金的支付；②完成疫情防控隔离点餐费欠款资金的支付。</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（3）2023年当年完成情况：</w:t>
      </w:r>
      <w:r w:rsidR="001535F4">
        <w:rPr>
          <w:rStyle w:val="ad"/>
          <w:rFonts w:ascii="楷体" w:eastAsia="楷体" w:hAnsi="楷体" w:hint="eastAsia"/>
          <w:b w:val="0"/>
          <w:bCs w:val="0"/>
          <w:spacing w:val="-4"/>
          <w:sz w:val="32"/>
          <w:szCs w:val="32"/>
        </w:rPr>
        <w:t>截至</w:t>
      </w:r>
      <w:r>
        <w:rPr>
          <w:rStyle w:val="ad"/>
          <w:rFonts w:ascii="楷体" w:eastAsia="楷体" w:hAnsi="楷体" w:hint="eastAsia"/>
          <w:b w:val="0"/>
          <w:bCs w:val="0"/>
          <w:spacing w:val="-4"/>
          <w:sz w:val="32"/>
          <w:szCs w:val="32"/>
        </w:rPr>
        <w:t>2023年12月底支付完成5843.47万元。①支付疫情防控物资储备及疫情运行欠款资金3555.43万元；②支付疫情防控隔离点餐费欠款资金的支付2288.04万元。项目的实施有效解决了疫情防控的关键物资，为我区疫情防控做出了重大贡献。</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2. 资金投入和使用情况</w:t>
      </w:r>
      <w:r>
        <w:rPr>
          <w:rStyle w:val="ad"/>
          <w:rFonts w:ascii="楷体" w:eastAsia="楷体" w:hAnsi="楷体" w:hint="eastAsia"/>
          <w:b w:val="0"/>
          <w:bCs w:val="0"/>
          <w:spacing w:val="-4"/>
          <w:sz w:val="32"/>
          <w:szCs w:val="32"/>
        </w:rPr>
        <w:tab/>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（1）该项目资金投入情况：经《关于拨付”三保”及疫情防控补助资金的通知》（乌财预[2022]59号）文件批准，项目系2023年本级资金，共安排全年预算数5843.47万元。</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（2）该项目资金使用情况：①全年预算情况：5843.47万元；②资金投入包括购买疫情防控物资储备及疫情运行欠款资金3555.43万元，购买疫情防控隔离点餐费欠款资金的支付2288.04万元。</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资金投入包括购买防疫物资，支付隔离人员餐费，该项目资金支付范围、支付标准、支付进度、支付依据等合规合法、与预算相符，我单位及时报帐，按财政局要求专款专用；③预算执行率100%。</w:t>
      </w:r>
    </w:p>
    <w:p w14:paraId="79902041" w14:textId="77777777" w:rsidR="0087346A"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（二）项目绩效目标</w:t>
      </w:r>
    </w:p>
    <w:p w14:paraId="293251FB" w14:textId="1C972741" w:rsidR="0087346A"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本项目依据《中共中央 国务院关于全面实施预算绩效管理的意见》（中发〔2018〕34号）、《关于印发&lt;乌鲁木齐市本级部门预算绩效目标管理暂行</w:t>
      </w:r>
      <w:proofErr w:type="gramStart"/>
      <w:r>
        <w:rPr>
          <w:rStyle w:val="ad"/>
          <w:rFonts w:ascii="楷体" w:eastAsia="楷体" w:hAnsi="楷体" w:hint="eastAsia"/>
          <w:b w:val="0"/>
          <w:bCs w:val="0"/>
          <w:spacing w:val="-4"/>
          <w:sz w:val="32"/>
          <w:szCs w:val="32"/>
        </w:rPr>
        <w:t>办法&gt;</w:t>
      </w:r>
      <w:proofErr w:type="gramEnd"/>
      <w:r>
        <w:rPr>
          <w:rStyle w:val="ad"/>
          <w:rFonts w:ascii="楷体" w:eastAsia="楷体" w:hAnsi="楷体" w:hint="eastAsia"/>
          <w:b w:val="0"/>
          <w:bCs w:val="0"/>
          <w:spacing w:val="-4"/>
          <w:sz w:val="32"/>
          <w:szCs w:val="32"/>
        </w:rPr>
        <w: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w:t>
      </w:r>
      <w:r>
        <w:rPr>
          <w:rStyle w:val="ad"/>
          <w:rFonts w:ascii="楷体" w:eastAsia="楷体" w:hAnsi="楷体" w:hint="eastAsia"/>
          <w:b w:val="0"/>
          <w:bCs w:val="0"/>
          <w:spacing w:val="-4"/>
          <w:sz w:val="32"/>
          <w:szCs w:val="32"/>
        </w:rPr>
        <w:lastRenderedPageBreak/>
        <w:t>合理可行和相应匹配的要求，设定三级绩效目标（数量指标、质量指标、时效指标、成本指标、效益指标、满意度指标），以准确、清晰地反映财政资金在使用期所能达到的预期产出和效果。</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该项目为跨年项目。</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该项目总体绩效目标：面对严峻的疫情防控形势，米东区多方筹措资金，全力为疫情防控工作提供资金保障，在疫情防控指挥部的正确领导下，做好全区疫情防控期间物资储备、运行及隔离人员餐费工作正常开展，切实做好疫情防控工作。</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该项目阶段性目标为：我国发生新型冠状病毒疫情，为保障我区人民正常生产生活，特设立本项目。该项目资金主要用于全区采购防疫物资的储备、运行及隔离人员餐费，</w:t>
      </w:r>
      <w:r w:rsidR="001535F4">
        <w:rPr>
          <w:rStyle w:val="ad"/>
          <w:rFonts w:ascii="楷体" w:eastAsia="楷体" w:hAnsi="楷体" w:hint="eastAsia"/>
          <w:b w:val="0"/>
          <w:bCs w:val="0"/>
          <w:spacing w:val="-4"/>
          <w:sz w:val="32"/>
          <w:szCs w:val="32"/>
        </w:rPr>
        <w:t>截至</w:t>
      </w:r>
      <w:r>
        <w:rPr>
          <w:rStyle w:val="ad"/>
          <w:rFonts w:ascii="楷体" w:eastAsia="楷体" w:hAnsi="楷体" w:hint="eastAsia"/>
          <w:b w:val="0"/>
          <w:bCs w:val="0"/>
          <w:spacing w:val="-4"/>
          <w:sz w:val="32"/>
          <w:szCs w:val="32"/>
        </w:rPr>
        <w:t>2023年12月底前共支付疫情防控物资储备及隔离人员餐费5843.47万元。确保疫情防控工作正常开展，为米东区打好疫情攻坚战提供重要保障。</w:t>
      </w:r>
    </w:p>
    <w:p w14:paraId="0A7FC11C" w14:textId="77777777" w:rsidR="0087346A"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二、绩效评价工作开展情况</w:t>
      </w:r>
    </w:p>
    <w:p w14:paraId="6220081E" w14:textId="77777777" w:rsidR="0087346A" w:rsidRDefault="00000000">
      <w:pPr>
        <w:spacing w:line="540" w:lineRule="exact"/>
        <w:ind w:firstLineChars="181"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（一）绩效评价目的、对象和范围</w:t>
      </w:r>
    </w:p>
    <w:p w14:paraId="01E4428A" w14:textId="6F191A9D" w:rsidR="0087346A"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1. 绩效评价完整性</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首先，该疫情防控资金项目目标是为了保障新冠疫情防控工作需要，坚决把疫情防控工作做实做细，充分发挥好战斗堡垒作用，增强群众的防控意识，确保人民群众的生命健康安全。时间范围是2023年1月1日-12月31日。要求完成疫情防控物资储备、运行及隔离人员餐费欠款，做好全区疫情防控期间物资储备、运</w:t>
      </w:r>
      <w:r>
        <w:rPr>
          <w:rStyle w:val="ad"/>
          <w:rFonts w:ascii="楷体" w:eastAsia="楷体" w:hAnsi="楷体" w:hint="eastAsia"/>
          <w:b w:val="0"/>
          <w:bCs w:val="0"/>
          <w:spacing w:val="-4"/>
          <w:sz w:val="32"/>
          <w:szCs w:val="32"/>
        </w:rPr>
        <w:lastRenderedPageBreak/>
        <w:t>行及隔离人员餐费工作正常开展，切实做好疫情防控工作。</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其次，该疫情防控资金项目资金</w:t>
      </w:r>
      <w:r w:rsidR="001535F4">
        <w:rPr>
          <w:rStyle w:val="ad"/>
          <w:rFonts w:ascii="楷体" w:eastAsia="楷体" w:hAnsi="楷体" w:hint="eastAsia"/>
          <w:b w:val="0"/>
          <w:bCs w:val="0"/>
          <w:spacing w:val="-4"/>
          <w:sz w:val="32"/>
          <w:szCs w:val="32"/>
        </w:rPr>
        <w:t>截至</w:t>
      </w:r>
      <w:r>
        <w:rPr>
          <w:rStyle w:val="ad"/>
          <w:rFonts w:ascii="楷体" w:eastAsia="楷体" w:hAnsi="楷体" w:hint="eastAsia"/>
          <w:b w:val="0"/>
          <w:bCs w:val="0"/>
          <w:spacing w:val="-4"/>
          <w:sz w:val="32"/>
          <w:szCs w:val="32"/>
        </w:rPr>
        <w:t>2023年12月底全部支付给各供货商，共计5843.47万元。其中：①支付疫情防控物资储备及疫情运行欠款资金3555.43万元；②支付疫情防控隔离点餐费欠款资金的支付2288.04万元。项目的实施有效解决了疫情防控的关键物资，为我区疫情防控做出了重大贡献。</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最后，该疫情防控资金项目分多次通过米东区财政拨付给我单位，再由我单位直接支付给各供货商，付款收据、“三重一大”会议记录、国库集中支付单据等原始单据准完整。</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2. 评价目的</w:t>
      </w:r>
      <w:r>
        <w:rPr>
          <w:rStyle w:val="ad"/>
          <w:rFonts w:ascii="楷体" w:eastAsia="楷体" w:hAnsi="楷体" w:hint="eastAsia"/>
          <w:b w:val="0"/>
          <w:bCs w:val="0"/>
          <w:spacing w:val="-4"/>
          <w:sz w:val="32"/>
          <w:szCs w:val="32"/>
        </w:rPr>
        <w:tab/>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2023年疫情防控资金项目实施情况。（2）通过评价，客观公正反映项目立项科学性、项目管理规范性、项目实施有效性和项目效果，总结项目实施的经验，发现项目实施过程中存在</w:t>
      </w:r>
      <w:r>
        <w:rPr>
          <w:rStyle w:val="ad"/>
          <w:rFonts w:ascii="楷体" w:eastAsia="楷体" w:hAnsi="楷体" w:hint="eastAsia"/>
          <w:b w:val="0"/>
          <w:bCs w:val="0"/>
          <w:spacing w:val="-4"/>
          <w:sz w:val="32"/>
          <w:szCs w:val="32"/>
        </w:rPr>
        <w:lastRenderedPageBreak/>
        <w:t>的问题，提出合理化建议，为完善项目管理和相关部门决策提供参考依据，并提高财政资金使用效益。</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3. 评价对象</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（1）绩效评价的对象：2023年疫情防控资金项目</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4. 绩效评价范围</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（1）时间范围：2023年1月1日至2023年12月31日。</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2）项目范围：2023年疫情防控资金是米东区政府用于新冠疫情防控专项项目，该项目保障新冠疫情防控工作需要，内防反弹、外防输入，落实好重点场所、重点人群的防控措施，坚决把防控工作做实做细；群防群控，充分发挥好战斗堡垒作用，加强防控知识的普及宣传，增强群众的防控意识，确保人民群众生命健康安全。做好全区疫情防控期间物资储备、运行及隔离人员餐费工作正常开展，切实做好疫情防控工作。</w:t>
      </w:r>
    </w:p>
    <w:p w14:paraId="2CD9613B" w14:textId="77777777" w:rsidR="0087346A"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（二）绩效评价原则、评价指标体系、评价方法、评价标准</w:t>
      </w:r>
    </w:p>
    <w:p w14:paraId="2A73D7A6" w14:textId="77777777" w:rsidR="0087346A"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1. 评价原则</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（1）科学公正。绩效评价应当运用科学合理的方法，按照规范的程序，对项目绩效进行客观、公正的反映。</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（2）统筹兼顾。单位自评、部门评价和财政评价应职责明确，</w:t>
      </w:r>
      <w:r>
        <w:rPr>
          <w:rStyle w:val="ad"/>
          <w:rFonts w:ascii="楷体" w:eastAsia="楷体" w:hAnsi="楷体" w:hint="eastAsia"/>
          <w:b w:val="0"/>
          <w:bCs w:val="0"/>
          <w:spacing w:val="-4"/>
          <w:sz w:val="32"/>
          <w:szCs w:val="32"/>
        </w:rPr>
        <w:lastRenderedPageBreak/>
        <w:t>各有侧重，相互衔接。单位自评应由项目单位自主实施，即“谁支出、谁自评”。部门评价和财政评价应在单位自评的基础上开展，必要时可委托第三方机构实施。</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（3）激励约束。绩效评价结果应与预算安排、政策调整、改进管理实质性挂钩，体现奖优罚劣和激励相容导向，有效要安排、低效要压减、无效要问责。</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（4）公开透明。绩效评价结果应依法依规公开，并自觉接受社会监督。</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2. 评价指标体系</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绩效评价指标体系作为衡量绩效目标实现程度的考核工具，一般遵循以下原则：</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（1）相关性原则：绩效评价指标应当与绩效目标有直接的联系，能够恰当反映目标的实现程度。</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（2）重要性原则：应当优先使用最具评价对象代表性、最能反映评价要求的核心指标。</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（3）可比性原则：对同类评价对象要设定共性的绩效评价指标，以便于评价结果可以相互比较。</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（4）系统性原则：绩效评价指标的设置应当将定量指标与定性指标相结合，能系统反映财政支出所产生的社会效益、经济效益和可持续影响等。</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（5）经济性原则：绩效评价指标设计应当通俗易懂、简便易行，数据的获得应当考虑现实条件和可操作性，符合成本效益原则。</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本项目的评价指标体系建立如表2-1所示。</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表2-1 项目支出绩效评价指标体系</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一级指标</w:t>
      </w:r>
      <w:r>
        <w:rPr>
          <w:rStyle w:val="ad"/>
          <w:rFonts w:ascii="楷体" w:eastAsia="楷体" w:hAnsi="楷体" w:hint="eastAsia"/>
          <w:b w:val="0"/>
          <w:bCs w:val="0"/>
          <w:spacing w:val="-4"/>
          <w:sz w:val="32"/>
          <w:szCs w:val="32"/>
        </w:rPr>
        <w:tab/>
        <w:t>二级指标</w:t>
      </w:r>
      <w:r>
        <w:rPr>
          <w:rStyle w:val="ad"/>
          <w:rFonts w:ascii="楷体" w:eastAsia="楷体" w:hAnsi="楷体" w:hint="eastAsia"/>
          <w:b w:val="0"/>
          <w:bCs w:val="0"/>
          <w:spacing w:val="-4"/>
          <w:sz w:val="32"/>
          <w:szCs w:val="32"/>
        </w:rPr>
        <w:tab/>
        <w:t>三级指标</w:t>
      </w:r>
      <w:r>
        <w:rPr>
          <w:rStyle w:val="ad"/>
          <w:rFonts w:ascii="楷体" w:eastAsia="楷体" w:hAnsi="楷体" w:hint="eastAsia"/>
          <w:b w:val="0"/>
          <w:bCs w:val="0"/>
          <w:spacing w:val="-4"/>
          <w:sz w:val="32"/>
          <w:szCs w:val="32"/>
        </w:rPr>
        <w:tab/>
        <w:t>指标解释</w:t>
      </w:r>
      <w:r>
        <w:rPr>
          <w:rStyle w:val="ad"/>
          <w:rFonts w:ascii="楷体" w:eastAsia="楷体" w:hAnsi="楷体" w:hint="eastAsia"/>
          <w:b w:val="0"/>
          <w:bCs w:val="0"/>
          <w:spacing w:val="-4"/>
          <w:sz w:val="32"/>
          <w:szCs w:val="32"/>
        </w:rPr>
        <w:tab/>
        <w:t>指标说明</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决策</w:t>
      </w:r>
      <w:r>
        <w:rPr>
          <w:rStyle w:val="ad"/>
          <w:rFonts w:ascii="楷体" w:eastAsia="楷体" w:hAnsi="楷体" w:hint="eastAsia"/>
          <w:b w:val="0"/>
          <w:bCs w:val="0"/>
          <w:spacing w:val="-4"/>
          <w:sz w:val="32"/>
          <w:szCs w:val="32"/>
        </w:rPr>
        <w:tab/>
        <w:t>项目立项</w:t>
      </w:r>
      <w:r>
        <w:rPr>
          <w:rStyle w:val="ad"/>
          <w:rFonts w:ascii="楷体" w:eastAsia="楷体" w:hAnsi="楷体" w:hint="eastAsia"/>
          <w:b w:val="0"/>
          <w:bCs w:val="0"/>
          <w:spacing w:val="-4"/>
          <w:sz w:val="32"/>
          <w:szCs w:val="32"/>
        </w:rPr>
        <w:tab/>
        <w:t>立项依据</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充分性</w:t>
      </w:r>
      <w:r>
        <w:rPr>
          <w:rStyle w:val="ad"/>
          <w:rFonts w:ascii="楷体" w:eastAsia="楷体" w:hAnsi="楷体" w:hint="eastAsia"/>
          <w:b w:val="0"/>
          <w:bCs w:val="0"/>
          <w:spacing w:val="-4"/>
          <w:sz w:val="32"/>
          <w:szCs w:val="32"/>
        </w:rPr>
        <w:tab/>
        <w:t>项目立项是否符合法律法规、相关政策、发展规划以及部门职责，用以反映和考核项目立项依据情况。</w:t>
      </w:r>
      <w:r>
        <w:rPr>
          <w:rStyle w:val="ad"/>
          <w:rFonts w:ascii="楷体" w:eastAsia="楷体" w:hAnsi="楷体" w:hint="eastAsia"/>
          <w:b w:val="0"/>
          <w:bCs w:val="0"/>
          <w:spacing w:val="-4"/>
          <w:sz w:val="32"/>
          <w:szCs w:val="32"/>
        </w:rPr>
        <w:tab/>
        <w:t>评价要点：</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①项目立项是否符合国家法律法规、国民经济发展规划和相关政策；</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②项目立项是否符合行业发展规划和政策要求；</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③项目立项是否与部门职责范围相符，属于部门履职所需；</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④项目是否属于公共财政支持范围，是否符合中央、地方事权支出责任划分原则；</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⑤项目是否与相关部门同类项目或部门内部相关项目重复。</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tab/>
      </w:r>
      <w:r>
        <w:rPr>
          <w:rStyle w:val="ad"/>
          <w:rFonts w:ascii="楷体" w:eastAsia="楷体" w:hAnsi="楷体" w:hint="eastAsia"/>
          <w:b w:val="0"/>
          <w:bCs w:val="0"/>
          <w:spacing w:val="-4"/>
          <w:sz w:val="32"/>
          <w:szCs w:val="32"/>
        </w:rPr>
        <w:tab/>
        <w:t>立项程序</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规范性</w:t>
      </w:r>
      <w:r>
        <w:rPr>
          <w:rStyle w:val="ad"/>
          <w:rFonts w:ascii="楷体" w:eastAsia="楷体" w:hAnsi="楷体" w:hint="eastAsia"/>
          <w:b w:val="0"/>
          <w:bCs w:val="0"/>
          <w:spacing w:val="-4"/>
          <w:sz w:val="32"/>
          <w:szCs w:val="32"/>
        </w:rPr>
        <w:tab/>
        <w:t>项目申请、设立过程是否符合相关要求，用以反映和考核项目立项的规范情况。</w:t>
      </w:r>
      <w:r>
        <w:rPr>
          <w:rStyle w:val="ad"/>
          <w:rFonts w:ascii="楷体" w:eastAsia="楷体" w:hAnsi="楷体" w:hint="eastAsia"/>
          <w:b w:val="0"/>
          <w:bCs w:val="0"/>
          <w:spacing w:val="-4"/>
          <w:sz w:val="32"/>
          <w:szCs w:val="32"/>
        </w:rPr>
        <w:tab/>
        <w:t>评价要点：</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①项目是否按照规定的程序申请设立；</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②审批文件、材料是否符合相关要求；</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③事前是否已经过必要的可行性研究、专家论证、风险评估、绩效评估、集体决策。</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tab/>
        <w:t>绩效目标</w:t>
      </w:r>
      <w:r>
        <w:rPr>
          <w:rStyle w:val="ad"/>
          <w:rFonts w:ascii="楷体" w:eastAsia="楷体" w:hAnsi="楷体" w:hint="eastAsia"/>
          <w:b w:val="0"/>
          <w:bCs w:val="0"/>
          <w:spacing w:val="-4"/>
          <w:sz w:val="32"/>
          <w:szCs w:val="32"/>
        </w:rPr>
        <w:tab/>
        <w:t>绩效目标</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合理性</w:t>
      </w:r>
      <w:r>
        <w:rPr>
          <w:rStyle w:val="ad"/>
          <w:rFonts w:ascii="楷体" w:eastAsia="楷体" w:hAnsi="楷体" w:hint="eastAsia"/>
          <w:b w:val="0"/>
          <w:bCs w:val="0"/>
          <w:spacing w:val="-4"/>
          <w:sz w:val="32"/>
          <w:szCs w:val="32"/>
        </w:rPr>
        <w:tab/>
        <w:t>项目所设定的绩效目标是否依据充分，是否符合客观实际，用以反映和考核项目绩效目标与项目实施的相符情况。</w:t>
      </w:r>
      <w:r>
        <w:rPr>
          <w:rStyle w:val="ad"/>
          <w:rFonts w:ascii="楷体" w:eastAsia="楷体" w:hAnsi="楷体" w:hint="eastAsia"/>
          <w:b w:val="0"/>
          <w:bCs w:val="0"/>
          <w:spacing w:val="-4"/>
          <w:sz w:val="32"/>
          <w:szCs w:val="32"/>
        </w:rPr>
        <w:lastRenderedPageBreak/>
        <w:tab/>
        <w:t>评价要点：</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（如未设定预算绩效目标，也可考核其他工作任务目标）</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①项目是否有绩效目标；</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②项目绩效目标与实际工作内容是否具有相关性；</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③项目预期产出效益和效果是否符合正常的业绩水平；</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④是否与预算确定的项目投资额或资金量相匹配。</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决策</w:t>
      </w:r>
      <w:r>
        <w:rPr>
          <w:rStyle w:val="ad"/>
          <w:rFonts w:ascii="楷体" w:eastAsia="楷体" w:hAnsi="楷体" w:hint="eastAsia"/>
          <w:b w:val="0"/>
          <w:bCs w:val="0"/>
          <w:spacing w:val="-4"/>
          <w:sz w:val="32"/>
          <w:szCs w:val="32"/>
        </w:rPr>
        <w:tab/>
        <w:t>绩效目标</w:t>
      </w:r>
      <w:r>
        <w:rPr>
          <w:rStyle w:val="ad"/>
          <w:rFonts w:ascii="楷体" w:eastAsia="楷体" w:hAnsi="楷体" w:hint="eastAsia"/>
          <w:b w:val="0"/>
          <w:bCs w:val="0"/>
          <w:spacing w:val="-4"/>
          <w:sz w:val="32"/>
          <w:szCs w:val="32"/>
        </w:rPr>
        <w:tab/>
        <w:t>绩效指标</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明确性</w:t>
      </w:r>
      <w:r>
        <w:rPr>
          <w:rStyle w:val="ad"/>
          <w:rFonts w:ascii="楷体" w:eastAsia="楷体" w:hAnsi="楷体" w:hint="eastAsia"/>
          <w:b w:val="0"/>
          <w:bCs w:val="0"/>
          <w:spacing w:val="-4"/>
          <w:sz w:val="32"/>
          <w:szCs w:val="32"/>
        </w:rPr>
        <w:tab/>
        <w:t>依据绩效目标设定的绩效指标是否清晰、细化、可衡量等，用以反映和考核项目绩效目标的明细化情况。</w:t>
      </w:r>
      <w:r>
        <w:rPr>
          <w:rStyle w:val="ad"/>
          <w:rFonts w:ascii="楷体" w:eastAsia="楷体" w:hAnsi="楷体" w:hint="eastAsia"/>
          <w:b w:val="0"/>
          <w:bCs w:val="0"/>
          <w:spacing w:val="-4"/>
          <w:sz w:val="32"/>
          <w:szCs w:val="32"/>
        </w:rPr>
        <w:tab/>
        <w:t>评价要点：</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①是否将项目绩效目标细化分解为具体的绩效指标；</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②是否通过清晰、可衡量的指标值予以体现；</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③是否与项目目标任务数或计划数相对应。</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tab/>
        <w:t>资金投入</w:t>
      </w:r>
      <w:r>
        <w:rPr>
          <w:rStyle w:val="ad"/>
          <w:rFonts w:ascii="楷体" w:eastAsia="楷体" w:hAnsi="楷体" w:hint="eastAsia"/>
          <w:b w:val="0"/>
          <w:bCs w:val="0"/>
          <w:spacing w:val="-4"/>
          <w:sz w:val="32"/>
          <w:szCs w:val="32"/>
        </w:rPr>
        <w:tab/>
        <w:t>预算编制</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lastRenderedPageBreak/>
        <w:br/>
        <w:t>科学性</w:t>
      </w:r>
      <w:r>
        <w:rPr>
          <w:rStyle w:val="ad"/>
          <w:rFonts w:ascii="楷体" w:eastAsia="楷体" w:hAnsi="楷体" w:hint="eastAsia"/>
          <w:b w:val="0"/>
          <w:bCs w:val="0"/>
          <w:spacing w:val="-4"/>
          <w:sz w:val="32"/>
          <w:szCs w:val="32"/>
        </w:rPr>
        <w:tab/>
        <w:t>项目预算编制是否经过科学论证、有明确标准，资金额度与年度目标是否相适应，用以反映和考核项目预算编制的科学性、合理性情况。</w:t>
      </w:r>
      <w:r>
        <w:rPr>
          <w:rStyle w:val="ad"/>
          <w:rFonts w:ascii="楷体" w:eastAsia="楷体" w:hAnsi="楷体" w:hint="eastAsia"/>
          <w:b w:val="0"/>
          <w:bCs w:val="0"/>
          <w:spacing w:val="-4"/>
          <w:sz w:val="32"/>
          <w:szCs w:val="32"/>
        </w:rPr>
        <w:tab/>
        <w:t>评价要点：</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①预算编制是否经过科学论证；</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②预算内容与项目内容是否匹配；</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③预算额度测算依据是否充分，是否按照标准编制；</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④预算确定的项目投资额或资金量是否与工作任务相匹配。</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tab/>
      </w:r>
      <w:r>
        <w:rPr>
          <w:rStyle w:val="ad"/>
          <w:rFonts w:ascii="楷体" w:eastAsia="楷体" w:hAnsi="楷体" w:hint="eastAsia"/>
          <w:b w:val="0"/>
          <w:bCs w:val="0"/>
          <w:spacing w:val="-4"/>
          <w:sz w:val="32"/>
          <w:szCs w:val="32"/>
        </w:rPr>
        <w:tab/>
        <w:t>资金分配</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合理性</w:t>
      </w:r>
      <w:r>
        <w:rPr>
          <w:rStyle w:val="ad"/>
          <w:rFonts w:ascii="楷体" w:eastAsia="楷体" w:hAnsi="楷体" w:hint="eastAsia"/>
          <w:b w:val="0"/>
          <w:bCs w:val="0"/>
          <w:spacing w:val="-4"/>
          <w:sz w:val="32"/>
          <w:szCs w:val="32"/>
        </w:rPr>
        <w:tab/>
        <w:t>项目预算资金分配是否有测算依据，与补助单位或地方实际是否相适应，用以反映和考核项目预算资金分配的科学性、合理性情况。</w:t>
      </w:r>
      <w:r>
        <w:rPr>
          <w:rStyle w:val="ad"/>
          <w:rFonts w:ascii="楷体" w:eastAsia="楷体" w:hAnsi="楷体" w:hint="eastAsia"/>
          <w:b w:val="0"/>
          <w:bCs w:val="0"/>
          <w:spacing w:val="-4"/>
          <w:sz w:val="32"/>
          <w:szCs w:val="32"/>
        </w:rPr>
        <w:tab/>
        <w:t>评价要点：</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①预算资金分配依据是否充分；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②资金分配额度是否合理，与项目单位或地方实际是否相适应。</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过程</w:t>
      </w:r>
      <w:r>
        <w:rPr>
          <w:rStyle w:val="ad"/>
          <w:rFonts w:ascii="楷体" w:eastAsia="楷体" w:hAnsi="楷体" w:hint="eastAsia"/>
          <w:b w:val="0"/>
          <w:bCs w:val="0"/>
          <w:spacing w:val="-4"/>
          <w:sz w:val="32"/>
          <w:szCs w:val="32"/>
        </w:rPr>
        <w:tab/>
        <w:t>资金管理</w:t>
      </w:r>
      <w:r>
        <w:rPr>
          <w:rStyle w:val="ad"/>
          <w:rFonts w:ascii="楷体" w:eastAsia="楷体" w:hAnsi="楷体" w:hint="eastAsia"/>
          <w:b w:val="0"/>
          <w:bCs w:val="0"/>
          <w:spacing w:val="-4"/>
          <w:sz w:val="32"/>
          <w:szCs w:val="32"/>
        </w:rPr>
        <w:tab/>
        <w:t>资金到位率</w:t>
      </w:r>
      <w:r>
        <w:rPr>
          <w:rStyle w:val="ad"/>
          <w:rFonts w:ascii="楷体" w:eastAsia="楷体" w:hAnsi="楷体" w:hint="eastAsia"/>
          <w:b w:val="0"/>
          <w:bCs w:val="0"/>
          <w:spacing w:val="-4"/>
          <w:sz w:val="32"/>
          <w:szCs w:val="32"/>
        </w:rPr>
        <w:tab/>
        <w:t>实际到位资金与预算资金的比率，用以反映和考核资金落实情况对项目实施的总体保障程度。</w:t>
      </w:r>
      <w:r>
        <w:rPr>
          <w:rStyle w:val="ad"/>
          <w:rFonts w:ascii="楷体" w:eastAsia="楷体" w:hAnsi="楷体" w:hint="eastAsia"/>
          <w:b w:val="0"/>
          <w:bCs w:val="0"/>
          <w:spacing w:val="-4"/>
          <w:sz w:val="32"/>
          <w:szCs w:val="32"/>
        </w:rPr>
        <w:lastRenderedPageBreak/>
        <w:tab/>
        <w:t>资金到位率=（实际到位资金/预算资金）×100%。</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实际到位资金：一定时期（本年度或项目期）内落实到具体项目的资金。</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预算资金：一定时期（本年度或项目期）内预算安排到具体项目的资金。</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tab/>
      </w:r>
      <w:r>
        <w:rPr>
          <w:rStyle w:val="ad"/>
          <w:rFonts w:ascii="楷体" w:eastAsia="楷体" w:hAnsi="楷体" w:hint="eastAsia"/>
          <w:b w:val="0"/>
          <w:bCs w:val="0"/>
          <w:spacing w:val="-4"/>
          <w:sz w:val="32"/>
          <w:szCs w:val="32"/>
        </w:rPr>
        <w:tab/>
        <w:t>预算执行率</w:t>
      </w:r>
      <w:r>
        <w:rPr>
          <w:rStyle w:val="ad"/>
          <w:rFonts w:ascii="楷体" w:eastAsia="楷体" w:hAnsi="楷体" w:hint="eastAsia"/>
          <w:b w:val="0"/>
          <w:bCs w:val="0"/>
          <w:spacing w:val="-4"/>
          <w:sz w:val="32"/>
          <w:szCs w:val="32"/>
        </w:rPr>
        <w:tab/>
        <w:t>项目预算资金是否按照计划执行，用以反映或考核项目预算执行情况。</w:t>
      </w:r>
      <w:r>
        <w:rPr>
          <w:rStyle w:val="ad"/>
          <w:rFonts w:ascii="楷体" w:eastAsia="楷体" w:hAnsi="楷体" w:hint="eastAsia"/>
          <w:b w:val="0"/>
          <w:bCs w:val="0"/>
          <w:spacing w:val="-4"/>
          <w:sz w:val="32"/>
          <w:szCs w:val="32"/>
        </w:rPr>
        <w:tab/>
        <w:t>预算执行率=（实际支出资金/实际到位资金）×100%。</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实际支出资金：一定时期（本年度或项目期）内项目实际拨付的资金。</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过程</w:t>
      </w:r>
      <w:r>
        <w:rPr>
          <w:rStyle w:val="ad"/>
          <w:rFonts w:ascii="楷体" w:eastAsia="楷体" w:hAnsi="楷体" w:hint="eastAsia"/>
          <w:b w:val="0"/>
          <w:bCs w:val="0"/>
          <w:spacing w:val="-4"/>
          <w:sz w:val="32"/>
          <w:szCs w:val="32"/>
        </w:rPr>
        <w:tab/>
        <w:t>资金管理</w:t>
      </w:r>
      <w:r>
        <w:rPr>
          <w:rStyle w:val="ad"/>
          <w:rFonts w:ascii="楷体" w:eastAsia="楷体" w:hAnsi="楷体" w:hint="eastAsia"/>
          <w:b w:val="0"/>
          <w:bCs w:val="0"/>
          <w:spacing w:val="-4"/>
          <w:sz w:val="32"/>
          <w:szCs w:val="32"/>
        </w:rPr>
        <w:tab/>
        <w:t>资金使用</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合规性</w:t>
      </w:r>
      <w:r>
        <w:rPr>
          <w:rStyle w:val="ad"/>
          <w:rFonts w:ascii="楷体" w:eastAsia="楷体" w:hAnsi="楷体" w:hint="eastAsia"/>
          <w:b w:val="0"/>
          <w:bCs w:val="0"/>
          <w:spacing w:val="-4"/>
          <w:sz w:val="32"/>
          <w:szCs w:val="32"/>
        </w:rPr>
        <w:tab/>
        <w:t>项目资金使用是否符合相关的财务管理制度规定，用以反映和考核项目资金的规范运行情况。</w:t>
      </w:r>
      <w:r>
        <w:rPr>
          <w:rStyle w:val="ad"/>
          <w:rFonts w:ascii="楷体" w:eastAsia="楷体" w:hAnsi="楷体" w:hint="eastAsia"/>
          <w:b w:val="0"/>
          <w:bCs w:val="0"/>
          <w:spacing w:val="-4"/>
          <w:sz w:val="32"/>
          <w:szCs w:val="32"/>
        </w:rPr>
        <w:tab/>
        <w:t>评价要点：</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①是否符合国家财经法规和财务管理制度以及有关专项资金管理办法的规定；</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②资金的拨付是否有完整的审批程序和手续；</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③是否符合项目预算批复或合同规定的用途；</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④是否存在截留、挤占、挪用、虚列支出等情况。</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tab/>
        <w:t>组织实施</w:t>
      </w:r>
      <w:r>
        <w:rPr>
          <w:rStyle w:val="ad"/>
          <w:rFonts w:ascii="楷体" w:eastAsia="楷体" w:hAnsi="楷体" w:hint="eastAsia"/>
          <w:b w:val="0"/>
          <w:bCs w:val="0"/>
          <w:spacing w:val="-4"/>
          <w:sz w:val="32"/>
          <w:szCs w:val="32"/>
        </w:rPr>
        <w:tab/>
        <w:t>管理制度</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健全性</w:t>
      </w:r>
      <w:r>
        <w:rPr>
          <w:rStyle w:val="ad"/>
          <w:rFonts w:ascii="楷体" w:eastAsia="楷体" w:hAnsi="楷体" w:hint="eastAsia"/>
          <w:b w:val="0"/>
          <w:bCs w:val="0"/>
          <w:spacing w:val="-4"/>
          <w:sz w:val="32"/>
          <w:szCs w:val="32"/>
        </w:rPr>
        <w:tab/>
        <w:t>项目实施单位的财务和业务管理制度是否健全，用以反映和考核财务和业务管理制度对项目顺利实施的保障情况。</w:t>
      </w:r>
      <w:r>
        <w:rPr>
          <w:rStyle w:val="ad"/>
          <w:rFonts w:ascii="楷体" w:eastAsia="楷体" w:hAnsi="楷体" w:hint="eastAsia"/>
          <w:b w:val="0"/>
          <w:bCs w:val="0"/>
          <w:spacing w:val="-4"/>
          <w:sz w:val="32"/>
          <w:szCs w:val="32"/>
        </w:rPr>
        <w:tab/>
        <w:t>评价要点：</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①是否已制定或具有相应的财务和业务管理制度；</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②财务和业务管理制度是否合法、合规、完整。</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tab/>
      </w:r>
      <w:r>
        <w:rPr>
          <w:rStyle w:val="ad"/>
          <w:rFonts w:ascii="楷体" w:eastAsia="楷体" w:hAnsi="楷体" w:hint="eastAsia"/>
          <w:b w:val="0"/>
          <w:bCs w:val="0"/>
          <w:spacing w:val="-4"/>
          <w:sz w:val="32"/>
          <w:szCs w:val="32"/>
        </w:rPr>
        <w:tab/>
        <w:t>制度执行</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有效性</w:t>
      </w:r>
      <w:r>
        <w:rPr>
          <w:rStyle w:val="ad"/>
          <w:rFonts w:ascii="楷体" w:eastAsia="楷体" w:hAnsi="楷体" w:hint="eastAsia"/>
          <w:b w:val="0"/>
          <w:bCs w:val="0"/>
          <w:spacing w:val="-4"/>
          <w:sz w:val="32"/>
          <w:szCs w:val="32"/>
        </w:rPr>
        <w:tab/>
        <w:t>项目实施是否符合相关管理规定，用以反映和考核相关管理制度的有效执行情况。</w:t>
      </w:r>
      <w:r>
        <w:rPr>
          <w:rStyle w:val="ad"/>
          <w:rFonts w:ascii="楷体" w:eastAsia="楷体" w:hAnsi="楷体" w:hint="eastAsia"/>
          <w:b w:val="0"/>
          <w:bCs w:val="0"/>
          <w:spacing w:val="-4"/>
          <w:sz w:val="32"/>
          <w:szCs w:val="32"/>
        </w:rPr>
        <w:tab/>
        <w:t>评价要点：</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①是否遵守相关法律法规和相关管理规定；</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②项目调整及支出调整手续是否完备；</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③项目合同书、验收报告、技术鉴定等资料是否齐全并及时归档；</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④项目实施的人员条件、场地设备、信息支撑等是否落实到位。</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产出</w:t>
      </w:r>
      <w:r>
        <w:rPr>
          <w:rStyle w:val="ad"/>
          <w:rFonts w:ascii="楷体" w:eastAsia="楷体" w:hAnsi="楷体" w:hint="eastAsia"/>
          <w:b w:val="0"/>
          <w:bCs w:val="0"/>
          <w:spacing w:val="-4"/>
          <w:sz w:val="32"/>
          <w:szCs w:val="32"/>
        </w:rPr>
        <w:tab/>
        <w:t>产出数量</w:t>
      </w:r>
      <w:r>
        <w:rPr>
          <w:rStyle w:val="ad"/>
          <w:rFonts w:ascii="楷体" w:eastAsia="楷体" w:hAnsi="楷体" w:hint="eastAsia"/>
          <w:b w:val="0"/>
          <w:bCs w:val="0"/>
          <w:spacing w:val="-4"/>
          <w:sz w:val="32"/>
          <w:szCs w:val="32"/>
        </w:rPr>
        <w:tab/>
        <w:t>定点宾馆    数量</w:t>
      </w:r>
      <w:r>
        <w:rPr>
          <w:rStyle w:val="ad"/>
          <w:rFonts w:ascii="楷体" w:eastAsia="楷体" w:hAnsi="楷体" w:hint="eastAsia"/>
          <w:b w:val="0"/>
          <w:bCs w:val="0"/>
          <w:spacing w:val="-4"/>
          <w:sz w:val="32"/>
          <w:szCs w:val="32"/>
        </w:rPr>
        <w:tab/>
        <w:t>项目实施的实际产出数与计划产出数的比率，用以反映和考核项目产出数量目标的实现程度。</w:t>
      </w:r>
      <w:r>
        <w:rPr>
          <w:rStyle w:val="ad"/>
          <w:rFonts w:ascii="楷体" w:eastAsia="楷体" w:hAnsi="楷体" w:hint="eastAsia"/>
          <w:b w:val="0"/>
          <w:bCs w:val="0"/>
          <w:spacing w:val="-4"/>
          <w:sz w:val="32"/>
          <w:szCs w:val="32"/>
        </w:rPr>
        <w:tab/>
        <w:t>实际完成率=（实际产出数）×100%。</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实际产出数：一定时期（本年度或项目期）内项目实际产出的产品或提供的服务数量。</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计划产出数：项目绩效目标确定的在一定时期（本年度或项目期）内计划产出的产品或提供的服务数量。</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tab/>
      </w:r>
      <w:r>
        <w:rPr>
          <w:rStyle w:val="ad"/>
          <w:rFonts w:ascii="楷体" w:eastAsia="楷体" w:hAnsi="楷体" w:hint="eastAsia"/>
          <w:b w:val="0"/>
          <w:bCs w:val="0"/>
          <w:spacing w:val="-4"/>
          <w:sz w:val="32"/>
          <w:szCs w:val="32"/>
        </w:rPr>
        <w:tab/>
        <w:t>隔离房间</w:t>
      </w:r>
      <w:r>
        <w:rPr>
          <w:rStyle w:val="ad"/>
          <w:rFonts w:ascii="楷体" w:eastAsia="楷体" w:hAnsi="楷体" w:hint="eastAsia"/>
          <w:b w:val="0"/>
          <w:bCs w:val="0"/>
          <w:spacing w:val="-4"/>
          <w:sz w:val="32"/>
          <w:szCs w:val="32"/>
        </w:rPr>
        <w:tab/>
      </w:r>
      <w:r>
        <w:rPr>
          <w:rStyle w:val="ad"/>
          <w:rFonts w:ascii="楷体" w:eastAsia="楷体" w:hAnsi="楷体" w:hint="eastAsia"/>
          <w:b w:val="0"/>
          <w:bCs w:val="0"/>
          <w:spacing w:val="-4"/>
          <w:sz w:val="32"/>
          <w:szCs w:val="32"/>
        </w:rPr>
        <w:tab/>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产出</w:t>
      </w:r>
      <w:r>
        <w:rPr>
          <w:rStyle w:val="ad"/>
          <w:rFonts w:ascii="楷体" w:eastAsia="楷体" w:hAnsi="楷体" w:hint="eastAsia"/>
          <w:b w:val="0"/>
          <w:bCs w:val="0"/>
          <w:spacing w:val="-4"/>
          <w:sz w:val="32"/>
          <w:szCs w:val="32"/>
        </w:rPr>
        <w:tab/>
        <w:t>产出质量</w:t>
      </w:r>
      <w:r>
        <w:rPr>
          <w:rStyle w:val="ad"/>
          <w:rFonts w:ascii="楷体" w:eastAsia="楷体" w:hAnsi="楷体" w:hint="eastAsia"/>
          <w:b w:val="0"/>
          <w:bCs w:val="0"/>
          <w:spacing w:val="-4"/>
          <w:sz w:val="32"/>
          <w:szCs w:val="32"/>
        </w:rPr>
        <w:tab/>
        <w:t>资金使用合规率</w:t>
      </w:r>
      <w:r>
        <w:rPr>
          <w:rStyle w:val="ad"/>
          <w:rFonts w:ascii="楷体" w:eastAsia="楷体" w:hAnsi="楷体" w:hint="eastAsia"/>
          <w:b w:val="0"/>
          <w:bCs w:val="0"/>
          <w:spacing w:val="-4"/>
          <w:sz w:val="32"/>
          <w:szCs w:val="32"/>
        </w:rPr>
        <w:tab/>
        <w:t>项目资金使用是否符合相关的财务管理制度规定，用以反映和考核项目资金的规范运行情况。</w:t>
      </w:r>
      <w:r>
        <w:rPr>
          <w:rStyle w:val="ad"/>
          <w:rFonts w:ascii="楷体" w:eastAsia="楷体" w:hAnsi="楷体" w:hint="eastAsia"/>
          <w:b w:val="0"/>
          <w:bCs w:val="0"/>
          <w:spacing w:val="-4"/>
          <w:sz w:val="32"/>
          <w:szCs w:val="32"/>
        </w:rPr>
        <w:tab/>
        <w:t>①是否符合国家财经法规和财务管理制度以及有关专项资金管理办法的规定；</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②资金的拨付是否有完整的审批程序和手续；</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③是否符合项目预算批复或合同规定的用途；</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④是否存在截留、挤占、挪用、虚列支出等情况。</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ab/>
        <w:t>产出时效</w:t>
      </w:r>
      <w:r>
        <w:rPr>
          <w:rStyle w:val="ad"/>
          <w:rFonts w:ascii="楷体" w:eastAsia="楷体" w:hAnsi="楷体" w:hint="eastAsia"/>
          <w:b w:val="0"/>
          <w:bCs w:val="0"/>
          <w:spacing w:val="-4"/>
          <w:sz w:val="32"/>
          <w:szCs w:val="32"/>
        </w:rPr>
        <w:tab/>
        <w:t>资金支付及时率</w:t>
      </w:r>
      <w:r>
        <w:rPr>
          <w:rStyle w:val="ad"/>
          <w:rFonts w:ascii="楷体" w:eastAsia="楷体" w:hAnsi="楷体" w:hint="eastAsia"/>
          <w:b w:val="0"/>
          <w:bCs w:val="0"/>
          <w:spacing w:val="-4"/>
          <w:sz w:val="32"/>
          <w:szCs w:val="32"/>
        </w:rPr>
        <w:tab/>
        <w:t>实际支付资金与预算资金的比率，用以反映和考核资金落实情况对项目实施的总体保障程度。</w:t>
      </w:r>
      <w:r>
        <w:rPr>
          <w:rStyle w:val="ad"/>
          <w:rFonts w:ascii="楷体" w:eastAsia="楷体" w:hAnsi="楷体" w:hint="eastAsia"/>
          <w:b w:val="0"/>
          <w:bCs w:val="0"/>
          <w:spacing w:val="-4"/>
          <w:sz w:val="32"/>
          <w:szCs w:val="32"/>
        </w:rPr>
        <w:tab/>
        <w:t>资金到位率=（实际到位资金/预算资金）×100%。</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实际到位资金：一定时期（本年度或项目期）内落实到具体项目的资金。</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预算资金：一定时期（本年度或项目期）内预算安排到具体项目的资金。</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tab/>
        <w:t>产出成本</w:t>
      </w:r>
      <w:r>
        <w:rPr>
          <w:rStyle w:val="ad"/>
          <w:rFonts w:ascii="楷体" w:eastAsia="楷体" w:hAnsi="楷体" w:hint="eastAsia"/>
          <w:b w:val="0"/>
          <w:bCs w:val="0"/>
          <w:spacing w:val="-4"/>
          <w:sz w:val="32"/>
          <w:szCs w:val="32"/>
        </w:rPr>
        <w:tab/>
        <w:t>餐饮标准</w:t>
      </w:r>
      <w:r>
        <w:rPr>
          <w:rStyle w:val="ad"/>
          <w:rFonts w:ascii="楷体" w:eastAsia="楷体" w:hAnsi="楷体" w:hint="eastAsia"/>
          <w:b w:val="0"/>
          <w:bCs w:val="0"/>
          <w:spacing w:val="-4"/>
          <w:sz w:val="32"/>
          <w:szCs w:val="32"/>
        </w:rPr>
        <w:tab/>
        <w:t>完成项目计划工作目标的实际节约成本与计划成本的比率，用以反映和考核项目的成本节约程度。</w:t>
      </w:r>
      <w:r>
        <w:rPr>
          <w:rStyle w:val="ad"/>
          <w:rFonts w:ascii="楷体" w:eastAsia="楷体" w:hAnsi="楷体" w:hint="eastAsia"/>
          <w:b w:val="0"/>
          <w:bCs w:val="0"/>
          <w:spacing w:val="-4"/>
          <w:sz w:val="32"/>
          <w:szCs w:val="32"/>
        </w:rPr>
        <w:tab/>
        <w:t>成本节约率=[（计划成本-实际成本）/计划成本]×100%。</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实际成本：项目实施单位如期、保质、保量完成既定工作目标实际所耗费的支出。</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计划成本：项目实施单位为完成工作目标计划安排的支出，一般以项目预算为参考。</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效益</w:t>
      </w:r>
      <w:r>
        <w:rPr>
          <w:rStyle w:val="ad"/>
          <w:rFonts w:ascii="楷体" w:eastAsia="楷体" w:hAnsi="楷体" w:hint="eastAsia"/>
          <w:b w:val="0"/>
          <w:bCs w:val="0"/>
          <w:spacing w:val="-4"/>
          <w:sz w:val="32"/>
          <w:szCs w:val="32"/>
        </w:rPr>
        <w:tab/>
        <w:t>社会效益指标</w:t>
      </w:r>
      <w:r>
        <w:rPr>
          <w:rStyle w:val="ad"/>
          <w:rFonts w:ascii="楷体" w:eastAsia="楷体" w:hAnsi="楷体" w:hint="eastAsia"/>
          <w:b w:val="0"/>
          <w:bCs w:val="0"/>
          <w:spacing w:val="-4"/>
          <w:sz w:val="32"/>
          <w:szCs w:val="32"/>
        </w:rPr>
        <w:tab/>
        <w:t>防止新冠疫情在我区传播，保障人民生产生活</w:t>
      </w:r>
      <w:r>
        <w:rPr>
          <w:rStyle w:val="ad"/>
          <w:rFonts w:ascii="楷体" w:eastAsia="楷体" w:hAnsi="楷体" w:hint="eastAsia"/>
          <w:b w:val="0"/>
          <w:bCs w:val="0"/>
          <w:spacing w:val="-4"/>
          <w:sz w:val="32"/>
          <w:szCs w:val="32"/>
        </w:rPr>
        <w:tab/>
        <w:t>项目实施所产生的效益。</w:t>
      </w:r>
      <w:r>
        <w:rPr>
          <w:rStyle w:val="ad"/>
          <w:rFonts w:ascii="楷体" w:eastAsia="楷体" w:hAnsi="楷体" w:hint="eastAsia"/>
          <w:b w:val="0"/>
          <w:bCs w:val="0"/>
          <w:spacing w:val="-4"/>
          <w:sz w:val="32"/>
          <w:szCs w:val="32"/>
        </w:rPr>
        <w:tab/>
        <w:t>项目实施所产生的社会效益、经济效益、生态效益、可持续影响等。可根据项目实际情况有选择地设置和细化。</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3. 评价方法</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《关于印发</w:t>
      </w:r>
      <w:proofErr w:type="gramStart"/>
      <w:r>
        <w:rPr>
          <w:rStyle w:val="ad"/>
          <w:rFonts w:ascii="楷体" w:eastAsia="楷体" w:hAnsi="楷体" w:hint="eastAsia"/>
          <w:b w:val="0"/>
          <w:bCs w:val="0"/>
          <w:spacing w:val="-4"/>
          <w:sz w:val="32"/>
          <w:szCs w:val="32"/>
        </w:rPr>
        <w:t>&lt;项目</w:t>
      </w:r>
      <w:proofErr w:type="gramEnd"/>
      <w:r>
        <w:rPr>
          <w:rStyle w:val="ad"/>
          <w:rFonts w:ascii="楷体" w:eastAsia="楷体" w:hAnsi="楷体" w:hint="eastAsia"/>
          <w:b w:val="0"/>
          <w:bCs w:val="0"/>
          <w:spacing w:val="-4"/>
          <w:sz w:val="32"/>
          <w:szCs w:val="32"/>
        </w:rPr>
        <w:t>支出绩效评价管理</w:t>
      </w:r>
      <w:proofErr w:type="gramStart"/>
      <w:r>
        <w:rPr>
          <w:rStyle w:val="ad"/>
          <w:rFonts w:ascii="楷体" w:eastAsia="楷体" w:hAnsi="楷体" w:hint="eastAsia"/>
          <w:b w:val="0"/>
          <w:bCs w:val="0"/>
          <w:spacing w:val="-4"/>
          <w:sz w:val="32"/>
          <w:szCs w:val="32"/>
        </w:rPr>
        <w:t>办法&gt;</w:t>
      </w:r>
      <w:proofErr w:type="gramEnd"/>
      <w:r>
        <w:rPr>
          <w:rStyle w:val="ad"/>
          <w:rFonts w:ascii="楷体" w:eastAsia="楷体" w:hAnsi="楷体" w:hint="eastAsia"/>
          <w:b w:val="0"/>
          <w:bCs w:val="0"/>
          <w:spacing w:val="-4"/>
          <w:sz w:val="32"/>
          <w:szCs w:val="32"/>
        </w:rPr>
        <w:t>的通知》（财预〔2020〕10号）文件指出部门评价的方法主要包括成本效益分析法、比较法、因素分析法、最低成本法、公众评判法、标杆管理法等。</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（1）成本效益分析法。是指将投入与产出、效益进行关联性分析的方法。</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（2）比较法。是指将实施情况与绩效目标、历史情况、不同部门和地区同类支出情况进行比较的方法。</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（3）因素分析法。是指综合分析影响绩效目标实现、实施效果的内外部因素的方法。</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（4）最低成本法。是指在绩效目标确定的前提下，成本最小者为优的方法。</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（5）公众评判法。是指通过专家评估、公众问卷及抽样调查等方式进行评判的方法。</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（6）标杆管理法。是指以国内外同行业中较高的绩效水平为标杆进行评判的方法。</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（7）其他评价方法。</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根据本项目（2023年疫情防控资金）的特点，本次评价主要采用比较法和公众评判法，对项目总预算和明细预算的内容、标准、计划是否经济合理进行深入分析，以考察实际产出和效益是否达到预期。</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4. 评价标准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绩效评价标准主要包括计划标准、行业标准、历史标准等，用于对绩效指标完成情况进行比较。</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（1）计划标准。指以预先制定的目标、计划、预算、定额等作为评价标准。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（2）行业标准。指参照国家公布的行业指标数据制定的评价标准。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（3）历史标准。指参照历史数据制定的评价标准，为体现绩效改进的原则，在可实现的条件下应当确定相对较高的评价标准。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在上述评价标准的基础上，本次评价依据以下文件为重要指导和</w:t>
      </w:r>
      <w:r>
        <w:rPr>
          <w:rStyle w:val="ad"/>
          <w:rFonts w:ascii="楷体" w:eastAsia="楷体" w:hAnsi="楷体" w:hint="eastAsia"/>
          <w:b w:val="0"/>
          <w:bCs w:val="0"/>
          <w:spacing w:val="-4"/>
          <w:sz w:val="32"/>
          <w:szCs w:val="32"/>
        </w:rPr>
        <w:lastRenderedPageBreak/>
        <w:t>准绳：</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·《中共中央国务院关于全面实施预算绩效管理的意见》（中发〔2018〕34号）</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·《关于印发</w:t>
      </w:r>
      <w:proofErr w:type="gramStart"/>
      <w:r>
        <w:rPr>
          <w:rStyle w:val="ad"/>
          <w:rFonts w:ascii="楷体" w:eastAsia="楷体" w:hAnsi="楷体" w:hint="eastAsia"/>
          <w:b w:val="0"/>
          <w:bCs w:val="0"/>
          <w:spacing w:val="-4"/>
          <w:sz w:val="32"/>
          <w:szCs w:val="32"/>
        </w:rPr>
        <w:t>&lt;乌鲁木齐市</w:t>
      </w:r>
      <w:proofErr w:type="gramEnd"/>
      <w:r>
        <w:rPr>
          <w:rStyle w:val="ad"/>
          <w:rFonts w:ascii="楷体" w:eastAsia="楷体" w:hAnsi="楷体" w:hint="eastAsia"/>
          <w:b w:val="0"/>
          <w:bCs w:val="0"/>
          <w:spacing w:val="-4"/>
          <w:sz w:val="32"/>
          <w:szCs w:val="32"/>
        </w:rPr>
        <w:t>本级部门预算绩效目标管理暂行</w:t>
      </w:r>
      <w:proofErr w:type="gramStart"/>
      <w:r>
        <w:rPr>
          <w:rStyle w:val="ad"/>
          <w:rFonts w:ascii="楷体" w:eastAsia="楷体" w:hAnsi="楷体" w:hint="eastAsia"/>
          <w:b w:val="0"/>
          <w:bCs w:val="0"/>
          <w:spacing w:val="-4"/>
          <w:sz w:val="32"/>
          <w:szCs w:val="32"/>
        </w:rPr>
        <w:t>办法&gt;</w:t>
      </w:r>
      <w:proofErr w:type="gramEnd"/>
      <w:r>
        <w:rPr>
          <w:rStyle w:val="ad"/>
          <w:rFonts w:ascii="楷体" w:eastAsia="楷体" w:hAnsi="楷体" w:hint="eastAsia"/>
          <w:b w:val="0"/>
          <w:bCs w:val="0"/>
          <w:spacing w:val="-4"/>
          <w:sz w:val="32"/>
          <w:szCs w:val="32"/>
        </w:rPr>
        <w:t>的通知》（乌财预〔2018〕56号）</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·《关于做好2019年部门预算项目支出绩效目标管理有关事宜的通知》（乌财预〔2018〕76号）</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·《项目支出绩效评价管理办法》（财预〔2020〕10号）</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·《关于印发米东区防控新型冠状病毒肺炎疫情隔离场所应急保障工作方案的通知》（米防指函〔2020〕12号）</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·关于印发《乌鲁木齐市新冠肺炎疫情防控物资采购管理办法（试行）》的通知（乌防指〔2020〕174号）</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·《关于解决隔离点位、方舱等供餐企业部分餐费的报告》（米东区市场监督管理局）</w:t>
      </w:r>
    </w:p>
    <w:p w14:paraId="3924C329" w14:textId="77777777" w:rsidR="0087346A" w:rsidRDefault="00000000">
      <w:pPr>
        <w:spacing w:line="540" w:lineRule="exact"/>
        <w:ind w:firstLineChars="181"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（三）绩效评价工作过程</w:t>
      </w:r>
    </w:p>
    <w:p w14:paraId="525FDD27" w14:textId="77777777" w:rsidR="0087346A"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w:t>
      </w:r>
      <w:r>
        <w:rPr>
          <w:rStyle w:val="ad"/>
          <w:rFonts w:ascii="楷体" w:eastAsia="楷体" w:hAnsi="楷体" w:hint="eastAsia"/>
          <w:b w:val="0"/>
          <w:bCs w:val="0"/>
          <w:spacing w:val="-4"/>
          <w:sz w:val="32"/>
          <w:szCs w:val="32"/>
        </w:rPr>
        <w:lastRenderedPageBreak/>
        <w:t>实施和监督情况（包括但不限于项目立项、制度执行、质量达标、完成时效等）以及项目产生的实际效益等。具体而言，通过前期准备[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42B3F22A" w14:textId="77777777" w:rsidR="0087346A"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三、综合评价情况及评价结论</w:t>
      </w:r>
    </w:p>
    <w:p w14:paraId="0C5E1CAA" w14:textId="0A2483BE" w:rsidR="0087346A"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（一）评价结论</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结合项目特点，制定符合项目实际的绩效评价指标体系及评分标准，通过数据采集、问卷调查及访谈等形式，对2023年疫情防控资金进行客观评价，最终评分结果为：总分为94分，绩效评级为“优”[本次绩效评价结果实施百分制和四级分类，其中90（含）-100分为优、80（含）-90分为良、70（含）-80分为中、70分以下为差。]。</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项目各部分权重和绩效分值如表3-1所示：</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表3-1 项目各部分权重和绩效分值</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一级指标</w:t>
      </w:r>
      <w:r>
        <w:rPr>
          <w:rStyle w:val="ad"/>
          <w:rFonts w:ascii="楷体" w:eastAsia="楷体" w:hAnsi="楷体" w:hint="eastAsia"/>
          <w:b w:val="0"/>
          <w:bCs w:val="0"/>
          <w:spacing w:val="-4"/>
          <w:sz w:val="32"/>
          <w:szCs w:val="32"/>
        </w:rPr>
        <w:tab/>
        <w:t>二级指标</w:t>
      </w:r>
      <w:r>
        <w:rPr>
          <w:rStyle w:val="ad"/>
          <w:rFonts w:ascii="楷体" w:eastAsia="楷体" w:hAnsi="楷体" w:hint="eastAsia"/>
          <w:b w:val="0"/>
          <w:bCs w:val="0"/>
          <w:spacing w:val="-4"/>
          <w:sz w:val="32"/>
          <w:szCs w:val="32"/>
        </w:rPr>
        <w:tab/>
        <w:t>三级指标</w:t>
      </w:r>
      <w:r>
        <w:rPr>
          <w:rStyle w:val="ad"/>
          <w:rFonts w:ascii="楷体" w:eastAsia="楷体" w:hAnsi="楷体" w:hint="eastAsia"/>
          <w:b w:val="0"/>
          <w:bCs w:val="0"/>
          <w:spacing w:val="-4"/>
          <w:sz w:val="32"/>
          <w:szCs w:val="32"/>
        </w:rPr>
        <w:tab/>
        <w:t>分值</w:t>
      </w:r>
      <w:r>
        <w:rPr>
          <w:rStyle w:val="ad"/>
          <w:rFonts w:ascii="楷体" w:eastAsia="楷体" w:hAnsi="楷体" w:hint="eastAsia"/>
          <w:b w:val="0"/>
          <w:bCs w:val="0"/>
          <w:spacing w:val="-4"/>
          <w:sz w:val="32"/>
          <w:szCs w:val="32"/>
        </w:rPr>
        <w:tab/>
        <w:t>得分</w:t>
      </w:r>
      <w:r>
        <w:rPr>
          <w:rStyle w:val="ad"/>
          <w:rFonts w:ascii="楷体" w:eastAsia="楷体" w:hAnsi="楷体" w:hint="eastAsia"/>
          <w:b w:val="0"/>
          <w:bCs w:val="0"/>
          <w:spacing w:val="-4"/>
          <w:sz w:val="32"/>
          <w:szCs w:val="32"/>
        </w:rPr>
        <w:tab/>
        <w:t>得分率</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决策</w:t>
      </w:r>
      <w:r>
        <w:rPr>
          <w:rStyle w:val="ad"/>
          <w:rFonts w:ascii="楷体" w:eastAsia="楷体" w:hAnsi="楷体" w:hint="eastAsia"/>
          <w:b w:val="0"/>
          <w:bCs w:val="0"/>
          <w:spacing w:val="-4"/>
          <w:sz w:val="32"/>
          <w:szCs w:val="32"/>
        </w:rPr>
        <w:tab/>
      </w:r>
      <w:r>
        <w:rPr>
          <w:rStyle w:val="ad"/>
          <w:rFonts w:ascii="楷体" w:eastAsia="楷体" w:hAnsi="楷体" w:hint="eastAsia"/>
          <w:b w:val="0"/>
          <w:bCs w:val="0"/>
          <w:spacing w:val="-4"/>
          <w:sz w:val="32"/>
          <w:szCs w:val="32"/>
        </w:rPr>
        <w:tab/>
        <w:t>项目立项</w:t>
      </w:r>
      <w:r>
        <w:rPr>
          <w:rStyle w:val="ad"/>
          <w:rFonts w:ascii="楷体" w:eastAsia="楷体" w:hAnsi="楷体" w:hint="eastAsia"/>
          <w:b w:val="0"/>
          <w:bCs w:val="0"/>
          <w:spacing w:val="-4"/>
          <w:sz w:val="32"/>
          <w:szCs w:val="32"/>
        </w:rPr>
        <w:tab/>
      </w:r>
      <w:r>
        <w:rPr>
          <w:rStyle w:val="ad"/>
          <w:rFonts w:ascii="楷体" w:eastAsia="楷体" w:hAnsi="楷体" w:hint="eastAsia"/>
          <w:b w:val="0"/>
          <w:bCs w:val="0"/>
          <w:spacing w:val="-4"/>
          <w:sz w:val="32"/>
          <w:szCs w:val="32"/>
        </w:rPr>
        <w:tab/>
        <w:t>立项依据充分性</w:t>
      </w:r>
      <w:r>
        <w:rPr>
          <w:rStyle w:val="ad"/>
          <w:rFonts w:ascii="楷体" w:eastAsia="楷体" w:hAnsi="楷体" w:hint="eastAsia"/>
          <w:b w:val="0"/>
          <w:bCs w:val="0"/>
          <w:spacing w:val="-4"/>
          <w:sz w:val="32"/>
          <w:szCs w:val="32"/>
        </w:rPr>
        <w:tab/>
        <w:t>4</w:t>
      </w:r>
      <w:r>
        <w:rPr>
          <w:rStyle w:val="ad"/>
          <w:rFonts w:ascii="楷体" w:eastAsia="楷体" w:hAnsi="楷体" w:hint="eastAsia"/>
          <w:b w:val="0"/>
          <w:bCs w:val="0"/>
          <w:spacing w:val="-4"/>
          <w:sz w:val="32"/>
          <w:szCs w:val="32"/>
        </w:rPr>
        <w:tab/>
        <w:t>4</w:t>
      </w:r>
      <w:r>
        <w:rPr>
          <w:rStyle w:val="ad"/>
          <w:rFonts w:ascii="楷体" w:eastAsia="楷体" w:hAnsi="楷体" w:hint="eastAsia"/>
          <w:b w:val="0"/>
          <w:bCs w:val="0"/>
          <w:spacing w:val="-4"/>
          <w:sz w:val="32"/>
          <w:szCs w:val="32"/>
        </w:rPr>
        <w:tab/>
        <w:t>100%</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lastRenderedPageBreak/>
        <w:br/>
      </w:r>
      <w:r>
        <w:rPr>
          <w:rStyle w:val="ad"/>
          <w:rFonts w:ascii="楷体" w:eastAsia="楷体" w:hAnsi="楷体" w:hint="eastAsia"/>
          <w:b w:val="0"/>
          <w:bCs w:val="0"/>
          <w:spacing w:val="-4"/>
          <w:sz w:val="32"/>
          <w:szCs w:val="32"/>
        </w:rPr>
        <w:tab/>
      </w:r>
      <w:r>
        <w:rPr>
          <w:rStyle w:val="ad"/>
          <w:rFonts w:ascii="楷体" w:eastAsia="楷体" w:hAnsi="楷体" w:hint="eastAsia"/>
          <w:b w:val="0"/>
          <w:bCs w:val="0"/>
          <w:spacing w:val="-4"/>
          <w:sz w:val="32"/>
          <w:szCs w:val="32"/>
        </w:rPr>
        <w:tab/>
        <w:t>立项程序规范性</w:t>
      </w:r>
      <w:r>
        <w:rPr>
          <w:rStyle w:val="ad"/>
          <w:rFonts w:ascii="楷体" w:eastAsia="楷体" w:hAnsi="楷体" w:hint="eastAsia"/>
          <w:b w:val="0"/>
          <w:bCs w:val="0"/>
          <w:spacing w:val="-4"/>
          <w:sz w:val="32"/>
          <w:szCs w:val="32"/>
        </w:rPr>
        <w:tab/>
        <w:t>4</w:t>
      </w:r>
      <w:r>
        <w:rPr>
          <w:rStyle w:val="ad"/>
          <w:rFonts w:ascii="楷体" w:eastAsia="楷体" w:hAnsi="楷体" w:hint="eastAsia"/>
          <w:b w:val="0"/>
          <w:bCs w:val="0"/>
          <w:spacing w:val="-4"/>
          <w:sz w:val="32"/>
          <w:szCs w:val="32"/>
        </w:rPr>
        <w:tab/>
        <w:t>3</w:t>
      </w:r>
      <w:r>
        <w:rPr>
          <w:rStyle w:val="ad"/>
          <w:rFonts w:ascii="楷体" w:eastAsia="楷体" w:hAnsi="楷体" w:hint="eastAsia"/>
          <w:b w:val="0"/>
          <w:bCs w:val="0"/>
          <w:spacing w:val="-4"/>
          <w:sz w:val="32"/>
          <w:szCs w:val="32"/>
        </w:rPr>
        <w:tab/>
        <w:t>75%</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tab/>
        <w:t>绩效目标</w:t>
      </w:r>
      <w:r>
        <w:rPr>
          <w:rStyle w:val="ad"/>
          <w:rFonts w:ascii="楷体" w:eastAsia="楷体" w:hAnsi="楷体" w:hint="eastAsia"/>
          <w:b w:val="0"/>
          <w:bCs w:val="0"/>
          <w:spacing w:val="-4"/>
          <w:sz w:val="32"/>
          <w:szCs w:val="32"/>
        </w:rPr>
        <w:tab/>
        <w:t>绩效目标合理性</w:t>
      </w:r>
      <w:r>
        <w:rPr>
          <w:rStyle w:val="ad"/>
          <w:rFonts w:ascii="楷体" w:eastAsia="楷体" w:hAnsi="楷体" w:hint="eastAsia"/>
          <w:b w:val="0"/>
          <w:bCs w:val="0"/>
          <w:spacing w:val="-4"/>
          <w:sz w:val="32"/>
          <w:szCs w:val="32"/>
        </w:rPr>
        <w:tab/>
        <w:t>3</w:t>
      </w:r>
      <w:r>
        <w:rPr>
          <w:rStyle w:val="ad"/>
          <w:rFonts w:ascii="楷体" w:eastAsia="楷体" w:hAnsi="楷体" w:hint="eastAsia"/>
          <w:b w:val="0"/>
          <w:bCs w:val="0"/>
          <w:spacing w:val="-4"/>
          <w:sz w:val="32"/>
          <w:szCs w:val="32"/>
        </w:rPr>
        <w:tab/>
        <w:t>3</w:t>
      </w:r>
      <w:r>
        <w:rPr>
          <w:rStyle w:val="ad"/>
          <w:rFonts w:ascii="楷体" w:eastAsia="楷体" w:hAnsi="楷体" w:hint="eastAsia"/>
          <w:b w:val="0"/>
          <w:bCs w:val="0"/>
          <w:spacing w:val="-4"/>
          <w:sz w:val="32"/>
          <w:szCs w:val="32"/>
        </w:rPr>
        <w:tab/>
        <w:t>100%</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tab/>
      </w:r>
      <w:r>
        <w:rPr>
          <w:rStyle w:val="ad"/>
          <w:rFonts w:ascii="楷体" w:eastAsia="楷体" w:hAnsi="楷体" w:hint="eastAsia"/>
          <w:b w:val="0"/>
          <w:bCs w:val="0"/>
          <w:spacing w:val="-4"/>
          <w:sz w:val="32"/>
          <w:szCs w:val="32"/>
        </w:rPr>
        <w:tab/>
        <w:t>绩效指标明确性</w:t>
      </w:r>
      <w:r>
        <w:rPr>
          <w:rStyle w:val="ad"/>
          <w:rFonts w:ascii="楷体" w:eastAsia="楷体" w:hAnsi="楷体" w:hint="eastAsia"/>
          <w:b w:val="0"/>
          <w:bCs w:val="0"/>
          <w:spacing w:val="-4"/>
          <w:sz w:val="32"/>
          <w:szCs w:val="32"/>
        </w:rPr>
        <w:tab/>
        <w:t>3</w:t>
      </w:r>
      <w:r>
        <w:rPr>
          <w:rStyle w:val="ad"/>
          <w:rFonts w:ascii="楷体" w:eastAsia="楷体" w:hAnsi="楷体" w:hint="eastAsia"/>
          <w:b w:val="0"/>
          <w:bCs w:val="0"/>
          <w:spacing w:val="-4"/>
          <w:sz w:val="32"/>
          <w:szCs w:val="32"/>
        </w:rPr>
        <w:tab/>
        <w:t>3</w:t>
      </w:r>
      <w:r>
        <w:rPr>
          <w:rStyle w:val="ad"/>
          <w:rFonts w:ascii="楷体" w:eastAsia="楷体" w:hAnsi="楷体" w:hint="eastAsia"/>
          <w:b w:val="0"/>
          <w:bCs w:val="0"/>
          <w:spacing w:val="-4"/>
          <w:sz w:val="32"/>
          <w:szCs w:val="32"/>
        </w:rPr>
        <w:tab/>
        <w:t>100%</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tab/>
        <w:t>资金投入</w:t>
      </w:r>
      <w:r>
        <w:rPr>
          <w:rStyle w:val="ad"/>
          <w:rFonts w:ascii="楷体" w:eastAsia="楷体" w:hAnsi="楷体" w:hint="eastAsia"/>
          <w:b w:val="0"/>
          <w:bCs w:val="0"/>
          <w:spacing w:val="-4"/>
          <w:sz w:val="32"/>
          <w:szCs w:val="32"/>
        </w:rPr>
        <w:tab/>
        <w:t>预算编制科学性</w:t>
      </w:r>
      <w:r>
        <w:rPr>
          <w:rStyle w:val="ad"/>
          <w:rFonts w:ascii="楷体" w:eastAsia="楷体" w:hAnsi="楷体" w:hint="eastAsia"/>
          <w:b w:val="0"/>
          <w:bCs w:val="0"/>
          <w:spacing w:val="-4"/>
          <w:sz w:val="32"/>
          <w:szCs w:val="32"/>
        </w:rPr>
        <w:tab/>
        <w:t>3</w:t>
      </w:r>
      <w:r>
        <w:rPr>
          <w:rStyle w:val="ad"/>
          <w:rFonts w:ascii="楷体" w:eastAsia="楷体" w:hAnsi="楷体" w:hint="eastAsia"/>
          <w:b w:val="0"/>
          <w:bCs w:val="0"/>
          <w:spacing w:val="-4"/>
          <w:sz w:val="32"/>
          <w:szCs w:val="32"/>
        </w:rPr>
        <w:tab/>
        <w:t>2</w:t>
      </w:r>
      <w:r>
        <w:rPr>
          <w:rStyle w:val="ad"/>
          <w:rFonts w:ascii="楷体" w:eastAsia="楷体" w:hAnsi="楷体" w:hint="eastAsia"/>
          <w:b w:val="0"/>
          <w:bCs w:val="0"/>
          <w:spacing w:val="-4"/>
          <w:sz w:val="32"/>
          <w:szCs w:val="32"/>
        </w:rPr>
        <w:tab/>
        <w:t>66.66%</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tab/>
      </w:r>
      <w:r>
        <w:rPr>
          <w:rStyle w:val="ad"/>
          <w:rFonts w:ascii="楷体" w:eastAsia="楷体" w:hAnsi="楷体" w:hint="eastAsia"/>
          <w:b w:val="0"/>
          <w:bCs w:val="0"/>
          <w:spacing w:val="-4"/>
          <w:sz w:val="32"/>
          <w:szCs w:val="32"/>
        </w:rPr>
        <w:tab/>
        <w:t>资金分配合理性</w:t>
      </w:r>
      <w:r>
        <w:rPr>
          <w:rStyle w:val="ad"/>
          <w:rFonts w:ascii="楷体" w:eastAsia="楷体" w:hAnsi="楷体" w:hint="eastAsia"/>
          <w:b w:val="0"/>
          <w:bCs w:val="0"/>
          <w:spacing w:val="-4"/>
          <w:sz w:val="32"/>
          <w:szCs w:val="32"/>
        </w:rPr>
        <w:tab/>
        <w:t>3</w:t>
      </w:r>
      <w:r>
        <w:rPr>
          <w:rStyle w:val="ad"/>
          <w:rFonts w:ascii="楷体" w:eastAsia="楷体" w:hAnsi="楷体" w:hint="eastAsia"/>
          <w:b w:val="0"/>
          <w:bCs w:val="0"/>
          <w:spacing w:val="-4"/>
          <w:sz w:val="32"/>
          <w:szCs w:val="32"/>
        </w:rPr>
        <w:tab/>
        <w:t>2</w:t>
      </w:r>
      <w:r>
        <w:rPr>
          <w:rStyle w:val="ad"/>
          <w:rFonts w:ascii="楷体" w:eastAsia="楷体" w:hAnsi="楷体" w:hint="eastAsia"/>
          <w:b w:val="0"/>
          <w:bCs w:val="0"/>
          <w:spacing w:val="-4"/>
          <w:sz w:val="32"/>
          <w:szCs w:val="32"/>
        </w:rPr>
        <w:tab/>
        <w:t>66.66%</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过程</w:t>
      </w:r>
      <w:r>
        <w:rPr>
          <w:rStyle w:val="ad"/>
          <w:rFonts w:ascii="楷体" w:eastAsia="楷体" w:hAnsi="楷体" w:hint="eastAsia"/>
          <w:b w:val="0"/>
          <w:bCs w:val="0"/>
          <w:spacing w:val="-4"/>
          <w:sz w:val="32"/>
          <w:szCs w:val="32"/>
        </w:rPr>
        <w:tab/>
        <w:t>资金管理</w:t>
      </w:r>
      <w:r>
        <w:rPr>
          <w:rStyle w:val="ad"/>
          <w:rFonts w:ascii="楷体" w:eastAsia="楷体" w:hAnsi="楷体" w:hint="eastAsia"/>
          <w:b w:val="0"/>
          <w:bCs w:val="0"/>
          <w:spacing w:val="-4"/>
          <w:sz w:val="32"/>
          <w:szCs w:val="32"/>
        </w:rPr>
        <w:tab/>
        <w:t>资金到位率</w:t>
      </w:r>
      <w:r>
        <w:rPr>
          <w:rStyle w:val="ad"/>
          <w:rFonts w:ascii="楷体" w:eastAsia="楷体" w:hAnsi="楷体" w:hint="eastAsia"/>
          <w:b w:val="0"/>
          <w:bCs w:val="0"/>
          <w:spacing w:val="-4"/>
          <w:sz w:val="32"/>
          <w:szCs w:val="32"/>
        </w:rPr>
        <w:tab/>
        <w:t>5</w:t>
      </w:r>
      <w:r>
        <w:rPr>
          <w:rStyle w:val="ad"/>
          <w:rFonts w:ascii="楷体" w:eastAsia="楷体" w:hAnsi="楷体" w:hint="eastAsia"/>
          <w:b w:val="0"/>
          <w:bCs w:val="0"/>
          <w:spacing w:val="-4"/>
          <w:sz w:val="32"/>
          <w:szCs w:val="32"/>
        </w:rPr>
        <w:tab/>
        <w:t>4</w:t>
      </w:r>
      <w:r>
        <w:rPr>
          <w:rStyle w:val="ad"/>
          <w:rFonts w:ascii="楷体" w:eastAsia="楷体" w:hAnsi="楷体" w:hint="eastAsia"/>
          <w:b w:val="0"/>
          <w:bCs w:val="0"/>
          <w:spacing w:val="-4"/>
          <w:sz w:val="32"/>
          <w:szCs w:val="32"/>
        </w:rPr>
        <w:tab/>
        <w:t>75%</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tab/>
      </w:r>
      <w:r>
        <w:rPr>
          <w:rStyle w:val="ad"/>
          <w:rFonts w:ascii="楷体" w:eastAsia="楷体" w:hAnsi="楷体" w:hint="eastAsia"/>
          <w:b w:val="0"/>
          <w:bCs w:val="0"/>
          <w:spacing w:val="-4"/>
          <w:sz w:val="32"/>
          <w:szCs w:val="32"/>
        </w:rPr>
        <w:tab/>
        <w:t>预算执行率</w:t>
      </w:r>
      <w:r>
        <w:rPr>
          <w:rStyle w:val="ad"/>
          <w:rFonts w:ascii="楷体" w:eastAsia="楷体" w:hAnsi="楷体" w:hint="eastAsia"/>
          <w:b w:val="0"/>
          <w:bCs w:val="0"/>
          <w:spacing w:val="-4"/>
          <w:sz w:val="32"/>
          <w:szCs w:val="32"/>
        </w:rPr>
        <w:tab/>
        <w:t>5</w:t>
      </w:r>
      <w:r>
        <w:rPr>
          <w:rStyle w:val="ad"/>
          <w:rFonts w:ascii="楷体" w:eastAsia="楷体" w:hAnsi="楷体" w:hint="eastAsia"/>
          <w:b w:val="0"/>
          <w:bCs w:val="0"/>
          <w:spacing w:val="-4"/>
          <w:sz w:val="32"/>
          <w:szCs w:val="32"/>
        </w:rPr>
        <w:tab/>
        <w:t>5</w:t>
      </w:r>
      <w:r>
        <w:rPr>
          <w:rStyle w:val="ad"/>
          <w:rFonts w:ascii="楷体" w:eastAsia="楷体" w:hAnsi="楷体" w:hint="eastAsia"/>
          <w:b w:val="0"/>
          <w:bCs w:val="0"/>
          <w:spacing w:val="-4"/>
          <w:sz w:val="32"/>
          <w:szCs w:val="32"/>
        </w:rPr>
        <w:tab/>
        <w:t>100%</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tab/>
      </w:r>
      <w:r>
        <w:rPr>
          <w:rStyle w:val="ad"/>
          <w:rFonts w:ascii="楷体" w:eastAsia="楷体" w:hAnsi="楷体" w:hint="eastAsia"/>
          <w:b w:val="0"/>
          <w:bCs w:val="0"/>
          <w:spacing w:val="-4"/>
          <w:sz w:val="32"/>
          <w:szCs w:val="32"/>
        </w:rPr>
        <w:tab/>
        <w:t>资金使用合规性</w:t>
      </w:r>
      <w:r>
        <w:rPr>
          <w:rStyle w:val="ad"/>
          <w:rFonts w:ascii="楷体" w:eastAsia="楷体" w:hAnsi="楷体" w:hint="eastAsia"/>
          <w:b w:val="0"/>
          <w:bCs w:val="0"/>
          <w:spacing w:val="-4"/>
          <w:sz w:val="32"/>
          <w:szCs w:val="32"/>
        </w:rPr>
        <w:tab/>
        <w:t>3</w:t>
      </w:r>
      <w:r>
        <w:rPr>
          <w:rStyle w:val="ad"/>
          <w:rFonts w:ascii="楷体" w:eastAsia="楷体" w:hAnsi="楷体" w:hint="eastAsia"/>
          <w:b w:val="0"/>
          <w:bCs w:val="0"/>
          <w:spacing w:val="-4"/>
          <w:sz w:val="32"/>
          <w:szCs w:val="32"/>
        </w:rPr>
        <w:tab/>
        <w:t>3</w:t>
      </w:r>
      <w:r>
        <w:rPr>
          <w:rStyle w:val="ad"/>
          <w:rFonts w:ascii="楷体" w:eastAsia="楷体" w:hAnsi="楷体" w:hint="eastAsia"/>
          <w:b w:val="0"/>
          <w:bCs w:val="0"/>
          <w:spacing w:val="-4"/>
          <w:sz w:val="32"/>
          <w:szCs w:val="32"/>
        </w:rPr>
        <w:tab/>
        <w:t>100%</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tab/>
        <w:t>组织实施</w:t>
      </w:r>
      <w:r>
        <w:rPr>
          <w:rStyle w:val="ad"/>
          <w:rFonts w:ascii="楷体" w:eastAsia="楷体" w:hAnsi="楷体" w:hint="eastAsia"/>
          <w:b w:val="0"/>
          <w:bCs w:val="0"/>
          <w:spacing w:val="-4"/>
          <w:sz w:val="32"/>
          <w:szCs w:val="32"/>
        </w:rPr>
        <w:tab/>
        <w:t>管理制度健全性</w:t>
      </w:r>
      <w:r>
        <w:rPr>
          <w:rStyle w:val="ad"/>
          <w:rFonts w:ascii="楷体" w:eastAsia="楷体" w:hAnsi="楷体" w:hint="eastAsia"/>
          <w:b w:val="0"/>
          <w:bCs w:val="0"/>
          <w:spacing w:val="-4"/>
          <w:sz w:val="32"/>
          <w:szCs w:val="32"/>
        </w:rPr>
        <w:tab/>
        <w:t>3</w:t>
      </w:r>
      <w:r>
        <w:rPr>
          <w:rStyle w:val="ad"/>
          <w:rFonts w:ascii="楷体" w:eastAsia="楷体" w:hAnsi="楷体" w:hint="eastAsia"/>
          <w:b w:val="0"/>
          <w:bCs w:val="0"/>
          <w:spacing w:val="-4"/>
          <w:sz w:val="32"/>
          <w:szCs w:val="32"/>
        </w:rPr>
        <w:tab/>
        <w:t>2</w:t>
      </w:r>
      <w:r>
        <w:rPr>
          <w:rStyle w:val="ad"/>
          <w:rFonts w:ascii="楷体" w:eastAsia="楷体" w:hAnsi="楷体" w:hint="eastAsia"/>
          <w:b w:val="0"/>
          <w:bCs w:val="0"/>
          <w:spacing w:val="-4"/>
          <w:sz w:val="32"/>
          <w:szCs w:val="32"/>
        </w:rPr>
        <w:tab/>
        <w:t>66.66%</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tab/>
      </w:r>
      <w:r>
        <w:rPr>
          <w:rStyle w:val="ad"/>
          <w:rFonts w:ascii="楷体" w:eastAsia="楷体" w:hAnsi="楷体" w:hint="eastAsia"/>
          <w:b w:val="0"/>
          <w:bCs w:val="0"/>
          <w:spacing w:val="-4"/>
          <w:sz w:val="32"/>
          <w:szCs w:val="32"/>
        </w:rPr>
        <w:tab/>
        <w:t>制度执行有效性</w:t>
      </w:r>
      <w:r>
        <w:rPr>
          <w:rStyle w:val="ad"/>
          <w:rFonts w:ascii="楷体" w:eastAsia="楷体" w:hAnsi="楷体" w:hint="eastAsia"/>
          <w:b w:val="0"/>
          <w:bCs w:val="0"/>
          <w:spacing w:val="-4"/>
          <w:sz w:val="32"/>
          <w:szCs w:val="32"/>
        </w:rPr>
        <w:tab/>
        <w:t>4</w:t>
      </w:r>
      <w:r>
        <w:rPr>
          <w:rStyle w:val="ad"/>
          <w:rFonts w:ascii="楷体" w:eastAsia="楷体" w:hAnsi="楷体" w:hint="eastAsia"/>
          <w:b w:val="0"/>
          <w:bCs w:val="0"/>
          <w:spacing w:val="-4"/>
          <w:sz w:val="32"/>
          <w:szCs w:val="32"/>
        </w:rPr>
        <w:tab/>
        <w:t>4</w:t>
      </w:r>
      <w:r>
        <w:rPr>
          <w:rStyle w:val="ad"/>
          <w:rFonts w:ascii="楷体" w:eastAsia="楷体" w:hAnsi="楷体" w:hint="eastAsia"/>
          <w:b w:val="0"/>
          <w:bCs w:val="0"/>
          <w:spacing w:val="-4"/>
          <w:sz w:val="32"/>
          <w:szCs w:val="32"/>
        </w:rPr>
        <w:tab/>
        <w:t>100%</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产出</w:t>
      </w:r>
      <w:r>
        <w:rPr>
          <w:rStyle w:val="ad"/>
          <w:rFonts w:ascii="楷体" w:eastAsia="楷体" w:hAnsi="楷体" w:hint="eastAsia"/>
          <w:b w:val="0"/>
          <w:bCs w:val="0"/>
          <w:spacing w:val="-4"/>
          <w:sz w:val="32"/>
          <w:szCs w:val="32"/>
        </w:rPr>
        <w:tab/>
        <w:t>产出数量</w:t>
      </w:r>
      <w:r>
        <w:rPr>
          <w:rStyle w:val="ad"/>
          <w:rFonts w:ascii="楷体" w:eastAsia="楷体" w:hAnsi="楷体" w:hint="eastAsia"/>
          <w:b w:val="0"/>
          <w:bCs w:val="0"/>
          <w:spacing w:val="-4"/>
          <w:sz w:val="32"/>
          <w:szCs w:val="32"/>
        </w:rPr>
        <w:tab/>
        <w:t>定点宾馆数量</w:t>
      </w:r>
      <w:r>
        <w:rPr>
          <w:rStyle w:val="ad"/>
          <w:rFonts w:ascii="楷体" w:eastAsia="楷体" w:hAnsi="楷体" w:hint="eastAsia"/>
          <w:b w:val="0"/>
          <w:bCs w:val="0"/>
          <w:spacing w:val="-4"/>
          <w:sz w:val="32"/>
          <w:szCs w:val="32"/>
        </w:rPr>
        <w:tab/>
        <w:t>10</w:t>
      </w:r>
      <w:r>
        <w:rPr>
          <w:rStyle w:val="ad"/>
          <w:rFonts w:ascii="楷体" w:eastAsia="楷体" w:hAnsi="楷体" w:hint="eastAsia"/>
          <w:b w:val="0"/>
          <w:bCs w:val="0"/>
          <w:spacing w:val="-4"/>
          <w:sz w:val="32"/>
          <w:szCs w:val="32"/>
        </w:rPr>
        <w:tab/>
        <w:t>10</w:t>
      </w:r>
      <w:r>
        <w:rPr>
          <w:rStyle w:val="ad"/>
          <w:rFonts w:ascii="楷体" w:eastAsia="楷体" w:hAnsi="楷体" w:hint="eastAsia"/>
          <w:b w:val="0"/>
          <w:bCs w:val="0"/>
          <w:spacing w:val="-4"/>
          <w:sz w:val="32"/>
          <w:szCs w:val="32"/>
        </w:rPr>
        <w:tab/>
        <w:t>100%</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tab/>
      </w:r>
      <w:r>
        <w:rPr>
          <w:rStyle w:val="ad"/>
          <w:rFonts w:ascii="楷体" w:eastAsia="楷体" w:hAnsi="楷体" w:hint="eastAsia"/>
          <w:b w:val="0"/>
          <w:bCs w:val="0"/>
          <w:spacing w:val="-4"/>
          <w:sz w:val="32"/>
          <w:szCs w:val="32"/>
        </w:rPr>
        <w:tab/>
        <w:t>隔离房间</w:t>
      </w:r>
      <w:r>
        <w:rPr>
          <w:rStyle w:val="ad"/>
          <w:rFonts w:ascii="楷体" w:eastAsia="楷体" w:hAnsi="楷体" w:hint="eastAsia"/>
          <w:b w:val="0"/>
          <w:bCs w:val="0"/>
          <w:spacing w:val="-4"/>
          <w:sz w:val="32"/>
          <w:szCs w:val="32"/>
        </w:rPr>
        <w:tab/>
        <w:t>10</w:t>
      </w:r>
      <w:r>
        <w:rPr>
          <w:rStyle w:val="ad"/>
          <w:rFonts w:ascii="楷体" w:eastAsia="楷体" w:hAnsi="楷体" w:hint="eastAsia"/>
          <w:b w:val="0"/>
          <w:bCs w:val="0"/>
          <w:spacing w:val="-4"/>
          <w:sz w:val="32"/>
          <w:szCs w:val="32"/>
        </w:rPr>
        <w:tab/>
        <w:t>10</w:t>
      </w:r>
      <w:r>
        <w:rPr>
          <w:rStyle w:val="ad"/>
          <w:rFonts w:ascii="楷体" w:eastAsia="楷体" w:hAnsi="楷体" w:hint="eastAsia"/>
          <w:b w:val="0"/>
          <w:bCs w:val="0"/>
          <w:spacing w:val="-4"/>
          <w:sz w:val="32"/>
          <w:szCs w:val="32"/>
        </w:rPr>
        <w:tab/>
        <w:t>100%</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ab/>
        <w:t>产出质量</w:t>
      </w:r>
      <w:r>
        <w:rPr>
          <w:rStyle w:val="ad"/>
          <w:rFonts w:ascii="楷体" w:eastAsia="楷体" w:hAnsi="楷体" w:hint="eastAsia"/>
          <w:b w:val="0"/>
          <w:bCs w:val="0"/>
          <w:spacing w:val="-4"/>
          <w:sz w:val="32"/>
          <w:szCs w:val="32"/>
        </w:rPr>
        <w:tab/>
        <w:t>资金使用合规率</w:t>
      </w:r>
      <w:r>
        <w:rPr>
          <w:rStyle w:val="ad"/>
          <w:rFonts w:ascii="楷体" w:eastAsia="楷体" w:hAnsi="楷体" w:hint="eastAsia"/>
          <w:b w:val="0"/>
          <w:bCs w:val="0"/>
          <w:spacing w:val="-4"/>
          <w:sz w:val="32"/>
          <w:szCs w:val="32"/>
        </w:rPr>
        <w:tab/>
        <w:t>10</w:t>
      </w:r>
      <w:r>
        <w:rPr>
          <w:rStyle w:val="ad"/>
          <w:rFonts w:ascii="楷体" w:eastAsia="楷体" w:hAnsi="楷体" w:hint="eastAsia"/>
          <w:b w:val="0"/>
          <w:bCs w:val="0"/>
          <w:spacing w:val="-4"/>
          <w:sz w:val="32"/>
          <w:szCs w:val="32"/>
        </w:rPr>
        <w:tab/>
        <w:t>10</w:t>
      </w:r>
      <w:r>
        <w:rPr>
          <w:rStyle w:val="ad"/>
          <w:rFonts w:ascii="楷体" w:eastAsia="楷体" w:hAnsi="楷体" w:hint="eastAsia"/>
          <w:b w:val="0"/>
          <w:bCs w:val="0"/>
          <w:spacing w:val="-4"/>
          <w:sz w:val="32"/>
          <w:szCs w:val="32"/>
        </w:rPr>
        <w:tab/>
        <w:t>100%</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tab/>
        <w:t>产出时效</w:t>
      </w:r>
      <w:r>
        <w:rPr>
          <w:rStyle w:val="ad"/>
          <w:rFonts w:ascii="楷体" w:eastAsia="楷体" w:hAnsi="楷体" w:hint="eastAsia"/>
          <w:b w:val="0"/>
          <w:bCs w:val="0"/>
          <w:spacing w:val="-4"/>
          <w:sz w:val="32"/>
          <w:szCs w:val="32"/>
        </w:rPr>
        <w:tab/>
        <w:t>资金支付及时率</w:t>
      </w:r>
      <w:r>
        <w:rPr>
          <w:rStyle w:val="ad"/>
          <w:rFonts w:ascii="楷体" w:eastAsia="楷体" w:hAnsi="楷体" w:hint="eastAsia"/>
          <w:b w:val="0"/>
          <w:bCs w:val="0"/>
          <w:spacing w:val="-4"/>
          <w:sz w:val="32"/>
          <w:szCs w:val="32"/>
        </w:rPr>
        <w:tab/>
        <w:t>10</w:t>
      </w:r>
      <w:r>
        <w:rPr>
          <w:rStyle w:val="ad"/>
          <w:rFonts w:ascii="楷体" w:eastAsia="楷体" w:hAnsi="楷体" w:hint="eastAsia"/>
          <w:b w:val="0"/>
          <w:bCs w:val="0"/>
          <w:spacing w:val="-4"/>
          <w:sz w:val="32"/>
          <w:szCs w:val="32"/>
        </w:rPr>
        <w:tab/>
        <w:t>9</w:t>
      </w:r>
      <w:r>
        <w:rPr>
          <w:rStyle w:val="ad"/>
          <w:rFonts w:ascii="楷体" w:eastAsia="楷体" w:hAnsi="楷体" w:hint="eastAsia"/>
          <w:b w:val="0"/>
          <w:bCs w:val="0"/>
          <w:spacing w:val="-4"/>
          <w:sz w:val="32"/>
          <w:szCs w:val="32"/>
        </w:rPr>
        <w:tab/>
        <w:t>90%</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tab/>
        <w:t>产出成本</w:t>
      </w:r>
      <w:r>
        <w:rPr>
          <w:rStyle w:val="ad"/>
          <w:rFonts w:ascii="楷体" w:eastAsia="楷体" w:hAnsi="楷体" w:hint="eastAsia"/>
          <w:b w:val="0"/>
          <w:bCs w:val="0"/>
          <w:spacing w:val="-4"/>
          <w:sz w:val="32"/>
          <w:szCs w:val="32"/>
        </w:rPr>
        <w:tab/>
      </w:r>
      <w:r>
        <w:rPr>
          <w:rStyle w:val="ad"/>
          <w:rFonts w:ascii="楷体" w:eastAsia="楷体" w:hAnsi="楷体" w:hint="eastAsia"/>
          <w:b w:val="0"/>
          <w:bCs w:val="0"/>
          <w:spacing w:val="-4"/>
          <w:sz w:val="32"/>
          <w:szCs w:val="32"/>
        </w:rPr>
        <w:tab/>
        <w:t>餐饮标准</w:t>
      </w:r>
      <w:r>
        <w:rPr>
          <w:rStyle w:val="ad"/>
          <w:rFonts w:ascii="楷体" w:eastAsia="楷体" w:hAnsi="楷体" w:hint="eastAsia"/>
          <w:b w:val="0"/>
          <w:bCs w:val="0"/>
          <w:spacing w:val="-4"/>
          <w:sz w:val="32"/>
          <w:szCs w:val="32"/>
        </w:rPr>
        <w:tab/>
      </w:r>
      <w:r>
        <w:rPr>
          <w:rStyle w:val="ad"/>
          <w:rFonts w:ascii="楷体" w:eastAsia="楷体" w:hAnsi="楷体" w:hint="eastAsia"/>
          <w:b w:val="0"/>
          <w:bCs w:val="0"/>
          <w:spacing w:val="-4"/>
          <w:sz w:val="32"/>
          <w:szCs w:val="32"/>
        </w:rPr>
        <w:tab/>
        <w:t>10</w:t>
      </w:r>
      <w:r>
        <w:rPr>
          <w:rStyle w:val="ad"/>
          <w:rFonts w:ascii="楷体" w:eastAsia="楷体" w:hAnsi="楷体" w:hint="eastAsia"/>
          <w:b w:val="0"/>
          <w:bCs w:val="0"/>
          <w:spacing w:val="-4"/>
          <w:sz w:val="32"/>
          <w:szCs w:val="32"/>
        </w:rPr>
        <w:tab/>
        <w:t>10</w:t>
      </w:r>
      <w:r>
        <w:rPr>
          <w:rStyle w:val="ad"/>
          <w:rFonts w:ascii="楷体" w:eastAsia="楷体" w:hAnsi="楷体" w:hint="eastAsia"/>
          <w:b w:val="0"/>
          <w:bCs w:val="0"/>
          <w:spacing w:val="-4"/>
          <w:sz w:val="32"/>
          <w:szCs w:val="32"/>
        </w:rPr>
        <w:tab/>
        <w:t>100%</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效益</w:t>
      </w:r>
      <w:r>
        <w:rPr>
          <w:rStyle w:val="ad"/>
          <w:rFonts w:ascii="楷体" w:eastAsia="楷体" w:hAnsi="楷体" w:hint="eastAsia"/>
          <w:b w:val="0"/>
          <w:bCs w:val="0"/>
          <w:spacing w:val="-4"/>
          <w:sz w:val="32"/>
          <w:szCs w:val="32"/>
        </w:rPr>
        <w:tab/>
        <w:t>项目效益</w:t>
      </w:r>
      <w:r>
        <w:rPr>
          <w:rStyle w:val="ad"/>
          <w:rFonts w:ascii="楷体" w:eastAsia="楷体" w:hAnsi="楷体" w:hint="eastAsia"/>
          <w:b w:val="0"/>
          <w:bCs w:val="0"/>
          <w:spacing w:val="-4"/>
          <w:sz w:val="32"/>
          <w:szCs w:val="32"/>
        </w:rPr>
        <w:tab/>
        <w:t>防止新冠疫情在我区传播，保障人民生产生活</w:t>
      </w:r>
      <w:r>
        <w:rPr>
          <w:rStyle w:val="ad"/>
          <w:rFonts w:ascii="楷体" w:eastAsia="楷体" w:hAnsi="楷体" w:hint="eastAsia"/>
          <w:b w:val="0"/>
          <w:bCs w:val="0"/>
          <w:spacing w:val="-4"/>
          <w:sz w:val="32"/>
          <w:szCs w:val="32"/>
        </w:rPr>
        <w:tab/>
        <w:t>10</w:t>
      </w:r>
      <w:r>
        <w:rPr>
          <w:rStyle w:val="ad"/>
          <w:rFonts w:ascii="楷体" w:eastAsia="楷体" w:hAnsi="楷体" w:hint="eastAsia"/>
          <w:b w:val="0"/>
          <w:bCs w:val="0"/>
          <w:spacing w:val="-4"/>
          <w:sz w:val="32"/>
          <w:szCs w:val="32"/>
        </w:rPr>
        <w:tab/>
        <w:t>10</w:t>
      </w:r>
      <w:r>
        <w:rPr>
          <w:rStyle w:val="ad"/>
          <w:rFonts w:ascii="楷体" w:eastAsia="楷体" w:hAnsi="楷体" w:hint="eastAsia"/>
          <w:b w:val="0"/>
          <w:bCs w:val="0"/>
          <w:spacing w:val="-4"/>
          <w:sz w:val="32"/>
          <w:szCs w:val="32"/>
        </w:rPr>
        <w:tab/>
        <w:t>100%</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（二）主要绩效</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该项目资金由米东区财政及时拨付，单位在此次评价期间内，有序完成了设定目标的部分工作任务，及时支付疫情防控物资储备、运行及疫情防控隔离人员餐费资金，为米东区打好疫情攻坚战提供重要保障。</w:t>
      </w:r>
      <w:r w:rsidR="001535F4">
        <w:rPr>
          <w:rStyle w:val="ad"/>
          <w:rFonts w:ascii="楷体" w:eastAsia="楷体" w:hAnsi="楷体" w:hint="eastAsia"/>
          <w:b w:val="0"/>
          <w:bCs w:val="0"/>
          <w:spacing w:val="-4"/>
          <w:sz w:val="32"/>
          <w:szCs w:val="32"/>
        </w:rPr>
        <w:t>截至</w:t>
      </w:r>
      <w:r>
        <w:rPr>
          <w:rStyle w:val="ad"/>
          <w:rFonts w:ascii="楷体" w:eastAsia="楷体" w:hAnsi="楷体" w:hint="eastAsia"/>
          <w:b w:val="0"/>
          <w:bCs w:val="0"/>
          <w:spacing w:val="-4"/>
          <w:sz w:val="32"/>
          <w:szCs w:val="32"/>
        </w:rPr>
        <w:t>2023年12月底全部支付完成5843.47万元。其中：①支付疫情防控物资储备及疫情运行欠款资金3555.43万元；②支付疫情防控隔离点餐费欠款资金的支付2288.04万元。项目的实施有效解决了疫情防控的关键物资，为我区疫情防控做出了重大贡献。</w:t>
      </w:r>
    </w:p>
    <w:p w14:paraId="117E4C59" w14:textId="77777777" w:rsidR="0087346A" w:rsidRDefault="00000000">
      <w:pPr>
        <w:spacing w:line="540" w:lineRule="exact"/>
        <w:ind w:firstLine="640"/>
        <w:rPr>
          <w:rStyle w:val="ad"/>
          <w:rFonts w:ascii="黑体" w:eastAsia="黑体" w:hAnsi="黑体" w:hint="eastAsia"/>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3543BAB7" w14:textId="77777777" w:rsidR="0087346A" w:rsidRDefault="00000000">
      <w:pPr>
        <w:spacing w:line="540" w:lineRule="exact"/>
        <w:ind w:firstLineChars="181" w:firstLine="567"/>
        <w:rPr>
          <w:rFonts w:ascii="楷体" w:eastAsia="楷体" w:hAnsi="楷体" w:hint="eastAsia"/>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25EC3CB" w14:textId="77777777" w:rsidR="0087346A" w:rsidRDefault="00000000">
      <w:pPr>
        <w:tabs>
          <w:tab w:val="center" w:pos="4295"/>
        </w:tabs>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（一）项目决策情况</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项目决策指标由3个二级指标和6个三级指标构成，权重为20分，实际得分17分。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lastRenderedPageBreak/>
        <w:br/>
        <w:t>1. 项目立项</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立项依据充分性：项目立项符合《关于解决隔离点位、方舱等供餐企业部分餐费的报告》（米东区市场监督管理局）及《关于支付新冠疫情防控物资采购款的请示》（米东区应急管理局）文件要求。同时，项目与我单位财务制度相符，属于部门履职所需。此外，本项目属于公共财政支持范围，符合中央、地方事权支出责任划分原则，没有与相关部门同类项目或部门内部相关项目重复。因此，立项依据充分，得4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立项程序规范性：该疫情防控资金项目所需通过我局以项目《关于解决隔离点位、方舱等供餐企业部分餐费的报告》（米东区市场监督管理局）及《关于支付新冠疫情防控物资采购款的请示》（米东区应急管理局）文件，按照规定的程序申请设立，审批文件、材料符合相关要求，故立项程序规范，得4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综上，该指标满分8分，得分7分。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2. 绩效目标</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绩效目标合理性：本项目的绩效目标按照产出、效益和满意度构建绩效评价指标，且具有明确性、可衡量性、可实现性、相关性和时限性等特点，能较为全面地反映本项目的产出和效益，故绩效目标合理性指标得分3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lastRenderedPageBreak/>
        <w:br/>
        <w:t>绩效目标明确性：其中，目标已细化为具体的绩效指标定点宾馆数量、隔离房间、资金使用合规率、资金支付及时率、餐饮标准、防止新冠疫情在我区传播有效保障，有效保障人民生产生活。支付单据，国库集中支付凭证及供货商等方式，故绩效目标明确性指标得分3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综上，该指标满分6分，得分6分。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3. 资金投入</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预算编制科学性：物资类支出预算编制由疫情防控单位根据疫情防控工作需要，提出疫情防控物资采购清单，由应急管理局通过政府采购平台统一采购。费用类支出由疫情防控单位根据统一的费用标准及隔离人员数量，计算疫情防控费用，由于疫情防控工作突发性强，无法完全做到事前预算，故预算编制科学性指标得分2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资金分配合理性：根据《关于解决隔离点位、方舱等供餐企业部分餐费的报告》（米东区市场监督管理局）及《关于支付新冠疫情防控物资采购款的请示》（米东区应急管理局）的文件，资金分配依据为米东区疫情防控指挥部统一安排，在各项支出之间分配，由于资金缺口巨大，在分配中无法做到面面俱到，故资金分配合理性指标得分2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综上，该指标满分6分，得分4分。</w:t>
      </w:r>
      <w:r>
        <w:rPr>
          <w:rStyle w:val="ad"/>
          <w:rFonts w:ascii="楷体" w:eastAsia="楷体" w:hAnsi="楷体" w:hint="eastAsia"/>
          <w:b w:val="0"/>
          <w:bCs w:val="0"/>
          <w:spacing w:val="-4"/>
          <w:sz w:val="32"/>
          <w:szCs w:val="32"/>
        </w:rPr>
        <w:tab/>
      </w:r>
    </w:p>
    <w:p w14:paraId="0889F6E6" w14:textId="77777777" w:rsidR="0087346A" w:rsidRDefault="00000000">
      <w:pPr>
        <w:spacing w:line="540" w:lineRule="exact"/>
        <w:ind w:firstLineChars="181" w:firstLine="567"/>
        <w:rPr>
          <w:rStyle w:val="ad"/>
          <w:rFonts w:ascii="楷体" w:eastAsia="楷体" w:hAnsi="楷体" w:hint="eastAsia"/>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FD19938" w14:textId="77777777" w:rsidR="0087346A"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（二）项目过程情况</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项目过程指标由2个二级指标和5个三级指标构成，权重为20分，实际得分17分。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1. 资金管理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资金到位率：该项目资金严格按照《关于解决隔离点位、方舱等供餐企业部分餐费的报告》（米东区市场监督管理局）及《关于支付新冠疫情防控物资采购款的请示》（米东区应急管理局）文件，项目资金预算数5843.47万元，实际到位5843.47万元，全部由财政陆续拨付，在2023年12月底资金全部到位，资金直接支付到各供应商等，资金支付滞后，资金到位率100%，故资金到位率指标得分4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预算执行率：严格按照《关于解决隔离点位、方舱等供餐企业部分餐费的报告》（米东区市场监督管理局）及《关于支付新冠疫情防控物资采购款的请示》（米东区应急管理局）文件，根据预算安排支付各项疫情防控物资、隔离点餐费资金，在收到财政预算拨款后，根据疫情指挥部指示，及时向各单位支付款项。</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故预算执行率得分为5分。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资金使用合规性：本项目资金的使用符合《关于解决隔离点位、方舱等供餐企业部分餐费的报告》（米东区市场监督管理局）及《关于支付新冠疫情防控物资采购款的请示》（米东区应急管理局）文件的规定。严格按照财政资金管理制度对项目资金使用进行管理，专款专用，需附“三重一大”会议纪要，资金使用严格按照项目申报计划执行。同时，资金的拨付有完整审批程序，符合项目预算批复或合同规定的用途，不存在截留、挤占、挪用、虚列支出等情况。故资金使用合规性得分为3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综上，该指标满分13分，得分12分。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2. 组织实施</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管理制度健全性：米东区应急管理局已制定相应的财务管理制度，且制度合法、合规、完整，为项目顺利实施提供重要保障，但对于突发性事件专项采购制度不完善。故管理制度健全性得分为2分。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制度执行有效性：根据评价小组核查情况，米东区应急管理局严格遵守财务管理制度，项目调整及支出调整手续完备，整体管理合理有序，项目完成后，及时将付款收据、国库集中支付单据及米东区财政局关于拨付疫情防控资金批复文件做帐，但在物资管理方面存在滞后性，故制度执行有效性指标得分2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综上，该指标满分7分，得分5分。</w:t>
      </w:r>
    </w:p>
    <w:p w14:paraId="16EFC4A4" w14:textId="77777777" w:rsidR="0087346A" w:rsidRDefault="00000000">
      <w:pPr>
        <w:spacing w:line="540" w:lineRule="exact"/>
        <w:ind w:firstLineChars="181" w:firstLine="567"/>
        <w:rPr>
          <w:rFonts w:ascii="楷体" w:eastAsia="楷体" w:hAnsi="楷体" w:hint="eastAsia"/>
          <w:b/>
          <w:spacing w:val="-4"/>
          <w:sz w:val="32"/>
          <w:szCs w:val="32"/>
        </w:rPr>
      </w:pPr>
      <w:r>
        <w:rPr>
          <w:rFonts w:ascii="楷体" w:eastAsia="楷体" w:hAnsi="楷体" w:hint="eastAsia"/>
          <w:b/>
          <w:spacing w:val="-4"/>
          <w:sz w:val="32"/>
          <w:szCs w:val="32"/>
        </w:rPr>
        <w:lastRenderedPageBreak/>
        <w:t>（三）</w:t>
      </w:r>
      <w:r>
        <w:rPr>
          <w:rStyle w:val="ad"/>
          <w:rFonts w:ascii="楷体" w:eastAsia="楷体" w:hAnsi="楷体" w:hint="eastAsia"/>
          <w:spacing w:val="-4"/>
          <w:sz w:val="32"/>
          <w:szCs w:val="32"/>
        </w:rPr>
        <w:t>项目产出情况</w:t>
      </w:r>
    </w:p>
    <w:p w14:paraId="075780DD" w14:textId="77777777" w:rsidR="0087346A"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（三）项目产出情况</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项目产出指标由4个二级指标和6个三级指标构成，权重为50分，实际得分49分。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1. 产出数量</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数量指标“定点宾馆数量”的目标值是58个，2023年度我单位实际完成58个。</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数量指标“隔离房间”的目标值是2700间，2023年度我单位完成2700间。</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实际完成率：100%，故实际完成率得分为10分。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2. 产出质量</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资金使用合规率：严格按照《关于解决隔离点位、方舱等供餐企业部分餐费的报告》（米东区市场监督管理局）及《关于支付新冠疫情防控物资采购款的请示》（米东区应急管理局）文件支付该项目资金，资金的拨付有完整的审批程序和手续，符合项目预算批复或合同规定的用途，不存在截留、挤占、挪用、虚列支出等情况。符合资金使用合规率，故质量达标率得分为10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3. 产出时效</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完成及时性：</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资金支付及时率，预期目标为12个月，实际完成值为12个月，本项目周期为一年，项目资金已经于2023年底完成，全部支付给供货商，故完成及时性得分为9分。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4. 产出成本</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“餐饮标准”的目标值是50元/人，2022年度我单位在进行疫情防控工作时严格遵守50元/人的餐饮标准，项目资金全部完成，故项目预算控制率得分为10分。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综上，该部分指标满分40分，得分39分。</w:t>
      </w:r>
    </w:p>
    <w:p w14:paraId="42F75FBC" w14:textId="77777777" w:rsidR="0087346A" w:rsidRDefault="00000000">
      <w:pPr>
        <w:spacing w:line="540" w:lineRule="exact"/>
        <w:ind w:firstLineChars="181" w:firstLine="567"/>
        <w:rPr>
          <w:rFonts w:ascii="楷体" w:eastAsia="楷体" w:hAnsi="楷体" w:hint="eastAsia"/>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27208F65" w14:textId="77777777" w:rsidR="0087346A"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（四）项目效益情况</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项目效益指标由1个二级指标和1个三级指标构成，权重为10分，实际得分10分。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1. 项目效益</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（1）实施效益</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经济效益指标：不适用。</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社会效益指标：评价指标“有效防止新冠疫情在我区传播，保障人民生产生活”，指标值：&lt;1例，实际完成值：达成年度指标。</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生态效益指标：不适用。</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综上，该指标满分10分，得分10分。</w:t>
      </w:r>
    </w:p>
    <w:p w14:paraId="2729DAA1" w14:textId="77777777" w:rsidR="0087346A"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不适用</w:t>
      </w:r>
    </w:p>
    <w:p w14:paraId="0BB50A2A" w14:textId="77777777" w:rsidR="0087346A" w:rsidRDefault="0087346A">
      <w:pPr>
        <w:spacing w:line="540" w:lineRule="exact"/>
        <w:ind w:firstLine="567"/>
        <w:rPr>
          <w:rStyle w:val="ad"/>
          <w:rFonts w:ascii="楷体" w:eastAsia="楷体" w:hAnsi="楷体" w:hint="eastAsia"/>
          <w:spacing w:val="-4"/>
          <w:sz w:val="32"/>
          <w:szCs w:val="32"/>
        </w:rPr>
      </w:pPr>
    </w:p>
    <w:p w14:paraId="3B539F29" w14:textId="77777777" w:rsidR="0087346A"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五、主要经验及做法、存在的问题及原因分析</w:t>
      </w:r>
    </w:p>
    <w:p w14:paraId="120DC0B0" w14:textId="77777777" w:rsidR="0087346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局领导高度重视，所有经费实行集中统一管理，做到有计划开支。在资金使用管理上严格遵守财务公开制度，落实资金使用流向，专款专用，严格按照要求管理和使用资金，为疫情防控工作提供了坚强有力的资金保障。</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1.在疫情指挥部统一指挥下，经过各单位努力，完成项目目标；</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2、厉行节约，严格把关，努力降低成本</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3、各部门相互支持，共同完成疫情防控工作。</w:t>
      </w:r>
    </w:p>
    <w:p w14:paraId="34A5DCC8" w14:textId="77777777" w:rsidR="0087346A"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六、有关建议</w:t>
      </w:r>
    </w:p>
    <w:p w14:paraId="5A13AB03" w14:textId="77777777" w:rsidR="0087346A"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b w:val="0"/>
          <w:bCs w:val="0"/>
          <w:spacing w:val="-4"/>
          <w:sz w:val="32"/>
          <w:szCs w:val="32"/>
        </w:rPr>
        <w:t>（一）提高预算編制准确性，规范资使用情况；</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（二）建立信息共享机制，加强与相关部门的互通；</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lastRenderedPageBreak/>
        <w:br/>
        <w:t>（三）加强相关人员的业务知识培训，进一步提高部门整体绩效目标设定的合理性。</w:t>
      </w:r>
    </w:p>
    <w:p w14:paraId="3F94816F" w14:textId="77777777" w:rsidR="0087346A"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七、其他需要说明的问题</w:t>
      </w:r>
    </w:p>
    <w:p w14:paraId="3F365604" w14:textId="77777777" w:rsidR="0087346A"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（一）项目支出政策和路径设计科学，符合实际需要；</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（二）项目安排准确，未发现背离项目立项初衷的情况；</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（三）项目的申报、审核机制完善；</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（四）未发现虚假行为和骗取财政资金的问题。</w:t>
      </w:r>
    </w:p>
    <w:p w14:paraId="228EB75D" w14:textId="77777777" w:rsidR="0087346A" w:rsidRDefault="0087346A">
      <w:pPr>
        <w:spacing w:line="540" w:lineRule="exact"/>
        <w:ind w:firstLine="567"/>
        <w:rPr>
          <w:rStyle w:val="ad"/>
          <w:rFonts w:ascii="仿宋" w:eastAsia="仿宋" w:hAnsi="仿宋" w:hint="eastAsia"/>
          <w:b w:val="0"/>
          <w:spacing w:val="-4"/>
          <w:sz w:val="32"/>
          <w:szCs w:val="32"/>
        </w:rPr>
      </w:pPr>
    </w:p>
    <w:p w14:paraId="581D3171" w14:textId="77777777" w:rsidR="0087346A" w:rsidRDefault="0087346A">
      <w:pPr>
        <w:spacing w:line="540" w:lineRule="exact"/>
        <w:ind w:firstLine="567"/>
        <w:rPr>
          <w:rStyle w:val="ad"/>
          <w:rFonts w:ascii="仿宋" w:eastAsia="仿宋" w:hAnsi="仿宋" w:hint="eastAsia"/>
          <w:b w:val="0"/>
          <w:spacing w:val="-4"/>
          <w:sz w:val="32"/>
          <w:szCs w:val="32"/>
        </w:rPr>
      </w:pPr>
    </w:p>
    <w:p w14:paraId="72FEA0E7" w14:textId="77777777" w:rsidR="0087346A" w:rsidRDefault="0087346A">
      <w:pPr>
        <w:spacing w:line="540" w:lineRule="exact"/>
        <w:ind w:firstLine="567"/>
        <w:rPr>
          <w:rStyle w:val="ad"/>
          <w:rFonts w:ascii="仿宋" w:eastAsia="仿宋" w:hAnsi="仿宋" w:hint="eastAsia"/>
          <w:b w:val="0"/>
          <w:spacing w:val="-4"/>
          <w:sz w:val="32"/>
          <w:szCs w:val="32"/>
        </w:rPr>
      </w:pPr>
    </w:p>
    <w:p w14:paraId="2D6FAA7E" w14:textId="77777777" w:rsidR="0087346A" w:rsidRDefault="0087346A">
      <w:pPr>
        <w:spacing w:line="540" w:lineRule="exact"/>
        <w:ind w:firstLine="567"/>
        <w:rPr>
          <w:rStyle w:val="ad"/>
          <w:rFonts w:ascii="仿宋" w:eastAsia="仿宋" w:hAnsi="仿宋" w:hint="eastAsia"/>
          <w:b w:val="0"/>
          <w:spacing w:val="-4"/>
          <w:sz w:val="32"/>
          <w:szCs w:val="32"/>
        </w:rPr>
      </w:pPr>
    </w:p>
    <w:p w14:paraId="2FEC5EE5" w14:textId="77777777" w:rsidR="0087346A" w:rsidRDefault="0087346A">
      <w:pPr>
        <w:spacing w:line="540" w:lineRule="exact"/>
        <w:ind w:firstLine="567"/>
        <w:rPr>
          <w:rStyle w:val="ad"/>
          <w:rFonts w:ascii="仿宋" w:eastAsia="仿宋" w:hAnsi="仿宋" w:hint="eastAsia"/>
          <w:b w:val="0"/>
          <w:spacing w:val="-4"/>
          <w:sz w:val="32"/>
          <w:szCs w:val="32"/>
        </w:rPr>
      </w:pPr>
    </w:p>
    <w:sectPr w:rsidR="0087346A">
      <w:footerReference w:type="default" r:id="rId6"/>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1FC02" w14:textId="77777777" w:rsidR="007D14C2" w:rsidRDefault="007D14C2">
      <w:r>
        <w:separator/>
      </w:r>
    </w:p>
  </w:endnote>
  <w:endnote w:type="continuationSeparator" w:id="0">
    <w:p w14:paraId="16603EA1" w14:textId="77777777" w:rsidR="007D14C2" w:rsidRDefault="007D1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2003363"/>
    </w:sdtPr>
    <w:sdtContent>
      <w:p w14:paraId="4AB77FDA" w14:textId="77777777" w:rsidR="0087346A" w:rsidRDefault="00000000">
        <w:pPr>
          <w:pStyle w:val="a5"/>
          <w:jc w:val="center"/>
        </w:pPr>
        <w:r>
          <w:fldChar w:fldCharType="begin"/>
        </w:r>
        <w:r>
          <w:instrText>PAGE   \* MERGEFORMAT</w:instrText>
        </w:r>
        <w:r>
          <w:fldChar w:fldCharType="separate"/>
        </w:r>
        <w:r>
          <w:rPr>
            <w:lang w:val="zh-CN"/>
          </w:rPr>
          <w:t>1</w:t>
        </w:r>
        <w:r>
          <w:fldChar w:fldCharType="end"/>
        </w:r>
      </w:p>
    </w:sdtContent>
  </w:sdt>
  <w:p w14:paraId="7CB0B358" w14:textId="77777777" w:rsidR="0087346A" w:rsidRDefault="0087346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E73D0" w14:textId="77777777" w:rsidR="007D14C2" w:rsidRDefault="007D14C2">
      <w:r>
        <w:separator/>
      </w:r>
    </w:p>
  </w:footnote>
  <w:footnote w:type="continuationSeparator" w:id="0">
    <w:p w14:paraId="59B42819" w14:textId="77777777" w:rsidR="007D14C2" w:rsidRDefault="007D14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U4ODU0MDBiNzZmZDg2NTI2ZGFkZDMzODZkZTU1NjYifQ=="/>
  </w:docVars>
  <w:rsids>
    <w:rsidRoot w:val="00CA6457"/>
    <w:rsid w:val="000048AA"/>
    <w:rsid w:val="00056465"/>
    <w:rsid w:val="000B0B98"/>
    <w:rsid w:val="00102DFF"/>
    <w:rsid w:val="00121AE4"/>
    <w:rsid w:val="00146AAD"/>
    <w:rsid w:val="001535F4"/>
    <w:rsid w:val="001B3A40"/>
    <w:rsid w:val="00291BC0"/>
    <w:rsid w:val="00311DBE"/>
    <w:rsid w:val="003A1721"/>
    <w:rsid w:val="004366A8"/>
    <w:rsid w:val="00491B24"/>
    <w:rsid w:val="00502BA7"/>
    <w:rsid w:val="005162F1"/>
    <w:rsid w:val="00535153"/>
    <w:rsid w:val="00554F82"/>
    <w:rsid w:val="0056390D"/>
    <w:rsid w:val="005719B0"/>
    <w:rsid w:val="005D10D6"/>
    <w:rsid w:val="007D14C2"/>
    <w:rsid w:val="007E3CE9"/>
    <w:rsid w:val="0083370B"/>
    <w:rsid w:val="00855E3A"/>
    <w:rsid w:val="0087346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A5C9A"/>
    <w:rsid w:val="00FB10BB"/>
    <w:rsid w:val="07261865"/>
    <w:rsid w:val="0856517C"/>
    <w:rsid w:val="0BFB189F"/>
    <w:rsid w:val="11BD75F7"/>
    <w:rsid w:val="13BE561A"/>
    <w:rsid w:val="15392994"/>
    <w:rsid w:val="18FE139B"/>
    <w:rsid w:val="2A891760"/>
    <w:rsid w:val="3029612C"/>
    <w:rsid w:val="32A221C5"/>
    <w:rsid w:val="33F20F2A"/>
    <w:rsid w:val="34C44675"/>
    <w:rsid w:val="3B5B5607"/>
    <w:rsid w:val="3C231F3E"/>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25EFD0"/>
  <w15:docId w15:val="{9D6ADB1A-6C70-4185-B19A-DF456CEA7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autoRedefine/>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autoRedefine/>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autoRedefine/>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autoRedefine/>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autoRedefine/>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autoRedefine/>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autoRedefine/>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autoRedefine/>
    <w:uiPriority w:val="29"/>
    <w:qFormat/>
    <w:rPr>
      <w:i/>
      <w:sz w:val="24"/>
      <w:szCs w:val="24"/>
    </w:rPr>
  </w:style>
  <w:style w:type="paragraph" w:styleId="af3">
    <w:name w:val="Intense Quote"/>
    <w:basedOn w:val="a"/>
    <w:next w:val="a"/>
    <w:link w:val="af4"/>
    <w:autoRedefine/>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autoRedefine/>
    <w:uiPriority w:val="31"/>
    <w:qFormat/>
    <w:rPr>
      <w:sz w:val="24"/>
      <w:szCs w:val="24"/>
      <w:u w:val="single"/>
    </w:rPr>
  </w:style>
  <w:style w:type="character" w:customStyle="1" w:styleId="14">
    <w:name w:val="明显参考1"/>
    <w:basedOn w:val="a0"/>
    <w:autoRedefine/>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autoRedefine/>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autoRedefine/>
    <w:uiPriority w:val="99"/>
    <w:qFormat/>
    <w:rPr>
      <w:rFonts w:ascii="Calibri" w:eastAsia="宋体" w:hAnsi="Calibri"/>
      <w:kern w:val="2"/>
      <w:sz w:val="18"/>
      <w:szCs w:val="18"/>
    </w:rPr>
  </w:style>
  <w:style w:type="character" w:customStyle="1" w:styleId="a4">
    <w:name w:val="批注框文本 字符"/>
    <w:basedOn w:val="a0"/>
    <w:link w:val="a3"/>
    <w:autoRedefine/>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29</Pages>
  <Words>5314</Words>
  <Characters>5528</Characters>
  <Application>Microsoft Office Word</Application>
  <DocSecurity>0</DocSecurity>
  <Lines>394</Lines>
  <Paragraphs>40</Paragraphs>
  <ScaleCrop>false</ScaleCrop>
  <Company/>
  <LinksUpToDate>false</LinksUpToDate>
  <CharactersWithSpaces>10802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晓 程</cp:lastModifiedBy>
  <cp:revision>23</cp:revision>
  <cp:lastPrinted>2018-12-31T10:56:00Z</cp:lastPrinted>
  <dcterms:created xsi:type="dcterms:W3CDTF">2018-08-15T02:06:00Z</dcterms:created>
  <dcterms:modified xsi:type="dcterms:W3CDTF">2026-08-10T04:28:00Z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C734C92AAAF24344A0E4232D8EB3359B</vt:lpwstr>
  </property>
</Properties>
</file>