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附件2：</w:t>
      </w:r>
    </w:p>
    <w:p>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pPr>
        <w:spacing w:line="540" w:lineRule="exact"/>
        <w:jc w:val="center"/>
        <w:rPr>
          <w:rFonts w:ascii="方正小标宋_GBK" w:hAnsi="华文中宋" w:eastAsia="方正小标宋_GBK" w:cs="宋体"/>
          <w:b/>
          <w:color w:val="000000" w:themeColor="text1"/>
          <w:kern w:val="0"/>
          <w:sz w:val="48"/>
          <w:szCs w:val="48"/>
          <w14:textFill>
            <w14:solidFill>
              <w14:schemeClr w14:val="tx1"/>
            </w14:solidFill>
          </w14:textFill>
        </w:rPr>
      </w:pPr>
      <w:r>
        <w:rPr>
          <w:rFonts w:hint="eastAsia" w:ascii="方正小标宋_GBK" w:hAnsi="华文中宋" w:eastAsia="方正小标宋_GBK" w:cs="宋体"/>
          <w:b/>
          <w:color w:val="000000" w:themeColor="text1"/>
          <w:kern w:val="0"/>
          <w:sz w:val="48"/>
          <w:szCs w:val="48"/>
          <w14:textFill>
            <w14:solidFill>
              <w14:schemeClr w14:val="tx1"/>
            </w14:solidFill>
          </w14:textFill>
        </w:rPr>
        <w:t>项目支出绩效自评报告</w:t>
      </w:r>
    </w:p>
    <w:p>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pPr>
        <w:spacing w:line="540" w:lineRule="exact"/>
        <w:jc w:val="center"/>
        <w:rPr>
          <w:rFonts w:hAnsi="宋体" w:eastAsia="仿宋_GB2312" w:cs="宋体"/>
          <w:color w:val="000000" w:themeColor="text1"/>
          <w:kern w:val="0"/>
          <w:sz w:val="36"/>
          <w:szCs w:val="36"/>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 xml:space="preserve">（   </w:t>
      </w:r>
      <w:r>
        <w:rPr>
          <w:rStyle w:val="18"/>
          <w:rFonts w:hint="eastAsia" w:ascii="楷体" w:hAnsi="楷体" w:eastAsia="楷体"/>
          <w:color w:val="000000" w:themeColor="text1"/>
          <w:spacing w:val="-4"/>
          <w:sz w:val="32"/>
          <w:szCs w:val="32"/>
          <w14:textFill>
            <w14:solidFill>
              <w14:schemeClr w14:val="tx1"/>
            </w14:solidFill>
          </w14:textFill>
        </w:rPr>
        <w:t>2023</w:t>
      </w:r>
      <w:r>
        <w:rPr>
          <w:rFonts w:hint="eastAsia" w:hAnsi="宋体" w:eastAsia="仿宋_GB2312" w:cs="宋体"/>
          <w:color w:val="000000" w:themeColor="text1"/>
          <w:kern w:val="0"/>
          <w:sz w:val="36"/>
          <w:szCs w:val="36"/>
          <w14:textFill>
            <w14:solidFill>
              <w14:schemeClr w14:val="tx1"/>
            </w14:solidFill>
          </w14:textFill>
        </w:rPr>
        <w:t xml:space="preserve">  年度）</w:t>
      </w:r>
    </w:p>
    <w:p>
      <w:pPr>
        <w:spacing w:line="540" w:lineRule="exact"/>
        <w:jc w:val="center"/>
        <w:rPr>
          <w:rFonts w:hAnsi="宋体" w:eastAsia="仿宋_GB2312" w:cs="宋体"/>
          <w:color w:val="000000" w:themeColor="text1"/>
          <w:kern w:val="0"/>
          <w:sz w:val="30"/>
          <w:szCs w:val="30"/>
          <w14:textFill>
            <w14:solidFill>
              <w14:schemeClr w14:val="tx1"/>
            </w14:solidFill>
          </w14:textFill>
        </w:rPr>
      </w:pPr>
    </w:p>
    <w:p>
      <w:pPr>
        <w:spacing w:line="540" w:lineRule="exact"/>
        <w:jc w:val="center"/>
        <w:rPr>
          <w:rFonts w:hAnsi="宋体" w:eastAsia="仿宋_GB2312" w:cs="宋体"/>
          <w:color w:val="000000" w:themeColor="text1"/>
          <w:kern w:val="0"/>
          <w:sz w:val="30"/>
          <w:szCs w:val="30"/>
          <w14:textFill>
            <w14:solidFill>
              <w14:schemeClr w14:val="tx1"/>
            </w14:solidFill>
          </w14:textFill>
        </w:rPr>
      </w:pPr>
    </w:p>
    <w:p>
      <w:pPr>
        <w:spacing w:line="540" w:lineRule="exact"/>
        <w:jc w:val="center"/>
        <w:rPr>
          <w:rFonts w:hAnsi="宋体" w:eastAsia="仿宋_GB2312" w:cs="宋体"/>
          <w:color w:val="000000" w:themeColor="text1"/>
          <w:kern w:val="0"/>
          <w:sz w:val="30"/>
          <w:szCs w:val="30"/>
          <w14:textFill>
            <w14:solidFill>
              <w14:schemeClr w14:val="tx1"/>
            </w14:solidFill>
          </w14:textFill>
        </w:rPr>
      </w:pPr>
    </w:p>
    <w:p>
      <w:pPr>
        <w:spacing w:line="540" w:lineRule="exact"/>
        <w:jc w:val="center"/>
        <w:rPr>
          <w:rFonts w:hAnsi="宋体" w:eastAsia="仿宋_GB2312" w:cs="宋体"/>
          <w:color w:val="000000" w:themeColor="text1"/>
          <w:kern w:val="0"/>
          <w:sz w:val="30"/>
          <w:szCs w:val="30"/>
          <w14:textFill>
            <w14:solidFill>
              <w14:schemeClr w14:val="tx1"/>
            </w14:solidFill>
          </w14:textFill>
        </w:rPr>
      </w:pPr>
    </w:p>
    <w:p>
      <w:pPr>
        <w:spacing w:line="540" w:lineRule="exact"/>
        <w:jc w:val="center"/>
        <w:rPr>
          <w:rFonts w:hAnsi="宋体" w:eastAsia="仿宋_GB2312" w:cs="宋体"/>
          <w:color w:val="000000" w:themeColor="text1"/>
          <w:kern w:val="0"/>
          <w:sz w:val="30"/>
          <w:szCs w:val="30"/>
          <w14:textFill>
            <w14:solidFill>
              <w14:schemeClr w14:val="tx1"/>
            </w14:solidFill>
          </w14:textFill>
        </w:rPr>
      </w:pPr>
    </w:p>
    <w:p>
      <w:pPr>
        <w:spacing w:line="540" w:lineRule="exact"/>
        <w:jc w:val="center"/>
        <w:rPr>
          <w:rFonts w:hAnsi="宋体" w:eastAsia="仿宋_GB2312" w:cs="宋体"/>
          <w:color w:val="000000" w:themeColor="text1"/>
          <w:kern w:val="0"/>
          <w:sz w:val="30"/>
          <w:szCs w:val="30"/>
          <w14:textFill>
            <w14:solidFill>
              <w14:schemeClr w14:val="tx1"/>
            </w14:solidFill>
          </w14:textFill>
        </w:rPr>
      </w:pPr>
    </w:p>
    <w:p>
      <w:pPr>
        <w:spacing w:line="540" w:lineRule="exact"/>
        <w:rPr>
          <w:rFonts w:hAnsi="宋体" w:eastAsia="仿宋_GB2312" w:cs="宋体"/>
          <w:color w:val="000000" w:themeColor="text1"/>
          <w:kern w:val="0"/>
          <w:sz w:val="30"/>
          <w:szCs w:val="30"/>
          <w14:textFill>
            <w14:solidFill>
              <w14:schemeClr w14:val="tx1"/>
            </w14:solidFill>
          </w14:textFill>
        </w:rPr>
      </w:pPr>
    </w:p>
    <w:p>
      <w:pPr>
        <w:spacing w:line="700" w:lineRule="exact"/>
        <w:jc w:val="left"/>
        <w:rPr>
          <w:rFonts w:hAnsi="宋体" w:eastAsia="仿宋_GB2312" w:cs="宋体"/>
          <w:color w:val="000000" w:themeColor="text1"/>
          <w:kern w:val="0"/>
          <w:sz w:val="36"/>
          <w:szCs w:val="36"/>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 xml:space="preserve">     </w:t>
      </w:r>
    </w:p>
    <w:p>
      <w:pPr>
        <w:spacing w:line="700" w:lineRule="exact"/>
        <w:ind w:firstLine="900" w:firstLineChars="250"/>
        <w:jc w:val="left"/>
        <w:rPr>
          <w:rFonts w:hAnsi="宋体" w:eastAsia="仿宋_GB2312" w:cs="宋体"/>
          <w:color w:val="000000" w:themeColor="text1"/>
          <w:kern w:val="0"/>
          <w:sz w:val="36"/>
          <w:szCs w:val="36"/>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项目名称：</w:t>
      </w:r>
      <w:r>
        <w:rPr>
          <w:rStyle w:val="18"/>
          <w:rFonts w:hint="eastAsia" w:ascii="楷体" w:hAnsi="楷体" w:eastAsia="楷体"/>
          <w:color w:val="000000" w:themeColor="text1"/>
          <w:spacing w:val="-4"/>
          <w:sz w:val="32"/>
          <w:szCs w:val="32"/>
          <w14:textFill>
            <w14:solidFill>
              <w14:schemeClr w14:val="tx1"/>
            </w14:solidFill>
          </w14:textFill>
        </w:rPr>
        <w:t>乌财社【2022】397号关于提前下达2023年中央财政困难群众救助补助资金预算[直达资金]的通知</w:t>
      </w:r>
    </w:p>
    <w:p>
      <w:pPr>
        <w:spacing w:line="540" w:lineRule="exact"/>
        <w:ind w:firstLine="567"/>
        <w:rPr>
          <w:rFonts w:ascii="楷体" w:hAnsi="楷体" w:eastAsia="楷体"/>
          <w:b/>
          <w:bCs/>
          <w:color w:val="000000" w:themeColor="text1"/>
          <w:spacing w:val="-4"/>
          <w:sz w:val="32"/>
          <w:szCs w:val="32"/>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 xml:space="preserve">  实施单位（公章）：</w:t>
      </w:r>
      <w:r>
        <w:rPr>
          <w:rStyle w:val="18"/>
          <w:rFonts w:hint="eastAsia" w:ascii="楷体" w:hAnsi="楷体" w:eastAsia="楷体"/>
          <w:color w:val="000000" w:themeColor="text1"/>
          <w:spacing w:val="-4"/>
          <w:sz w:val="28"/>
          <w:szCs w:val="28"/>
          <w14:textFill>
            <w14:solidFill>
              <w14:schemeClr w14:val="tx1"/>
            </w14:solidFill>
          </w14:textFill>
        </w:rPr>
        <w:t>米东区民政局机关</w:t>
      </w:r>
    </w:p>
    <w:p>
      <w:pPr>
        <w:spacing w:line="540" w:lineRule="exact"/>
        <w:ind w:firstLine="900" w:firstLineChars="250"/>
        <w:rPr>
          <w:rFonts w:ascii="楷体" w:hAnsi="楷体" w:eastAsia="楷体"/>
          <w:b/>
          <w:bCs/>
          <w:color w:val="000000" w:themeColor="text1"/>
          <w:spacing w:val="-4"/>
          <w:sz w:val="28"/>
          <w:szCs w:val="28"/>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主管部门（公章）：</w:t>
      </w:r>
      <w:r>
        <w:rPr>
          <w:rStyle w:val="18"/>
          <w:rFonts w:hint="eastAsia" w:ascii="楷体" w:hAnsi="楷体" w:eastAsia="楷体"/>
          <w:color w:val="000000" w:themeColor="text1"/>
          <w:spacing w:val="-4"/>
          <w:sz w:val="28"/>
          <w:szCs w:val="28"/>
          <w14:textFill>
            <w14:solidFill>
              <w14:schemeClr w14:val="tx1"/>
            </w14:solidFill>
          </w14:textFill>
        </w:rPr>
        <w:t>米东区民政局机关</w:t>
      </w:r>
    </w:p>
    <w:p>
      <w:pPr>
        <w:spacing w:line="540" w:lineRule="exact"/>
        <w:ind w:firstLine="900" w:firstLineChars="250"/>
        <w:rPr>
          <w:rFonts w:ascii="楷体" w:hAnsi="楷体" w:eastAsia="楷体"/>
          <w:b/>
          <w:bCs/>
          <w:color w:val="000000" w:themeColor="text1"/>
          <w:spacing w:val="-4"/>
          <w:sz w:val="32"/>
          <w:szCs w:val="32"/>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项目负责人（签章）：</w:t>
      </w:r>
      <w:r>
        <w:rPr>
          <w:rStyle w:val="18"/>
          <w:rFonts w:hint="eastAsia" w:ascii="楷体" w:hAnsi="楷体" w:eastAsia="楷体"/>
          <w:color w:val="000000" w:themeColor="text1"/>
          <w:spacing w:val="-4"/>
          <w:sz w:val="32"/>
          <w:szCs w:val="32"/>
          <w14:textFill>
            <w14:solidFill>
              <w14:schemeClr w14:val="tx1"/>
            </w14:solidFill>
          </w14:textFill>
        </w:rPr>
        <w:t>任建全</w:t>
      </w:r>
    </w:p>
    <w:p>
      <w:pPr>
        <w:spacing w:line="540" w:lineRule="exact"/>
        <w:ind w:left="273" w:firstLine="567"/>
        <w:rPr>
          <w:rStyle w:val="18"/>
          <w:rFonts w:ascii="楷体" w:hAnsi="楷体" w:eastAsia="楷体"/>
          <w:color w:val="000000" w:themeColor="text1"/>
          <w:spacing w:val="-4"/>
          <w:sz w:val="32"/>
          <w:szCs w:val="32"/>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填报时间：</w:t>
      </w:r>
      <w:r>
        <w:rPr>
          <w:rStyle w:val="18"/>
          <w:rFonts w:hint="eastAsia" w:ascii="楷体" w:hAnsi="楷体" w:eastAsia="楷体"/>
          <w:color w:val="000000" w:themeColor="text1"/>
          <w:spacing w:val="-4"/>
          <w:sz w:val="32"/>
          <w:szCs w:val="32"/>
          <w14:textFill>
            <w14:solidFill>
              <w14:schemeClr w14:val="tx1"/>
            </w14:solidFill>
          </w14:textFill>
        </w:rPr>
        <w:t>2024年05月20日</w:t>
      </w:r>
    </w:p>
    <w:p>
      <w:pPr>
        <w:spacing w:line="700" w:lineRule="exact"/>
        <w:ind w:firstLine="708" w:firstLineChars="236"/>
        <w:jc w:val="left"/>
        <w:rPr>
          <w:rFonts w:hAnsi="宋体" w:eastAsia="仿宋_GB2312" w:cs="宋体"/>
          <w:color w:val="000000" w:themeColor="text1"/>
          <w:kern w:val="0"/>
          <w:sz w:val="30"/>
          <w:szCs w:val="30"/>
          <w14:textFill>
            <w14:solidFill>
              <w14:schemeClr w14:val="tx1"/>
            </w14:solidFill>
          </w14:textFill>
        </w:rPr>
      </w:pPr>
    </w:p>
    <w:p>
      <w:pPr>
        <w:spacing w:line="540" w:lineRule="exact"/>
        <w:rPr>
          <w:rStyle w:val="18"/>
          <w:rFonts w:ascii="黑体" w:hAnsi="黑体" w:eastAsia="黑体"/>
          <w:b w:val="0"/>
          <w:color w:val="000000" w:themeColor="text1"/>
          <w:spacing w:val="-4"/>
          <w:sz w:val="32"/>
          <w:szCs w:val="32"/>
          <w14:textFill>
            <w14:solidFill>
              <w14:schemeClr w14:val="tx1"/>
            </w14:solidFill>
          </w14:textFill>
        </w:rPr>
      </w:pPr>
    </w:p>
    <w:p>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一、基本情况</w:t>
      </w:r>
    </w:p>
    <w:p>
      <w:pPr>
        <w:spacing w:line="540" w:lineRule="exact"/>
        <w:ind w:firstLine="567"/>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color w:val="000000" w:themeColor="text1"/>
          <w:spacing w:val="-4"/>
          <w:sz w:val="32"/>
          <w:szCs w:val="32"/>
          <w14:textFill>
            <w14:solidFill>
              <w14:schemeClr w14:val="tx1"/>
            </w14:solidFill>
          </w14:textFill>
        </w:rPr>
        <w:t>（一）项目概况</w:t>
      </w:r>
    </w:p>
    <w:p>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1. 项目背景、主要内容及实施情况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该项目实施背景：根据《乌鲁木齐市民政局、乌鲁木齐市财政局关于提高困难群众基本生活救助保障标准的通知》（乌民发【2022】49号）文件精神，为贯彻落实各级惠民政策，切实保障乌鲁木齐城乡困难群众的基本生活，使城乡困难群众保障待遇与物价水平相适应。</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项目2023年的主要实施内容：①用于规范城乡低保政策实施，合理确定保障标准，使低保对象基本生活得到有效保障；②统筹城乡特困人员救助供养工作，合理确定保障标准；③规范实事临时救助政策，时限及时高效、救急解难；④为生活无着落流浪乞讨人员提供临时食宿、疾病救治、协助返回等救助，并妥善安置返乡受助人员；⑤对流浪未成年人提供特殊优先保护及教育等专业服务，确保其健康成长；⑥对农村留守儿童、困境儿童等存在流浪风险的未成年人以及流浪乞讨儿童开展家庭监护评估、监护支持、精神关爱等操作，为其提供临时照料、医疗救治、心理疏导、行为矫治、社会融入、家庭关系调试、法律援助等专业服务，从源头上防止未成年人外出流浪；⑦引导地方提高孤儿生活保障水平，孤儿生活保障政策规范高效实施，使孤儿、艾滋病病毒感染儿童和事实无人抚养儿生活基本得到保障；⑧积极走失、务工不着、家庭暴力受害者等离家在外的临时遇困人员提供救助。</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2023年当年完成情况：实际完成情况为①城乡最低生活保障工作，当年共发放低保金417.94万元；②城乡特困人员救助供养工作，当年共发放特困人员救助供养金212.90万元；③临时救助工作，当年共发放临时救助金1.85万元；④生活无着落流浪乞讨人员救助工作，当年共使用流浪乞讨人员救助金5万元；⑤因当年未发现流浪未成年人，故此项工作未使用经费；⑥此项工作已由社会福利科通过未保站开展，未单独列支经费；⑦儿童福利工作，当年共发放孤儿保障金6.92万元；⑧因当年为发现临时遇困人员，故此项工作未使用经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 资金投入和使用情况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（1）该项目资金投入情况：经关于提前下达2023年中央财政困难群众救助补助资金预算（直达资金）的通知（乌财社【2022】397号）号文件批准，项目系2023年中央资金，共安排预算647万元，全年无资金调整。</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该项目资金使用情况：①总预算情况：647万元；②资金投入包括城乡最低生活保障420万元，执行418.01万元，执行率99.53%；城乡特困人员救助供养213万元，执行212.83万元，执行率99.95%；临时救助2万元，执行1.85万元，执行率92.5%；流浪乞讨人员救助5万元，执行5万元，执行率100%；孤儿保障金7万元执行6.92万元，执行率98.86%；③预算执行率：99.63%。</w:t>
      </w:r>
    </w:p>
    <w:p>
      <w:pPr>
        <w:spacing w:line="540" w:lineRule="exact"/>
        <w:ind w:firstLine="567"/>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color w:val="000000" w:themeColor="text1"/>
          <w:spacing w:val="-4"/>
          <w:sz w:val="32"/>
          <w:szCs w:val="32"/>
          <w14:textFill>
            <w14:solidFill>
              <w14:schemeClr w14:val="tx1"/>
            </w14:solidFill>
          </w14:textFill>
        </w:rPr>
        <w:t>（二）项目绩效目标</w:t>
      </w:r>
    </w:p>
    <w:p>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（二）项目绩效目标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本项目依据《中共中央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该项目为经常性项目。</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该项目总体绩效目标：向乌鲁木齐市米东区符合相应条件的农村低保对象、城市低保对象、城市三无特困人员临时救助人员等困难人员依据相关文件规定的标准发放补助。该项目的实施可逐步提高困难群众生活水平，让受益人员获得幸福感、满足感，维持当地社会稳定，为当地社会的长治久安提供重要保障。。</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该项目阶段性目标为：为全区至少1000位困难群众发放救助补助资金，保证资金发放及时率，提高困难群众生活水平，健全困难群众救助体系，让困难群众感到满意。</w:t>
      </w:r>
    </w:p>
    <w:p>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二、绩效评价工作开展情况</w:t>
      </w:r>
    </w:p>
    <w:p>
      <w:pPr>
        <w:spacing w:line="540" w:lineRule="exact"/>
        <w:ind w:firstLine="567" w:firstLineChars="181"/>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color w:val="000000" w:themeColor="text1"/>
          <w:spacing w:val="-4"/>
          <w:sz w:val="32"/>
          <w:szCs w:val="32"/>
          <w14:textFill>
            <w14:solidFill>
              <w14:schemeClr w14:val="tx1"/>
            </w14:solidFill>
          </w14:textFill>
        </w:rPr>
        <w:t>（一）绩效评价目的、对象和范围</w:t>
      </w:r>
    </w:p>
    <w:p>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（一）绩效评价目的、对象和范围</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 绩效评价完整性</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乌财社【2022】397号关于提前下达2023年中央财政困难群众救助补助资金预算[直达资金]的通知项目的目标涵盖了低保户；集中、分散特困供养人员；流浪乞讨人员；孤儿等困难群体，关于上述困难群体救助标准、救助时限均可通过绩效评价体系完整地体现。</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乌财社【2022】397号关于提前下达2023年中央财政困难群众救助补助资金预算[直达资金]的通知项目年初通过各业务科室上年度救助人数及历史标准分配资金，每月初由各业务科室统计汇总救助人数，根据救助标准核算金额，每月10号通过第三方机构代发一卡通发放，资金全部拨付到财政局开设的代发账户，第三方代发成功后及时向业务科室返回银行代发成功的到人的明细，确保资金每月15号前拨付到位。</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乌财社【2022】397号关于提前下达2023年中央财政困难群众救助补助资金预算[直达资金]的通知项目由第三方机构代发一卡通发放，资金全部拨付到财政局开设的代发账户，第三方代发成功后及时向业务科室返回银行代发成功的到人的明细。资金发放完成后，本单位会计、出纳及时将支付审批单、会计凭证、资金拨付表、发放人员名单、一卡通发放明细单等相关资料分类归档。以确保数据的准确性和完整性。</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 评价目的</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乌财社【2022】397号关于提前下达2023年中央财政困难群众救助补助资金预算[直达资金]的通知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 评价对象</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（1）绩效评价的对象：乌财社【2022】397号关于提前下达2023年中央财政困难群众救助补助资金预算[直达资金]的通知项目</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 绩效评价范围</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（1）时间范围：2023年1月1日至2023年12月31日。</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项目范围：乌财社【2022】397号关于提前下达2023年中央财政困难群众救助补助资金预算[直达资金]的通知项目的用于困难群众救助补助，涵盖了低保户、五保户、集中（分散）供养特困人员、流浪乞讨人员、孤儿等困难群体，目前自评工作已完成，资金全年拨付647万，实际使用644.6万元，资金使用率99.63%，资金投入包括城乡最低生活保障420万元，执行418.01万元，执行率99.53%；城乡特困人员救助供养213万元，执行212.83万元，执行率99.95%；临时救助2万元，执行1.85万元，执行率92.5%；流浪乞讨人员救助5万元，执行5万元，执行率100%；孤儿保障金7万元执行6.92万元，执行率98.86%；此项目的执行有效的缓解了各类困难群众的生活压力，提高了困难群众的生活质量，使其幸福感、满意度有效提升。此项工作开展主要由各业务科室通过各乡镇、街道、社区、村集中开展摸排汇总，积极宣传各项救助政策，开展规范化程序建设。目前存在的主要问题在于救助困难群众一卡通账户经常停用或注销，致使发放失败。原因主要有二点：一是各乡镇、街道、社区、村一卡通录入人员信息录入错误；二是救助困难群众更换一卡通后未与工作人员联系更新信息。民政工作在党委、政府的正确领导和上级民政部门的精心指导下，坚持“以民为本、为民解困、为民服务”的民政工作总之，以“保民生、保稳定、促和谐”为首要任务，强化服务意识，夯实基础性工作，不断发挥民政对和谐社会建设的“稳定器”、“调节器”及“助推器”作用，为构建和谐稳定的社会坏境做出了积极贡献。对2023年困难群众救助补助经费项目 进行客观评价，最终评分结果为：总分为99.98分，绩效评级为优。</w:t>
      </w:r>
    </w:p>
    <w:p>
      <w:pPr>
        <w:spacing w:line="540" w:lineRule="exact"/>
        <w:ind w:firstLine="567"/>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color w:val="000000" w:themeColor="text1"/>
          <w:spacing w:val="-4"/>
          <w:sz w:val="32"/>
          <w:szCs w:val="32"/>
          <w14:textFill>
            <w14:solidFill>
              <w14:schemeClr w14:val="tx1"/>
            </w14:solidFill>
          </w14:textFill>
        </w:rPr>
        <w:t>（二）绩效评价原则、评价指标体系、评价方法、评价标准</w:t>
      </w:r>
    </w:p>
    <w:p>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1. 评价原则</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（1）科学公正。绩效评价应当运用科学合理的方法，按照规范的程序，对项目绩效进行客观、公正的反映。</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（4）公开透明。绩效评价结果应依法依规公开，并自觉接受社会监督。</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 评价指标体系</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绩效评价指标体系作为衡量绩效目标实现程度的考核工具，一般遵循以下原则：</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（1）相关性原则：绩效评价指标应当与绩效目标有直接的联系，能够恰当反映目标的实现程度。</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（2）重要性原则：应当优先使用最具评价对象代表性、最能反映评价要求的核心指标。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（3）可比性原则：对同类评价对象要设定共性的绩效评价指标，以便于评价结果可以相互比较。</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（4）系统性原则：绩效评价指标的设置应当将定量指标与定性指标相结合，能系统反映财政支出所产生的社会效益、经济效益和可持续影响等。</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（5）经济性原则：绩效评价指标设计应当通俗易懂、简便易行，数据的获得应当考虑现实条件和可操作性，符合成本效益原则。</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本项目的评价指标体系建立如表2-1所示。</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表2-1 项目支出绩效评价指标体系</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一级指标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二级指标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三级指标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指标解释</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指标说明</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决策</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项目立项</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立项依据</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充分性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项目立项是否符合法律法规、相关政策、发展规划以及部门职责，用以反映和考核项目立项依据情况。</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①项目立项是否符合国家法律法规、国民经济发展规划和相关政策；</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②项目立项是否符合行业发展规划和政策要求；</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③项目立项是否与部门职责范围相符，属于部门履职所需；</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④项目是否属于公共财政支持范围，是否符合中央、地方事权支出责任划分原则；</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⑤项目是否与相关部门同类项目或部门内部相关项目重复。</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立项程序</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规范性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项目申请、设立过程是否符合相关要求，用以反映和考核项目立项的规范情况。</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①项目是否按照规定的程序申请设立；</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②审批文件、材料是否符合相关要求；</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③事前是否已经过必要的可行性研究、专家论证、风险评估、绩效评估、集体决策。</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绩效目标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绩效目标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合理性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项目所设定的绩效目标是否依据充分，是否符合客观实际，用以反映和考核项目绩效目标与项目实施的相符情况。</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（如未设定预算绩效目标，也可考核其他工作任务目标）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①项目是否有绩效目标；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②项目绩效目标与实际工作内容是否具有相关性；</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③项目预期产出效益和效果是否符合正常的业绩水平；</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④是否与预算确定的项目投资额或资金量相匹配。</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决策</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绩效目标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绩效指标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明确性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依据绩效目标设定的绩效指标是否清晰、细化、可衡量等，用以反映和考核项目绩效目标的明细化情况。</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①是否将项目绩效目标细化分解为具体的绩效指标；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②是否通过清晰、可衡量的指标值予以体现；</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③是否与项目目标任务数或计划数相对应。</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资金投入</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预算编制</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科学性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项目预算编制是否经过科学论证、有明确标准，资金额度与年度目标是否相适应，用以反映和考核项目预算编制的科学性、合理性情况。</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①预算编制是否经过科学论证；</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②预算内容与项目内容是否匹配；</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③预算额度测算依据是否充分，是否按照标准编制；</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④预算确定的项目投资额或资金量是否与工作任务相匹配。</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资金分配</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合理性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项目预算资金分配是否有测算依据，与补助单位或地方实际是否相适应，用以反映和考核项目预算资金分配的科学性、合理性情况。</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①预算资金分配依据是否充分；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②资金分配额度是否合理，与项目单位或地方实际是否相适应。</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过程</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资金管理</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资金到位率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实际到位资金与预算资金的比率，用以反映和考核资金落实情况对项目实施的总体保障程度。</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资金到位率=（实际到位资金/预算资金）×100%。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实际到位资金：一定时期（本年度或项目期）内落实到具体项目的资金。</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预算资金：一定时期（本年度或项目期）内预算安排到具体项目的资金。</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预算执行率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项目预算资金是否按照计划执行，用以反映或考核项目预算执行情况。</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预算执行率=（实际支出资金/实际到位资金）×100%。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实际支出资金：一定时期（本年度或项目期）内项目实际拨付的资金。</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过程</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资金管理</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资金使用</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合规性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项目资金使用是否符合相关的财务管理制度规定，用以反映和考核项目资金的规范运行情况。</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①是否符合国家财经法规和财务管理制度以及有关专项资金管理办法的规定；</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②资金的拨付是否有完整的审批程序和手续；</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③是否符合项目预算批复或合同规定的用途；</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④是否存在截留、挤占、挪用、虚列支出等情况。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组织实施</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管理制度</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健全性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项目实施单位的财务和业务管理制度是否健全，用以反映和考核财务和业务管理制度对项目顺利实施的保障情况。</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①是否已制定或具有相应的财务和业务管理制度；</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②财务和业务管理制度是否合法、合规、完整。</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制度执行</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有效性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项目实施是否符合相关管理规定，用以反映和考核相关管理制度的有效执行情况。</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①是否遵守相关法律法规和相关管理规定；</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②项目调整及支出调整手续是否完备；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③项目合同书、验收报告、技术鉴定等资料是否齐全并及时归档；</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④项目实施的人员条件、场地设备、信息支撑等是否落实到位。</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产出</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产出数量</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困难群众救助人数</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全年困难群众救助人数</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困难群众救助人数：每月救助人数，根据人员情况有所增减。</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年初设定救助人数不低于1000人，按照实际救助人数比例得分。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产出</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产出质量</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资金发放工作完成率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项目资金数与实际发放数数的比率，用以反映和考核项目资金支出质量目标的实现程度。</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资金发放完成率率=（实际发放资金储/目标资金数）×100%。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产出时效</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困难群众资金发放及时率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项目实际完成时间与计划完成时间的比较，用以反映和考核项目产出时效目标的实现程度。</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实际完成时间：项目实施单位完成该项目实际所耗用的时间。</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计划完成时间：按照项目实施计划或相关规定完成该项目所需的时间。</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产出成本</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低保金发放标准</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城市低保金发放标准：700元/人/月</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农村低保金发放标准：600元/人/月</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评价是否按照规定低保金发放标准进行实际发放。</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若按照规定低保金发放标准，得满分；若未按照规定低保金发放标准，不得分。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效益</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社会效益指标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提高困难群众生活水平</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项目实施所产生的效益。</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项目实施所产生的社会效益、经济效益、生态效益、可持续影响等。可根据项目实际情况有选择地设置和细化。</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完善困难群众救助工作体系</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社会公众或服务对象是指因该项目实施而受到影响的部门（单位）、群体或个人。一般采取社会调查的方式。</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满意度指标完成情况分析</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满意度指标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困难群众满意度</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社会公众或服务对象对项目实施效果的满意程度。</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社会公众或服务对象是指因该项目实施而受到影响的部门（单位）、群体或个人。一般采取社会调查的方式。</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 评价方法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《关于印发&lt;项目支出绩效评价管理办法&gt;的通知》（财预〔2020〕10号）文件指出部门评价的方法主要包括成本效益分析法、比较法、因素分析法、最低成本法、公众评判法、标杆管理法等。</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（1）成本效益分析法。是指将投入与产出、效益进行关联性分析的方法。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（2）比较法。是指将实施情况与绩效目标、历史情况、不同部门和地区同类支出情况进行比较的方法。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（3）因素分析法。是指综合分析影响绩效目标实现、实施效果的内外部因素的方法。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（4）最低成本法。是指在绩效目标确定的前提下，成本最小者为优的方法。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（5）公众评判法。是指通过专家评估、公众问卷及抽样调查等方式进行评判的方法。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（6）标杆管理法。是指以国内外同行业中较高的绩效水平为标杆进行评判的方法。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（7）其他评价方法。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根据本项目（乌财社【2022】397号关于提前下达2023年中央财政困难群众救助补助资金预算[直达资金]的通知项目）的特点，本次评价主要采用比较法和公众评判法，对项目总预算和明细预算的内容、标准、计划是否经济合理进行深入分析，以考察实际产出和效益是否达到预期。</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 评价标准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绩效评价标准主要包括计划标准、行业标准、历史标准等，用于对绩效指标完成情况进行比较。</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（1）计划标准。指以预先制定的目标、计划、预算、定额等作为评价标准。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（2）行业标准。指参照国家公布的行业指标数据制定的评价标准。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（3）历史标准。指参照历史数据制定的评价标准，为体现绩效改进的原则，在可实现的条件下应当确定相对较高的评价标准。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在上述评价标准的基础上，本次评价依据以下文件为重要指导和准绳：</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·《中共中央国务院关于全面实施预算绩效管理的意见》（中发〔2018〕34号）</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·《关于印发&lt;乌鲁木齐市本级部门预算绩效目标管理暂行办法&gt;的通知》（乌财预〔2018〕56号）</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·《关于做好2019年部门预算项目支出绩效目标管理有关事宜的通知》（乌财预〔2018〕76号）</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·《项目支出绩效评价管理办法》（财预〔2020〕10号）</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·《关于印发《乌鲁木齐市最低生活保障审核确认实施办法》的通知》（乌民发规【2021】1号）</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·《关于印发乌鲁木齐市最低生活保障实施办法的通知》（乌政办【2019】122号）</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·《关于印发乌鲁木齐市最低生活保障</w:t>
      </w:r>
      <w:bookmarkStart w:id="0" w:name="_GoBack"/>
      <w:bookmarkEnd w:id="0"/>
      <w:r>
        <w:rPr>
          <w:rStyle w:val="18"/>
          <w:rFonts w:hint="eastAsia" w:ascii="楷体" w:hAnsi="楷体" w:eastAsia="楷体"/>
          <w:b w:val="0"/>
          <w:bCs w:val="0"/>
          <w:color w:val="000000" w:themeColor="text1"/>
          <w:spacing w:val="-4"/>
          <w:sz w:val="32"/>
          <w:szCs w:val="32"/>
          <w:lang w:eastAsia="zh-CN"/>
          <w14:textFill>
            <w14:solidFill>
              <w14:schemeClr w14:val="tx1"/>
            </w14:solidFill>
          </w14:textFill>
        </w:rPr>
        <w:t>实施细则</w:t>
      </w:r>
      <w:r>
        <w:rPr>
          <w:rStyle w:val="18"/>
          <w:rFonts w:hint="eastAsia" w:ascii="楷体" w:hAnsi="楷体" w:eastAsia="楷体"/>
          <w:b w:val="0"/>
          <w:bCs w:val="0"/>
          <w:color w:val="000000" w:themeColor="text1"/>
          <w:spacing w:val="-4"/>
          <w:sz w:val="32"/>
          <w:szCs w:val="32"/>
          <w14:textFill>
            <w14:solidFill>
              <w14:schemeClr w14:val="tx1"/>
            </w14:solidFill>
          </w14:textFill>
        </w:rPr>
        <w:t>的通知》乌民发（【2019】109号文）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·《关于提高我市城乡低保标准的通知》（乌民发【2021】9号）</w:t>
      </w:r>
    </w:p>
    <w:p>
      <w:pPr>
        <w:spacing w:line="540" w:lineRule="exact"/>
        <w:ind w:firstLine="567" w:firstLineChars="181"/>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color w:val="000000" w:themeColor="text1"/>
          <w:spacing w:val="-4"/>
          <w:sz w:val="32"/>
          <w:szCs w:val="32"/>
          <w14:textFill>
            <w14:solidFill>
              <w14:schemeClr w14:val="tx1"/>
            </w14:solidFill>
          </w14:textFill>
        </w:rPr>
        <w:t>（三）绩效评价工作过程</w:t>
      </w:r>
    </w:p>
    <w:p>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（三）绩效评价工作过程</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三、综合评价情况及评价结论</w:t>
      </w:r>
    </w:p>
    <w:p>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（一）评价结论</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结合项目特点，制定符合项目实际的绩效评价指标体系及评分标准，通过数据采集、问卷调查及访谈等形式，对2023年困难群众救助补助经费项目 进行客观评价，最终评分结果为：总分为99.98分，绩效评级为优[本次绩效评价结果实施百分制和四级分类，其中90（含）-100分为优、80（含）-90分为良、70（含）-80分为中、70分以下为差。]。</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乌财社【2022】397号关于提前下达2023年中央财政困难群众救助补助资金预算[直达资金]的通知项目各部分权重和绩效分值如表3-1所示：</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表3-1 项目各部分权重和绩效分值</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一级指标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二级指标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三级指标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分值</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得分</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得分率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决策</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项目立项</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立项依据充分性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4</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4</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立项程序规范性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4</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4</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绩效目标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绩效目标合理性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绩效指标明确性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资金投入</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预算编制科学性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资金分配合理性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过程</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资金管理</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资金到位率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5</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5</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预算执行率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5</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4.98</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99.6%</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资金使用合规性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组织实施</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管理制度健全性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制度执行有效性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4</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4</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产出</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产出数量</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困难群众救助人数</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产出质量</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资金发放工作完成率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产出时效</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困难群众资金发放及时率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产出成本</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低保金发放标准</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效益</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项目效益</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提高困难群众生活水平</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完善困难群众救助工作体系</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5</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5</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满意度指标完成情况分析</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满意度指标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困难群众满意度</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5</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5</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（二）主要绩效</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该项目资金区财政及时拨付，单位在此次评价期间内，根据《关于印发《乌鲁木齐市最低生活保障审核确认实施办法》的通知》（乌民发规【2021】1号）、《关于印发乌鲁木齐市最低生活保障实施办法的通知》（乌政办【2019】122号）等文件相关规定，有序完成设定目标的部分工作任务，为全区城乡生活困难群众发放最低生活保障418.01万元，为城乡特困人员发放救助供养212.83万元，发放临时救助1.85万元、流浪乞讨人员救助5万元、孤儿保障金6.92万元。该项目的实施可逐步提高困难群众生活水平，让受益人员获得幸福感、满足感，维持当地社会稳定，为当地社会的长治久安提供重要保障。</w:t>
      </w:r>
    </w:p>
    <w:p>
      <w:pPr>
        <w:spacing w:line="540" w:lineRule="exact"/>
        <w:ind w:firstLine="640"/>
        <w:rPr>
          <w:rStyle w:val="18"/>
          <w:rFonts w:ascii="黑体" w:hAnsi="黑体" w:eastAsia="黑体"/>
          <w:color w:val="000000" w:themeColor="text1"/>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四、绩效评价指标分析</w:t>
      </w:r>
      <w:r>
        <w:rPr>
          <w:rStyle w:val="18"/>
          <w:rFonts w:hint="eastAsia" w:ascii="黑体" w:hAnsi="黑体" w:eastAsia="黑体"/>
          <w:color w:val="000000" w:themeColor="text1"/>
          <w14:textFill>
            <w14:solidFill>
              <w14:schemeClr w14:val="tx1"/>
            </w14:solidFill>
          </w14:textFill>
        </w:rPr>
        <w:t xml:space="preserve"> </w:t>
      </w:r>
    </w:p>
    <w:p>
      <w:pPr>
        <w:spacing w:line="540" w:lineRule="exact"/>
        <w:ind w:firstLine="567" w:firstLineChars="181"/>
        <w:rPr>
          <w:rFonts w:ascii="楷体" w:hAnsi="楷体" w:eastAsia="楷体"/>
          <w:b/>
          <w:color w:val="000000" w:themeColor="text1"/>
          <w:spacing w:val="-4"/>
          <w:sz w:val="32"/>
          <w:szCs w:val="32"/>
          <w14:textFill>
            <w14:solidFill>
              <w14:schemeClr w14:val="tx1"/>
            </w14:solidFill>
          </w14:textFill>
        </w:rPr>
      </w:pPr>
      <w:r>
        <w:rPr>
          <w:rFonts w:hint="eastAsia" w:ascii="楷体" w:hAnsi="楷体" w:eastAsia="楷体"/>
          <w:b/>
          <w:color w:val="000000" w:themeColor="text1"/>
          <w:spacing w:val="-4"/>
          <w:sz w:val="32"/>
          <w:szCs w:val="32"/>
          <w14:textFill>
            <w14:solidFill>
              <w14:schemeClr w14:val="tx1"/>
            </w14:solidFill>
          </w14:textFill>
        </w:rPr>
        <w:t>（一）</w:t>
      </w:r>
      <w:r>
        <w:rPr>
          <w:rStyle w:val="18"/>
          <w:rFonts w:hint="eastAsia" w:ascii="楷体" w:hAnsi="楷体" w:eastAsia="楷体"/>
          <w:color w:val="000000" w:themeColor="text1"/>
          <w:spacing w:val="-4"/>
          <w:sz w:val="32"/>
          <w:szCs w:val="32"/>
          <w14:textFill>
            <w14:solidFill>
              <w14:schemeClr w14:val="tx1"/>
            </w14:solidFill>
          </w14:textFill>
        </w:rPr>
        <w:t>项目决策情况</w:t>
      </w:r>
    </w:p>
    <w:p>
      <w:pPr>
        <w:tabs>
          <w:tab w:val="center" w:pos="4295"/>
        </w:tabs>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（一）项目决策情况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项目决策指标由3个二级指标和6个三级指标构成，权重为20分，实际得20分。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 项目立项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立项依据充分性：项目立项符合《关于印发乌鲁木齐市最低生活保障</w:t>
      </w:r>
      <w:r>
        <w:rPr>
          <w:rStyle w:val="18"/>
          <w:rFonts w:hint="eastAsia" w:ascii="楷体" w:hAnsi="楷体" w:eastAsia="楷体"/>
          <w:b w:val="0"/>
          <w:bCs w:val="0"/>
          <w:color w:val="000000" w:themeColor="text1"/>
          <w:spacing w:val="-4"/>
          <w:sz w:val="32"/>
          <w:szCs w:val="32"/>
          <w:lang w:eastAsia="zh-CN"/>
          <w14:textFill>
            <w14:solidFill>
              <w14:schemeClr w14:val="tx1"/>
            </w14:solidFill>
          </w14:textFill>
        </w:rPr>
        <w:t>实施细则</w:t>
      </w:r>
      <w:r>
        <w:rPr>
          <w:rStyle w:val="18"/>
          <w:rFonts w:hint="eastAsia" w:ascii="楷体" w:hAnsi="楷体" w:eastAsia="楷体"/>
          <w:b w:val="0"/>
          <w:bCs w:val="0"/>
          <w:color w:val="000000" w:themeColor="text1"/>
          <w:spacing w:val="-4"/>
          <w:sz w:val="32"/>
          <w:szCs w:val="32"/>
          <w14:textFill>
            <w14:solidFill>
              <w14:schemeClr w14:val="tx1"/>
            </w14:solidFill>
          </w14:textFill>
        </w:rPr>
        <w:t>的通知》乌民发【2019】109号文、《关于印发《乌鲁木齐市最低生活保障审核确认实施办法》的通知》（乌民发规【2021】1号）、《关于印发乌鲁木齐市最低生活保障实施办法的通知》（乌政办【2019】122号）</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关于提高我市城乡低保标准的通知》（乌民发【2021】9号）等法规、政策要求。同时，根据民政局三定方案职责，贯彻执行社会救助政策和标准，健全城乡救助体系，组织实施城乡居民最低生活保障、困难群体专项救助、临时救助工作；指导特困群体供养和农村敬老院建设管理工作；贯彻落实社会保障兜底脱贫政策和标准。项目与部门职责范围相符，属于部门履职所需。此外，本项目属于公共财政支持范围，符合中央、地方事权支出责任划分原则，没有与相关部门同类项目或部门内部相关项目重复。因此，立项依据充分，得4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立项程序规范性:项目按照规定的程序，由各业务科室统计汇总预计需要救助人数金额开展预算工作，由民政厅统一分配资金到各地州市，各地州市根据各区县情况分配资金，预算比例由中央、自治区、地州市、县区本级各承担一部分，申请设立，审批文件、材料符合相关要求，故立项程序规范，得4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综上，该指标满分8分，得分8分。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 绩效目标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绩效目标合理性：本项目的绩效目标按照产出、效益和满意度构建绩效评价指标，且具有明确性、可衡量性、可实现性、相关性和时限性等特点，能较为全面地反映本项目的救助困难群众人数及健全困难群众救助体系工作、救助困难群众满意度，故绩效目标合理性指标得分3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绩效目标明确性：此项中央和自治区直达资金，发放符合政策条件人数明确，发放标准透明。其中，目标已细化为具体的绩效指标，困难群众救助人数&gt;=1000人,资金发放工作完成率&gt;=95%,</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项目完成时限&lt;=12个月,困难群众资金发放及时率&gt;=95%,</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困难群众生活水平有效提高,困难群众救助工作体系有效完善,困难群众满意度&gt;=95%,可通过数量指标、质量指标、时效指标，社会效益和满意度指标予以量化，并具有确切的评价标准，且指标设定均与困难群众救助的项目总目标相关。各项指标均能在现实条件下收集到相关数据进行佐证，如，资金拨付表、一卡通发放明细等。并与当年项目年度计划相对应，故绩效目标明确性指标得分3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综上，该指标满分6分，得分6分。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 资金投入</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预算编制科学性：本项目严格按照业务科室审批各乡镇基层上报数据符合条件享受政策补贴的农村低保户人数，城市低保户的人数及特困供养人数等困难群众统计汇总上报的，且符合享受政策标准都是统一公开，故预算编制科学严谨。故预算编制科学性指标得分3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资金分配合理性：此项目资金分配按根据《乌鲁木齐市民政局、乌鲁木齐市财政局关于提高困难群众基本生活救助保障标准的通知》（乌民发【2022】49号）、《关于提高我市城乡低保标准的通知》（乌民发〔2021〕9号）等文件要求对符合条件的困难群众进行资金分配及发放，故资金分配具有相关文件依据，故资金分配合理性指标得分3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综上，该指标满分6分，得分6分。</w:t>
      </w:r>
      <w:r>
        <w:rPr>
          <w:rStyle w:val="18"/>
          <w:rFonts w:hint="eastAsia" w:ascii="楷体" w:hAnsi="楷体" w:eastAsia="楷体"/>
          <w:b w:val="0"/>
          <w:bCs w:val="0"/>
          <w:color w:val="000000" w:themeColor="text1"/>
          <w:spacing w:val="-4"/>
          <w:sz w:val="32"/>
          <w:szCs w:val="32"/>
          <w14:textFill>
            <w14:solidFill>
              <w14:schemeClr w14:val="tx1"/>
            </w14:solidFill>
          </w14:textFill>
        </w:rPr>
        <w:tab/>
      </w:r>
    </w:p>
    <w:p>
      <w:pPr>
        <w:spacing w:line="540" w:lineRule="exact"/>
        <w:ind w:firstLine="567" w:firstLineChars="181"/>
        <w:rPr>
          <w:rStyle w:val="18"/>
          <w:rFonts w:ascii="楷体" w:hAnsi="楷体" w:eastAsia="楷体"/>
          <w:color w:val="000000" w:themeColor="text1"/>
          <w:spacing w:val="-4"/>
          <w:sz w:val="32"/>
          <w:szCs w:val="32"/>
          <w14:textFill>
            <w14:solidFill>
              <w14:schemeClr w14:val="tx1"/>
            </w14:solidFill>
          </w14:textFill>
        </w:rPr>
      </w:pPr>
      <w:r>
        <w:rPr>
          <w:rFonts w:hint="eastAsia" w:ascii="楷体" w:hAnsi="楷体" w:eastAsia="楷体"/>
          <w:b/>
          <w:color w:val="000000" w:themeColor="text1"/>
          <w:spacing w:val="-4"/>
          <w:sz w:val="32"/>
          <w:szCs w:val="32"/>
          <w14:textFill>
            <w14:solidFill>
              <w14:schemeClr w14:val="tx1"/>
            </w14:solidFill>
          </w14:textFill>
        </w:rPr>
        <w:t>（二）</w:t>
      </w:r>
      <w:r>
        <w:rPr>
          <w:rStyle w:val="18"/>
          <w:rFonts w:hint="eastAsia" w:ascii="楷体" w:hAnsi="楷体" w:eastAsia="楷体"/>
          <w:color w:val="000000" w:themeColor="text1"/>
          <w:spacing w:val="-4"/>
          <w:sz w:val="32"/>
          <w:szCs w:val="32"/>
          <w14:textFill>
            <w14:solidFill>
              <w14:schemeClr w14:val="tx1"/>
            </w14:solidFill>
          </w14:textFill>
        </w:rPr>
        <w:t>项目过程情况</w:t>
      </w:r>
    </w:p>
    <w:p>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（二）项目过程情况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项目过程指标由2个二级指标和5个三级指标构成，权重为20分，实际得分19.98分。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 资金管理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资金到位率：乌财社【2022】397号关于提前下达2023年中央财政困难群众救助补助资金预算[直达资金]的通知预算数647万元，在2022年12月23日到位647万元,全额到位，资金到位率为100%。故资金到位率指标得分5分。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预算执行率：此项目资金支付方式为国库集中支付，严格按照资金需求量和预算执行进度支付：农村低保金、城市低保金每月发放一次，临时救助金按月发放，且临时救助又有临时性，应急性发放需求，且全有第三方机构代发一卡通发放，资金全部拨付到财政局开设的代发账户，第三方代发成功后及时向业务科室返回银行代发成功的到人的明细。实际支出资金：644.60万元，预算执行率为99.63%。故预算执行率得分为4.98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资金使用合规性：本项目资金的使用符合《社会救助暂行办法》国务院令第649号、《农村五保供养工作条例》国务院令第456号、《城市居民最低生活保障条例》国务院令第271号和米东区民政局支出审核制度、财务工作管理办法、财务票据管理制度、原始凭证管理制度制度以及有关专项资金管理办法的规定。同时，资金的拨付有完整的审批程序和手续，符合项目预算批复或合同规定的用途，不存在截留、挤占、挪用、虚列支出等情况。故资金使用合规性得分为3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综上，该指标满分13分，得分12.98分。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 组织实施</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管理制度健全性：米东区民政局已制定相应的米东区民政局财务工作管理办法、财务票据管理制度、原始凭证管理制度等相关制度,工作要求严格按照《关于印发乌鲁木齐市最低生活保障</w:t>
      </w:r>
      <w:r>
        <w:rPr>
          <w:rStyle w:val="18"/>
          <w:rFonts w:hint="eastAsia" w:ascii="楷体" w:hAnsi="楷体" w:eastAsia="楷体"/>
          <w:b w:val="0"/>
          <w:bCs w:val="0"/>
          <w:color w:val="000000" w:themeColor="text1"/>
          <w:spacing w:val="-4"/>
          <w:sz w:val="32"/>
          <w:szCs w:val="32"/>
          <w:lang w:eastAsia="zh-CN"/>
          <w14:textFill>
            <w14:solidFill>
              <w14:schemeClr w14:val="tx1"/>
            </w14:solidFill>
          </w14:textFill>
        </w:rPr>
        <w:t>实施细则</w:t>
      </w:r>
      <w:r>
        <w:rPr>
          <w:rStyle w:val="18"/>
          <w:rFonts w:hint="eastAsia" w:ascii="楷体" w:hAnsi="楷体" w:eastAsia="楷体"/>
          <w:b w:val="0"/>
          <w:bCs w:val="0"/>
          <w:color w:val="000000" w:themeColor="text1"/>
          <w:spacing w:val="-4"/>
          <w:sz w:val="32"/>
          <w:szCs w:val="32"/>
          <w14:textFill>
            <w14:solidFill>
              <w14:schemeClr w14:val="tx1"/>
            </w14:solidFill>
          </w14:textFill>
        </w:rPr>
        <w:t>的通知》乌民发【2019】109号文、《关于印发《乌鲁木齐市最低生活保障审核确认实施办法》的通知》（乌民发规【2021】1号）、《关于印发乌鲁木齐市最低生活保障实施办法的通知》（乌政办【2019】122号）</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、《关于提高我市城乡低保标准的通知》（乌民发【2021】9号）等法规、政策执行，且制度合法、合规、完整，为项目顺利实施提供重要保障。故管理制度健全性得分为3分。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制度执行有效性：根据评价小组核查情况，米东区民政局严格遵守相关法律法规和米东区民政局财务工作管理办法、财务票据管理制度、原始凭证管理制度等相关管理规定，项目调整及支出调整手续完备，整体管理合理有序，项目完成后，及时将会计凭证、资金拨付表、一卡通发放明细表等相关资料分类归档，制度执行有效。故制度执行有效性指标得分4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综上，该指标满分7分，得分7分。</w:t>
      </w:r>
    </w:p>
    <w:p>
      <w:pPr>
        <w:spacing w:line="540" w:lineRule="exact"/>
        <w:ind w:firstLine="567" w:firstLineChars="181"/>
        <w:rPr>
          <w:rFonts w:ascii="楷体" w:hAnsi="楷体" w:eastAsia="楷体"/>
          <w:b/>
          <w:color w:val="000000" w:themeColor="text1"/>
          <w:spacing w:val="-4"/>
          <w:sz w:val="32"/>
          <w:szCs w:val="32"/>
          <w14:textFill>
            <w14:solidFill>
              <w14:schemeClr w14:val="tx1"/>
            </w14:solidFill>
          </w14:textFill>
        </w:rPr>
      </w:pPr>
      <w:r>
        <w:rPr>
          <w:rFonts w:hint="eastAsia" w:ascii="楷体" w:hAnsi="楷体" w:eastAsia="楷体"/>
          <w:b/>
          <w:color w:val="000000" w:themeColor="text1"/>
          <w:spacing w:val="-4"/>
          <w:sz w:val="32"/>
          <w:szCs w:val="32"/>
          <w14:textFill>
            <w14:solidFill>
              <w14:schemeClr w14:val="tx1"/>
            </w14:solidFill>
          </w14:textFill>
        </w:rPr>
        <w:t>（三）</w:t>
      </w:r>
      <w:r>
        <w:rPr>
          <w:rStyle w:val="18"/>
          <w:rFonts w:hint="eastAsia" w:ascii="楷体" w:hAnsi="楷体" w:eastAsia="楷体"/>
          <w:color w:val="000000" w:themeColor="text1"/>
          <w:spacing w:val="-4"/>
          <w:sz w:val="32"/>
          <w:szCs w:val="32"/>
          <w14:textFill>
            <w14:solidFill>
              <w14:schemeClr w14:val="tx1"/>
            </w14:solidFill>
          </w14:textFill>
        </w:rPr>
        <w:t>项目产出情况</w:t>
      </w:r>
    </w:p>
    <w:p>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（三）项目产出情况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项目产出指标由4个二级指标和4个三级指标构成，权重为40分，实际得分40分。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 产出数量</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数量指标“困难群众救助人数”的目标值是1000人，2023年度我单位实际完成1068人，原因是困难群众救助人数为动态指标，每月根据人员状况有增减。</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实际完成率：107%，故数量指标得分为10分。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 产出质量</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资金发放工作完成率：资金发放工作完成率目标值为大于等于95%，业绩值为95%，实际完成率为100%。故资金发放工作率得分为10分。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 产出时效</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资金发放（补助）及时性：依据米东区2023年各月农村低保金银行发放统计表、米东区2023年各月城市低保金银行发放统计表及该项目涉及的国库支付凭证，本单位严格按照相关文件要求，每月及时完成经济困难对象资料审核及补助资金发放工作，该指标完成率100%，故指标得分为10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 产出成本</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低保金发放标准：根据《关于提高我市城乡低保标准的通知》（乌民发〔2021〕9号）文件要求，城市低保金发放标准为700元/月/人，低保金发放标准为600元/月/人，本项目实际依据米东区2023年各月惠民惠农财政补贴资金发放实名支管理台账、米东区2023年各月城市低保金银行发放统计表及该项目涉及的国库支付凭证，发放标准符合文件要求，指标完成率100%，故指标得分为10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综上，该部分指标满分40分，得分40分。</w:t>
      </w:r>
    </w:p>
    <w:p>
      <w:pPr>
        <w:spacing w:line="540" w:lineRule="exact"/>
        <w:ind w:firstLine="567" w:firstLineChars="181"/>
        <w:rPr>
          <w:rFonts w:ascii="楷体" w:hAnsi="楷体" w:eastAsia="楷体"/>
          <w:b/>
          <w:color w:val="000000" w:themeColor="text1"/>
          <w:spacing w:val="-4"/>
          <w:sz w:val="32"/>
          <w:szCs w:val="32"/>
          <w14:textFill>
            <w14:solidFill>
              <w14:schemeClr w14:val="tx1"/>
            </w14:solidFill>
          </w14:textFill>
        </w:rPr>
      </w:pPr>
      <w:r>
        <w:rPr>
          <w:rFonts w:hint="eastAsia" w:ascii="楷体" w:hAnsi="楷体" w:eastAsia="楷体"/>
          <w:b/>
          <w:color w:val="000000" w:themeColor="text1"/>
          <w:spacing w:val="-4"/>
          <w:sz w:val="32"/>
          <w:szCs w:val="32"/>
          <w14:textFill>
            <w14:solidFill>
              <w14:schemeClr w14:val="tx1"/>
            </w14:solidFill>
          </w14:textFill>
        </w:rPr>
        <w:t>（四）</w:t>
      </w:r>
      <w:r>
        <w:rPr>
          <w:rStyle w:val="18"/>
          <w:rFonts w:hint="eastAsia" w:ascii="楷体" w:hAnsi="楷体" w:eastAsia="楷体"/>
          <w:color w:val="000000" w:themeColor="text1"/>
          <w:spacing w:val="-4"/>
          <w:sz w:val="32"/>
          <w:szCs w:val="32"/>
          <w14:textFill>
            <w14:solidFill>
              <w14:schemeClr w14:val="tx1"/>
            </w14:solidFill>
          </w14:textFill>
        </w:rPr>
        <w:t>项目效益情况</w:t>
      </w:r>
    </w:p>
    <w:p>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项目效益指标由1个二级指标和2个三级指标构成，权重为15分，实际得分15分。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 项目效益</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（1）实施效益</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经济效益指标：不适用。</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社会效益指标：评价指标“困难群众生活水平提升度”，指标值：显著提升，实际完成值：完全达到预期效果。本项目的实施保障了集中、分散供养的农村五保人员以及城乡低保户等各类困难群体的生活，体现了党和政府对困难群众民生问题的关心，能有效地缓解这一群体基本生活保障的问题，对于维护社会稳定，促进社会和谐，具有十分重要的意义。</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社会效益指标：评价指标“完善困难群众救助工作体系”，指标值：有效完善，实际完成值：完全达到预期效果。本项目的实施有效完善了城乡低保和特困供养人员保障制度，体现了党和政府对困难群众民生问题的关心，能有效地缓解这一群体基本生活保障的问题，对于维护社会稳定，促进社会和谐，具有十分重要的意义。</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生态效益指标：不适用。</w:t>
      </w:r>
    </w:p>
    <w:p>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满意度完成指标由1个二级指标和1个三级指标构成，权重为5分，实际得分5分。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（1）满意度指标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困难群众满意度：评价指标“困难群众满意度”，指标值：≥95%，实际完成值：95%。通过设置问卷调查的方式进行考评评价，共计调查样本总量为20个样本，有效调查问卷20份。其中，统计“困难群众满意度”的平均值为95%。故满意度指标得分为5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综上，该指标满分5分，得分5分。</w:t>
      </w:r>
    </w:p>
    <w:p>
      <w:pPr>
        <w:spacing w:line="540" w:lineRule="exact"/>
        <w:ind w:firstLine="567"/>
        <w:rPr>
          <w:rStyle w:val="18"/>
          <w:rFonts w:ascii="楷体" w:hAnsi="楷体" w:eastAsia="楷体"/>
          <w:color w:val="000000" w:themeColor="text1"/>
          <w:spacing w:val="-4"/>
          <w:sz w:val="32"/>
          <w:szCs w:val="32"/>
          <w14:textFill>
            <w14:solidFill>
              <w14:schemeClr w14:val="tx1"/>
            </w14:solidFill>
          </w14:textFill>
        </w:rPr>
      </w:pPr>
    </w:p>
    <w:p>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五、主要经验及做法、存在的问题及原因分析</w:t>
      </w:r>
    </w:p>
    <w:p>
      <w:pPr>
        <w:spacing w:line="540" w:lineRule="exact"/>
        <w:ind w:firstLine="567"/>
        <w:rPr>
          <w:rFonts w:ascii="仿宋_GB2312" w:eastAsia="仿宋_GB2312"/>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（一）主要经验及做法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民政工作在党委、政府的正确领导和上级民政部门的精心指导下，坚持“以民为本、为民解困、为民服务”的民政工作总之，以“保民生、保稳定、促和谐”为首要任务，强化服务意识，夯实基础性工作，不断发挥民政对和谐社会建设的“稳定器”、“调节器”及“助推器”作用，为构建和谐稳定的社会坏境做出了积极贡献。</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积极开展规范化建设，不断提高管理和服务水平。群众密切关注的民政业务工作和政策，确保群众的知情权，接受群众的监督，做到各项工作的落实“公开、公平、公正”。在日常工作中，工作人员身怀爱民之心，恪守为民之责，多半李敏之事，权为民所用，情为民所系，利为民所谋，把扎实做好事关群众切身利益的每一项工作，作为一个民政工作者应尽的职责，注重加强学习业务知识，积极主动服从服务大局，主动深入到苦难呢群众家中走访，为他们排忧解难。</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狠抓落实各项救助政策，真心实意为群众办实事。民政工作是政府为民、爱民的一个窗口，市构建和谐社会的一个平台，所以对这项工作自始至终高度重视、认真对待，严格按照政策的规定做好资金管理工作，确保资金使用效果，接受群众监督，保证资金“专款专用”，爱岗敬业，全心全意为广大群众服务。全面落实低保政策，规范和完善教育救助、医疗救助、临时救助、五保供养、老龄工作等，努力提高社会保障和救助水平，落实好民政各项惠民政策，着力优化民政服务。</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（二）存在的问题及原因分析</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一卡通发放工作经常因卡号问题、人员死亡等致使发放失败。该问题存在原因主要由以下两点：一是各乡镇、街道、社区、村一卡通录入人员信息录入错误；二是救助困难群众更换一卡通后未与工作人员联系更新信息。</w:t>
      </w:r>
    </w:p>
    <w:p>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六、有关建议</w:t>
      </w:r>
    </w:p>
    <w:p>
      <w:pPr>
        <w:spacing w:line="540" w:lineRule="exact"/>
        <w:ind w:firstLine="567"/>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（一）建议相关工作人员定期开展人员走访摸排工作，排查是否有困难群众死亡未上报、更换卡号未告知工作，防止资金无法及时发放到位。</w:t>
      </w:r>
    </w:p>
    <w:p>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七、其他需要说明的问题</w:t>
      </w:r>
    </w:p>
    <w:p>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（一）项目支出政策和路径设计科学，符合实际需要；</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（二）项目安排准确，未发现背离项目立项初衷的情况；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（三）项目的申报、审核机制完善；</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（四）未发现虚假行为和骗取财政资金的问题。</w:t>
      </w:r>
    </w:p>
    <w:p>
      <w:pPr>
        <w:spacing w:line="540" w:lineRule="exact"/>
        <w:ind w:firstLine="567"/>
        <w:rPr>
          <w:rStyle w:val="18"/>
          <w:rFonts w:ascii="仿宋" w:hAnsi="仿宋" w:eastAsia="仿宋"/>
          <w:b w:val="0"/>
          <w:color w:val="000000" w:themeColor="text1"/>
          <w:spacing w:val="-4"/>
          <w:sz w:val="32"/>
          <w:szCs w:val="32"/>
          <w14:textFill>
            <w14:solidFill>
              <w14:schemeClr w14:val="tx1"/>
            </w14:solidFill>
          </w14:textFill>
        </w:rPr>
      </w:pPr>
    </w:p>
    <w:p>
      <w:pPr>
        <w:spacing w:line="540" w:lineRule="exact"/>
        <w:ind w:firstLine="567"/>
        <w:rPr>
          <w:rStyle w:val="18"/>
          <w:rFonts w:ascii="仿宋" w:hAnsi="仿宋" w:eastAsia="仿宋"/>
          <w:b w:val="0"/>
          <w:color w:val="000000" w:themeColor="text1"/>
          <w:spacing w:val="-4"/>
          <w:sz w:val="32"/>
          <w:szCs w:val="32"/>
          <w14:textFill>
            <w14:solidFill>
              <w14:schemeClr w14:val="tx1"/>
            </w14:solidFill>
          </w14:textFill>
        </w:rPr>
      </w:pPr>
    </w:p>
    <w:p>
      <w:pPr>
        <w:spacing w:line="540" w:lineRule="exact"/>
        <w:ind w:firstLine="567"/>
        <w:rPr>
          <w:rStyle w:val="18"/>
          <w:rFonts w:ascii="仿宋" w:hAnsi="仿宋" w:eastAsia="仿宋"/>
          <w:b w:val="0"/>
          <w:color w:val="000000" w:themeColor="text1"/>
          <w:spacing w:val="-4"/>
          <w:sz w:val="32"/>
          <w:szCs w:val="32"/>
          <w14:textFill>
            <w14:solidFill>
              <w14:schemeClr w14:val="tx1"/>
            </w14:solidFill>
          </w14:textFill>
        </w:rPr>
      </w:pPr>
    </w:p>
    <w:p>
      <w:pPr>
        <w:spacing w:line="540" w:lineRule="exact"/>
        <w:ind w:firstLine="567"/>
        <w:rPr>
          <w:rStyle w:val="18"/>
          <w:rFonts w:ascii="仿宋" w:hAnsi="仿宋" w:eastAsia="仿宋"/>
          <w:b w:val="0"/>
          <w:color w:val="000000" w:themeColor="text1"/>
          <w:spacing w:val="-4"/>
          <w:sz w:val="32"/>
          <w:szCs w:val="32"/>
          <w14:textFill>
            <w14:solidFill>
              <w14:schemeClr w14:val="tx1"/>
            </w14:solidFill>
          </w14:textFill>
        </w:rPr>
      </w:pPr>
    </w:p>
    <w:p>
      <w:pPr>
        <w:spacing w:line="540" w:lineRule="exact"/>
        <w:ind w:firstLine="567"/>
        <w:rPr>
          <w:rStyle w:val="18"/>
          <w:rFonts w:ascii="仿宋" w:hAnsi="仿宋" w:eastAsia="仿宋"/>
          <w:b w:val="0"/>
          <w:color w:val="000000" w:themeColor="text1"/>
          <w:spacing w:val="-4"/>
          <w:sz w:val="32"/>
          <w:szCs w:val="32"/>
          <w14:textFill>
            <w14:solidFill>
              <w14:schemeClr w14:val="tx1"/>
            </w14:solidFill>
          </w14:textFill>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hZGRhY2RiODFjZjAzZDFlMmZkYzIxMjU0YWNlNWYifQ=="/>
  </w:docVars>
  <w:rsids>
    <w:rsidRoot w:val="00CA6457"/>
    <w:rsid w:val="000048AA"/>
    <w:rsid w:val="00056465"/>
    <w:rsid w:val="000B0B98"/>
    <w:rsid w:val="00102DFF"/>
    <w:rsid w:val="00121AE4"/>
    <w:rsid w:val="00146AAD"/>
    <w:rsid w:val="001B3A40"/>
    <w:rsid w:val="00291BC0"/>
    <w:rsid w:val="00311DBE"/>
    <w:rsid w:val="003A1721"/>
    <w:rsid w:val="004366A8"/>
    <w:rsid w:val="00491B24"/>
    <w:rsid w:val="00502BA7"/>
    <w:rsid w:val="005162F1"/>
    <w:rsid w:val="00535153"/>
    <w:rsid w:val="00554F82"/>
    <w:rsid w:val="0056390D"/>
    <w:rsid w:val="005719B0"/>
    <w:rsid w:val="005D10D6"/>
    <w:rsid w:val="007E3CE9"/>
    <w:rsid w:val="0083370B"/>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9A70076"/>
    <w:rsid w:val="0BFB189F"/>
    <w:rsid w:val="11BD75F7"/>
    <w:rsid w:val="13BE561A"/>
    <w:rsid w:val="15392994"/>
    <w:rsid w:val="18FE139B"/>
    <w:rsid w:val="2A891760"/>
    <w:rsid w:val="3029612C"/>
    <w:rsid w:val="32233903"/>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12288</Words>
  <Characters>12923</Characters>
  <Lines>4</Lines>
  <Paragraphs>1</Paragraphs>
  <TotalTime>12</TotalTime>
  <ScaleCrop>false</ScaleCrop>
  <LinksUpToDate>false</LinksUpToDate>
  <CharactersWithSpaces>13135</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姜哲文</cp:lastModifiedBy>
  <cp:lastPrinted>2018-12-31T10:56:00Z</cp:lastPrinted>
  <dcterms:modified xsi:type="dcterms:W3CDTF">2025-12-16T04:00:37Z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C734C92AAAF24344A0E4232D8EB3359B</vt:lpwstr>
  </property>
</Properties>
</file>