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8BE0E" w14:textId="77777777" w:rsidR="006F484B"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394FF508" w14:textId="77777777" w:rsidR="006F484B" w:rsidRDefault="006F484B">
      <w:pPr>
        <w:spacing w:line="540" w:lineRule="exact"/>
        <w:jc w:val="center"/>
        <w:rPr>
          <w:rFonts w:ascii="华文中宋" w:eastAsia="华文中宋" w:hAnsi="华文中宋" w:cs="宋体" w:hint="eastAsia"/>
          <w:b/>
          <w:kern w:val="0"/>
          <w:sz w:val="52"/>
          <w:szCs w:val="52"/>
        </w:rPr>
      </w:pPr>
    </w:p>
    <w:p w14:paraId="4B77F47E" w14:textId="77777777" w:rsidR="006F484B" w:rsidRDefault="006F484B">
      <w:pPr>
        <w:spacing w:line="540" w:lineRule="exact"/>
        <w:jc w:val="center"/>
        <w:rPr>
          <w:rFonts w:ascii="华文中宋" w:eastAsia="华文中宋" w:hAnsi="华文中宋" w:cs="宋体" w:hint="eastAsia"/>
          <w:b/>
          <w:kern w:val="0"/>
          <w:sz w:val="52"/>
          <w:szCs w:val="52"/>
        </w:rPr>
      </w:pPr>
    </w:p>
    <w:p w14:paraId="53EB75A4" w14:textId="77777777" w:rsidR="006F484B" w:rsidRDefault="006F484B">
      <w:pPr>
        <w:spacing w:line="540" w:lineRule="exact"/>
        <w:jc w:val="center"/>
        <w:rPr>
          <w:rFonts w:ascii="华文中宋" w:eastAsia="华文中宋" w:hAnsi="华文中宋" w:cs="宋体" w:hint="eastAsia"/>
          <w:b/>
          <w:kern w:val="0"/>
          <w:sz w:val="52"/>
          <w:szCs w:val="52"/>
        </w:rPr>
      </w:pPr>
    </w:p>
    <w:p w14:paraId="0B0CF5B0" w14:textId="77777777" w:rsidR="006F484B" w:rsidRDefault="006F484B">
      <w:pPr>
        <w:spacing w:line="540" w:lineRule="exact"/>
        <w:jc w:val="center"/>
        <w:rPr>
          <w:rFonts w:ascii="华文中宋" w:eastAsia="华文中宋" w:hAnsi="华文中宋" w:cs="宋体" w:hint="eastAsia"/>
          <w:b/>
          <w:kern w:val="0"/>
          <w:sz w:val="52"/>
          <w:szCs w:val="52"/>
        </w:rPr>
      </w:pPr>
    </w:p>
    <w:p w14:paraId="0B3A2400" w14:textId="77777777" w:rsidR="006F484B" w:rsidRPr="00C95469" w:rsidRDefault="006F484B">
      <w:pPr>
        <w:spacing w:line="540" w:lineRule="exact"/>
        <w:jc w:val="center"/>
        <w:rPr>
          <w:rFonts w:ascii="华文中宋" w:eastAsia="华文中宋" w:hAnsi="华文中宋" w:cs="宋体" w:hint="eastAsia"/>
          <w:b/>
          <w:kern w:val="0"/>
          <w:sz w:val="52"/>
          <w:szCs w:val="52"/>
        </w:rPr>
      </w:pPr>
    </w:p>
    <w:p w14:paraId="5083DD47" w14:textId="77777777" w:rsidR="006F484B" w:rsidRDefault="006F484B">
      <w:pPr>
        <w:spacing w:line="540" w:lineRule="exact"/>
        <w:jc w:val="center"/>
        <w:rPr>
          <w:rFonts w:ascii="华文中宋" w:eastAsia="华文中宋" w:hAnsi="华文中宋" w:cs="宋体" w:hint="eastAsia"/>
          <w:b/>
          <w:kern w:val="0"/>
          <w:sz w:val="52"/>
          <w:szCs w:val="52"/>
        </w:rPr>
      </w:pPr>
    </w:p>
    <w:p w14:paraId="6DCCDF5B" w14:textId="77777777" w:rsidR="006F484B"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67A19BD8" w14:textId="77777777" w:rsidR="006F484B" w:rsidRDefault="006F484B">
      <w:pPr>
        <w:spacing w:line="540" w:lineRule="exact"/>
        <w:jc w:val="center"/>
        <w:rPr>
          <w:rFonts w:ascii="华文中宋" w:eastAsia="华文中宋" w:hAnsi="华文中宋" w:cs="宋体" w:hint="eastAsia"/>
          <w:b/>
          <w:kern w:val="0"/>
          <w:sz w:val="52"/>
          <w:szCs w:val="52"/>
        </w:rPr>
      </w:pPr>
    </w:p>
    <w:p w14:paraId="3DE49BFD" w14:textId="77777777" w:rsidR="006F484B"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06410FAE" w14:textId="77777777" w:rsidR="006F484B" w:rsidRDefault="006F484B">
      <w:pPr>
        <w:spacing w:line="540" w:lineRule="exact"/>
        <w:jc w:val="center"/>
        <w:rPr>
          <w:rFonts w:eastAsia="仿宋_GB2312" w:hAnsi="宋体" w:cs="宋体" w:hint="eastAsia"/>
          <w:kern w:val="0"/>
          <w:sz w:val="30"/>
          <w:szCs w:val="30"/>
        </w:rPr>
      </w:pPr>
    </w:p>
    <w:p w14:paraId="090346BA" w14:textId="77777777" w:rsidR="006F484B" w:rsidRDefault="006F484B">
      <w:pPr>
        <w:spacing w:line="540" w:lineRule="exact"/>
        <w:jc w:val="center"/>
        <w:rPr>
          <w:rFonts w:eastAsia="仿宋_GB2312" w:hAnsi="宋体" w:cs="宋体" w:hint="eastAsia"/>
          <w:kern w:val="0"/>
          <w:sz w:val="30"/>
          <w:szCs w:val="30"/>
        </w:rPr>
      </w:pPr>
    </w:p>
    <w:p w14:paraId="5DBD101B" w14:textId="77777777" w:rsidR="006F484B" w:rsidRDefault="006F484B">
      <w:pPr>
        <w:spacing w:line="540" w:lineRule="exact"/>
        <w:jc w:val="center"/>
        <w:rPr>
          <w:rFonts w:eastAsia="仿宋_GB2312" w:hAnsi="宋体" w:cs="宋体" w:hint="eastAsia"/>
          <w:kern w:val="0"/>
          <w:sz w:val="30"/>
          <w:szCs w:val="30"/>
        </w:rPr>
      </w:pPr>
    </w:p>
    <w:p w14:paraId="391FC10A" w14:textId="77777777" w:rsidR="006F484B" w:rsidRDefault="006F484B">
      <w:pPr>
        <w:spacing w:line="540" w:lineRule="exact"/>
        <w:jc w:val="center"/>
        <w:rPr>
          <w:rFonts w:eastAsia="仿宋_GB2312" w:hAnsi="宋体" w:cs="宋体" w:hint="eastAsia"/>
          <w:kern w:val="0"/>
          <w:sz w:val="30"/>
          <w:szCs w:val="30"/>
        </w:rPr>
      </w:pPr>
    </w:p>
    <w:p w14:paraId="123D5F52" w14:textId="77777777" w:rsidR="006F484B" w:rsidRDefault="006F484B">
      <w:pPr>
        <w:spacing w:line="540" w:lineRule="exact"/>
        <w:jc w:val="center"/>
        <w:rPr>
          <w:rFonts w:eastAsia="仿宋_GB2312" w:hAnsi="宋体" w:cs="宋体" w:hint="eastAsia"/>
          <w:kern w:val="0"/>
          <w:sz w:val="30"/>
          <w:szCs w:val="30"/>
        </w:rPr>
      </w:pPr>
    </w:p>
    <w:p w14:paraId="577E9997" w14:textId="77777777" w:rsidR="006F484B" w:rsidRDefault="006F484B">
      <w:pPr>
        <w:spacing w:line="540" w:lineRule="exact"/>
        <w:jc w:val="center"/>
        <w:rPr>
          <w:rFonts w:eastAsia="仿宋_GB2312" w:hAnsi="宋体" w:cs="宋体" w:hint="eastAsia"/>
          <w:kern w:val="0"/>
          <w:sz w:val="30"/>
          <w:szCs w:val="30"/>
        </w:rPr>
      </w:pPr>
    </w:p>
    <w:p w14:paraId="2ED716AA" w14:textId="77777777" w:rsidR="006F484B" w:rsidRDefault="006F484B">
      <w:pPr>
        <w:spacing w:line="540" w:lineRule="exact"/>
        <w:rPr>
          <w:rFonts w:eastAsia="仿宋_GB2312" w:hAnsi="宋体" w:cs="宋体" w:hint="eastAsia"/>
          <w:kern w:val="0"/>
          <w:sz w:val="30"/>
          <w:szCs w:val="30"/>
        </w:rPr>
      </w:pPr>
    </w:p>
    <w:p w14:paraId="0C8D4550" w14:textId="77777777" w:rsidR="006F484B"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2A8C177" w14:textId="77777777" w:rsidR="006F484B"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优抚对象补助经费</w:t>
      </w:r>
    </w:p>
    <w:p w14:paraId="3F12BCEF" w14:textId="77777777" w:rsidR="006F484B"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lastRenderedPageBreak/>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乌鲁木齐市米东区退役军人事务局</w:t>
      </w:r>
    </w:p>
    <w:p w14:paraId="4CE6FA56" w14:textId="77777777" w:rsidR="006F484B"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乌鲁木齐市米东区退役军人事务局</w:t>
      </w:r>
    </w:p>
    <w:p w14:paraId="541E8317" w14:textId="77777777" w:rsidR="006F484B"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王明</w:t>
      </w:r>
    </w:p>
    <w:p w14:paraId="3197FEFE" w14:textId="77777777" w:rsidR="006F484B"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2024年06月03日</w:t>
      </w:r>
    </w:p>
    <w:p w14:paraId="2F1E36DB" w14:textId="77777777" w:rsidR="006F484B" w:rsidRDefault="006F484B">
      <w:pPr>
        <w:spacing w:line="700" w:lineRule="exact"/>
        <w:ind w:firstLineChars="236" w:firstLine="708"/>
        <w:jc w:val="left"/>
        <w:rPr>
          <w:rFonts w:eastAsia="仿宋_GB2312" w:hAnsi="宋体" w:cs="宋体" w:hint="eastAsia"/>
          <w:kern w:val="0"/>
          <w:sz w:val="30"/>
          <w:szCs w:val="30"/>
        </w:rPr>
      </w:pPr>
    </w:p>
    <w:p w14:paraId="352B4E92" w14:textId="77777777" w:rsidR="006F484B" w:rsidRDefault="006F484B">
      <w:pPr>
        <w:spacing w:line="540" w:lineRule="exact"/>
        <w:rPr>
          <w:rStyle w:val="ad"/>
          <w:rFonts w:ascii="黑体" w:eastAsia="黑体" w:hAnsi="黑体" w:hint="eastAsia"/>
          <w:b w:val="0"/>
          <w:spacing w:val="-4"/>
          <w:sz w:val="32"/>
          <w:szCs w:val="32"/>
        </w:rPr>
      </w:pPr>
    </w:p>
    <w:p w14:paraId="5971F6CD"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416066B" w14:textId="77777777" w:rsidR="006F484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C00F895"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项目背景、主要内容及实施情况</w:t>
      </w:r>
      <w:r>
        <w:rPr>
          <w:rStyle w:val="ad"/>
          <w:rFonts w:ascii="楷体" w:eastAsia="楷体" w:hAnsi="楷体" w:hint="eastAsia"/>
          <w:b w:val="0"/>
          <w:bCs w:val="0"/>
          <w:spacing w:val="-4"/>
          <w:sz w:val="32"/>
          <w:szCs w:val="32"/>
        </w:rPr>
        <w:br/>
        <w:t>（1）该项目实施背景：根据中国《军人抚恤优待条例》规定，中国人民解放军现役军人、服现役或者退出现役的残疾军人以及复员军人、退伍军人、烈士遗属、因公牺牲军人遗属、病故军人遗属、现役军人家属统称为优抚对象，按规定享受抚恤优待。根据《关于提前下达2022年中央财政优抚对象补助资金预算直达资金的通知》（乌财社[2021]371号）及《关于提前下达2022年自治区财政优抚对象补助资金预算直达资金的通知》（乌财社[2021]372号），优抚补助专项资金是自治区财政下达用于米东区退役军人优抚对象生活补贴发放专项资金。经《关于提前下达2022年中央财政优抚对象补助资金预算直达资金的通知》（乌财社[2021]371号）及《关于提前下达2022年自治区财政优抚对象补助资金预算直达资金的通知》（乌财社[2021]372号）文件批准，该项目资金得以保障，项目期计划为一年。</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（2）项目2023年的主要实施内容：①为农村退役老军人定期发放生活</w:t>
      </w:r>
      <w:proofErr w:type="gramStart"/>
      <w:r>
        <w:rPr>
          <w:rStyle w:val="ad"/>
          <w:rFonts w:ascii="楷体" w:eastAsia="楷体" w:hAnsi="楷体" w:hint="eastAsia"/>
          <w:b w:val="0"/>
          <w:bCs w:val="0"/>
          <w:spacing w:val="-4"/>
          <w:sz w:val="32"/>
          <w:szCs w:val="32"/>
        </w:rPr>
        <w:t>补助;</w:t>
      </w:r>
      <w:proofErr w:type="gramEnd"/>
      <w:r>
        <w:rPr>
          <w:rStyle w:val="ad"/>
          <w:rFonts w:ascii="楷体" w:eastAsia="楷体" w:hAnsi="楷体" w:hint="eastAsia"/>
          <w:b w:val="0"/>
          <w:bCs w:val="0"/>
          <w:spacing w:val="-4"/>
          <w:sz w:val="32"/>
          <w:szCs w:val="32"/>
        </w:rPr>
        <w:t>②为其他重点优抚对象发放定期生活</w:t>
      </w:r>
      <w:proofErr w:type="gramStart"/>
      <w:r>
        <w:rPr>
          <w:rStyle w:val="ad"/>
          <w:rFonts w:ascii="楷体" w:eastAsia="楷体" w:hAnsi="楷体" w:hint="eastAsia"/>
          <w:b w:val="0"/>
          <w:bCs w:val="0"/>
          <w:spacing w:val="-4"/>
          <w:sz w:val="32"/>
          <w:szCs w:val="32"/>
        </w:rPr>
        <w:t>补助;</w:t>
      </w:r>
      <w:proofErr w:type="gramEnd"/>
      <w:r>
        <w:rPr>
          <w:rStyle w:val="ad"/>
          <w:rFonts w:ascii="楷体" w:eastAsia="楷体" w:hAnsi="楷体" w:hint="eastAsia"/>
          <w:b w:val="0"/>
          <w:bCs w:val="0"/>
          <w:spacing w:val="-4"/>
          <w:sz w:val="32"/>
          <w:szCs w:val="32"/>
        </w:rPr>
        <w:t>③为伤残退役军人发放定期生活补助。</w:t>
      </w:r>
      <w:r>
        <w:rPr>
          <w:rStyle w:val="ad"/>
          <w:rFonts w:ascii="楷体" w:eastAsia="楷体" w:hAnsi="楷体" w:hint="eastAsia"/>
          <w:b w:val="0"/>
          <w:bCs w:val="0"/>
          <w:spacing w:val="-4"/>
          <w:sz w:val="32"/>
          <w:szCs w:val="32"/>
        </w:rPr>
        <w:br/>
        <w:t>（3）2023年当年完成情况：实际完成情况①为456名农村退役老军人定期发放生活</w:t>
      </w:r>
      <w:proofErr w:type="gramStart"/>
      <w:r>
        <w:rPr>
          <w:rStyle w:val="ad"/>
          <w:rFonts w:ascii="楷体" w:eastAsia="楷体" w:hAnsi="楷体" w:hint="eastAsia"/>
          <w:b w:val="0"/>
          <w:bCs w:val="0"/>
          <w:spacing w:val="-4"/>
          <w:sz w:val="32"/>
          <w:szCs w:val="32"/>
        </w:rPr>
        <w:t>补助;</w:t>
      </w:r>
      <w:proofErr w:type="gramEnd"/>
      <w:r>
        <w:rPr>
          <w:rStyle w:val="ad"/>
          <w:rFonts w:ascii="楷体" w:eastAsia="楷体" w:hAnsi="楷体" w:hint="eastAsia"/>
          <w:b w:val="0"/>
          <w:bCs w:val="0"/>
          <w:spacing w:val="-4"/>
          <w:sz w:val="32"/>
          <w:szCs w:val="32"/>
        </w:rPr>
        <w:t>②为85名其他重点优抚对象发放定期生活</w:t>
      </w:r>
      <w:proofErr w:type="gramStart"/>
      <w:r>
        <w:rPr>
          <w:rStyle w:val="ad"/>
          <w:rFonts w:ascii="楷体" w:eastAsia="楷体" w:hAnsi="楷体" w:hint="eastAsia"/>
          <w:b w:val="0"/>
          <w:bCs w:val="0"/>
          <w:spacing w:val="-4"/>
          <w:sz w:val="32"/>
          <w:szCs w:val="32"/>
        </w:rPr>
        <w:t>补助;</w:t>
      </w:r>
      <w:proofErr w:type="gramEnd"/>
      <w:r>
        <w:rPr>
          <w:rStyle w:val="ad"/>
          <w:rFonts w:ascii="楷体" w:eastAsia="楷体" w:hAnsi="楷体" w:hint="eastAsia"/>
          <w:b w:val="0"/>
          <w:bCs w:val="0"/>
          <w:spacing w:val="-4"/>
          <w:sz w:val="32"/>
          <w:szCs w:val="32"/>
        </w:rPr>
        <w:t>③为109名伤残退役军人发放定期生活补助。</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br/>
        <w:t>（1）该项目资金投入情况：经《关于提前下达2022年中央财政优抚对象补助资金预算直达资金的通知》（乌财社[2021]371号）及《关于提前下达2022年自治区财政优抚对象补助资金预算直达资金的通知》（乌财社[2021]372号）号文件批准。项目系2023年共安排预算1968.58万元，其中中央资金1420.58万元，自治区资金548万元。该项目于2023年年中资金无。</w:t>
      </w:r>
      <w:r>
        <w:rPr>
          <w:rStyle w:val="ad"/>
          <w:rFonts w:ascii="楷体" w:eastAsia="楷体" w:hAnsi="楷体" w:hint="eastAsia"/>
          <w:b w:val="0"/>
          <w:bCs w:val="0"/>
          <w:spacing w:val="-4"/>
          <w:sz w:val="32"/>
          <w:szCs w:val="32"/>
        </w:rPr>
        <w:br/>
        <w:t>（2）该项目资金使用情况：①总预算情况：1968.58万元；②资金投入情况方面包括：农村退役老</w:t>
      </w:r>
      <w:proofErr w:type="gramStart"/>
      <w:r>
        <w:rPr>
          <w:rStyle w:val="ad"/>
          <w:rFonts w:ascii="楷体" w:eastAsia="楷体" w:hAnsi="楷体" w:hint="eastAsia"/>
          <w:b w:val="0"/>
          <w:bCs w:val="0"/>
          <w:spacing w:val="-4"/>
          <w:sz w:val="32"/>
          <w:szCs w:val="32"/>
        </w:rPr>
        <w:t>军人;</w:t>
      </w:r>
      <w:proofErr w:type="gramEnd"/>
      <w:r>
        <w:rPr>
          <w:rStyle w:val="ad"/>
          <w:rFonts w:ascii="楷体" w:eastAsia="楷体" w:hAnsi="楷体" w:hint="eastAsia"/>
          <w:b w:val="0"/>
          <w:bCs w:val="0"/>
          <w:spacing w:val="-4"/>
          <w:sz w:val="32"/>
          <w:szCs w:val="32"/>
        </w:rPr>
        <w:t>其他重点优抚</w:t>
      </w:r>
      <w:proofErr w:type="gramStart"/>
      <w:r>
        <w:rPr>
          <w:rStyle w:val="ad"/>
          <w:rFonts w:ascii="楷体" w:eastAsia="楷体" w:hAnsi="楷体" w:hint="eastAsia"/>
          <w:b w:val="0"/>
          <w:bCs w:val="0"/>
          <w:spacing w:val="-4"/>
          <w:sz w:val="32"/>
          <w:szCs w:val="32"/>
        </w:rPr>
        <w:t>对象;</w:t>
      </w:r>
      <w:proofErr w:type="gramEnd"/>
      <w:r>
        <w:rPr>
          <w:rStyle w:val="ad"/>
          <w:rFonts w:ascii="楷体" w:eastAsia="楷体" w:hAnsi="楷体" w:hint="eastAsia"/>
          <w:b w:val="0"/>
          <w:bCs w:val="0"/>
          <w:spacing w:val="-4"/>
          <w:sz w:val="32"/>
          <w:szCs w:val="32"/>
        </w:rPr>
        <w:t>伤残退役军人发放定期生活补助，预算投入情况为农村退役老军人定期生活补助投入</w:t>
      </w:r>
      <w:proofErr w:type="gramStart"/>
      <w:r>
        <w:rPr>
          <w:rStyle w:val="ad"/>
          <w:rFonts w:ascii="楷体" w:eastAsia="楷体" w:hAnsi="楷体" w:hint="eastAsia"/>
          <w:b w:val="0"/>
          <w:bCs w:val="0"/>
          <w:spacing w:val="-4"/>
          <w:sz w:val="32"/>
          <w:szCs w:val="32"/>
        </w:rPr>
        <w:t>1005.55万元;</w:t>
      </w:r>
      <w:proofErr w:type="gramEnd"/>
      <w:r>
        <w:rPr>
          <w:rStyle w:val="ad"/>
          <w:rFonts w:ascii="楷体" w:eastAsia="楷体" w:hAnsi="楷体" w:hint="eastAsia"/>
          <w:b w:val="0"/>
          <w:bCs w:val="0"/>
          <w:spacing w:val="-4"/>
          <w:sz w:val="32"/>
          <w:szCs w:val="32"/>
        </w:rPr>
        <w:t>其他重点优抚对象定期生活补助投入</w:t>
      </w:r>
      <w:proofErr w:type="gramStart"/>
      <w:r>
        <w:rPr>
          <w:rStyle w:val="ad"/>
          <w:rFonts w:ascii="楷体" w:eastAsia="楷体" w:hAnsi="楷体" w:hint="eastAsia"/>
          <w:b w:val="0"/>
          <w:bCs w:val="0"/>
          <w:spacing w:val="-4"/>
          <w:sz w:val="32"/>
          <w:szCs w:val="32"/>
        </w:rPr>
        <w:t>568.13万元;</w:t>
      </w:r>
      <w:proofErr w:type="gramEnd"/>
      <w:r>
        <w:rPr>
          <w:rStyle w:val="ad"/>
          <w:rFonts w:ascii="楷体" w:eastAsia="楷体" w:hAnsi="楷体" w:hint="eastAsia"/>
          <w:b w:val="0"/>
          <w:bCs w:val="0"/>
          <w:spacing w:val="-4"/>
          <w:sz w:val="32"/>
          <w:szCs w:val="32"/>
        </w:rPr>
        <w:t>伤残退役军人发放定期生活补助投入394.9万元，资金执行情况分别为农村退役老军人定期生活补助投入</w:t>
      </w:r>
      <w:proofErr w:type="gramStart"/>
      <w:r>
        <w:rPr>
          <w:rStyle w:val="ad"/>
          <w:rFonts w:ascii="楷体" w:eastAsia="楷体" w:hAnsi="楷体" w:hint="eastAsia"/>
          <w:b w:val="0"/>
          <w:bCs w:val="0"/>
          <w:spacing w:val="-4"/>
          <w:sz w:val="32"/>
          <w:szCs w:val="32"/>
        </w:rPr>
        <w:t>1005.55万元;</w:t>
      </w:r>
      <w:proofErr w:type="gramEnd"/>
      <w:r>
        <w:rPr>
          <w:rStyle w:val="ad"/>
          <w:rFonts w:ascii="楷体" w:eastAsia="楷体" w:hAnsi="楷体" w:hint="eastAsia"/>
          <w:b w:val="0"/>
          <w:bCs w:val="0"/>
          <w:spacing w:val="-4"/>
          <w:sz w:val="32"/>
          <w:szCs w:val="32"/>
        </w:rPr>
        <w:t>其他重点优抚对象定期生活补助投入</w:t>
      </w:r>
      <w:proofErr w:type="gramStart"/>
      <w:r>
        <w:rPr>
          <w:rStyle w:val="ad"/>
          <w:rFonts w:ascii="楷体" w:eastAsia="楷体" w:hAnsi="楷体" w:hint="eastAsia"/>
          <w:b w:val="0"/>
          <w:bCs w:val="0"/>
          <w:spacing w:val="-4"/>
          <w:sz w:val="32"/>
          <w:szCs w:val="32"/>
        </w:rPr>
        <w:t>568.13万元;</w:t>
      </w:r>
      <w:proofErr w:type="gramEnd"/>
      <w:r>
        <w:rPr>
          <w:rStyle w:val="ad"/>
          <w:rFonts w:ascii="楷体" w:eastAsia="楷体" w:hAnsi="楷体" w:hint="eastAsia"/>
          <w:b w:val="0"/>
          <w:bCs w:val="0"/>
          <w:spacing w:val="-4"/>
          <w:sz w:val="32"/>
          <w:szCs w:val="32"/>
        </w:rPr>
        <w:t>伤残退役军人发放定期生活补助投入394.9万元；③预算执行率：100%。</w:t>
      </w:r>
    </w:p>
    <w:p w14:paraId="2C4D516F" w14:textId="77777777" w:rsidR="006F484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2D39D8FB"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lastRenderedPageBreak/>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br/>
        <w:t>该项目为当年一次性项目。</w:t>
      </w:r>
      <w:r>
        <w:rPr>
          <w:rStyle w:val="ad"/>
          <w:rFonts w:ascii="楷体" w:eastAsia="楷体" w:hAnsi="楷体" w:hint="eastAsia"/>
          <w:b w:val="0"/>
          <w:bCs w:val="0"/>
          <w:spacing w:val="-4"/>
          <w:sz w:val="32"/>
          <w:szCs w:val="32"/>
        </w:rPr>
        <w:br/>
        <w:t>该项目总体绩效目标：按照发放标准定时定期为优抚对象发放生活补助。这些人为新中国的建立及社会主义建设做出了重要贡献，保障他们的生活水平，体现党和国家对优抚对象的关爱，同时可以鼓励现役军人积极投身国防建设，提高军人的荣誉感，为祖国的长治久安做贡献。</w:t>
      </w:r>
    </w:p>
    <w:p w14:paraId="1F45DDDE"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65D4877" w14:textId="77777777" w:rsidR="006F484B"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3B1ED9F" w14:textId="595674EE"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br/>
        <w:t>首先，该优抚对象生活补助经费是为了保障优抚对象每月正常生活水平的需要，坚决把发放优抚对象生活补助的工作做实做细，切实保障每位优抚对象每月的基本生活水平。时间范围是2023</w:t>
      </w:r>
      <w:r>
        <w:rPr>
          <w:rStyle w:val="ad"/>
          <w:rFonts w:ascii="楷体" w:eastAsia="楷体" w:hAnsi="楷体" w:hint="eastAsia"/>
          <w:b w:val="0"/>
          <w:bCs w:val="0"/>
          <w:spacing w:val="-4"/>
          <w:sz w:val="32"/>
          <w:szCs w:val="32"/>
        </w:rPr>
        <w:lastRenderedPageBreak/>
        <w:t>年1月1日-12月31日。要求每月按时申请并及时为每位优抚对象发放生活补助，根据本年优抚对象实际发放人数，及时确认优抚对象基本信息准确，确保资金发放及时，切实做好优抚对象补助经费发放工作。</w:t>
      </w:r>
      <w:r>
        <w:rPr>
          <w:rStyle w:val="ad"/>
          <w:rFonts w:ascii="楷体" w:eastAsia="楷体" w:hAnsi="楷体" w:hint="eastAsia"/>
          <w:b w:val="0"/>
          <w:bCs w:val="0"/>
          <w:spacing w:val="-4"/>
          <w:sz w:val="32"/>
          <w:szCs w:val="32"/>
        </w:rPr>
        <w:br/>
        <w:t>其次，该项资金</w:t>
      </w:r>
      <w:r w:rsidR="00C95469">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2023年12月均支付给每位优抚对象共计：1968.58万元。其中：农村退役老军人定期生活补助投入</w:t>
      </w:r>
      <w:proofErr w:type="gramStart"/>
      <w:r>
        <w:rPr>
          <w:rStyle w:val="ad"/>
          <w:rFonts w:ascii="楷体" w:eastAsia="楷体" w:hAnsi="楷体" w:hint="eastAsia"/>
          <w:b w:val="0"/>
          <w:bCs w:val="0"/>
          <w:spacing w:val="-4"/>
          <w:sz w:val="32"/>
          <w:szCs w:val="32"/>
        </w:rPr>
        <w:t>1005.55万元;</w:t>
      </w:r>
      <w:proofErr w:type="gramEnd"/>
      <w:r>
        <w:rPr>
          <w:rStyle w:val="ad"/>
          <w:rFonts w:ascii="楷体" w:eastAsia="楷体" w:hAnsi="楷体" w:hint="eastAsia"/>
          <w:b w:val="0"/>
          <w:bCs w:val="0"/>
          <w:spacing w:val="-4"/>
          <w:sz w:val="32"/>
          <w:szCs w:val="32"/>
        </w:rPr>
        <w:t>其他重点优抚对象定期生活补助投入</w:t>
      </w:r>
      <w:proofErr w:type="gramStart"/>
      <w:r>
        <w:rPr>
          <w:rStyle w:val="ad"/>
          <w:rFonts w:ascii="楷体" w:eastAsia="楷体" w:hAnsi="楷体" w:hint="eastAsia"/>
          <w:b w:val="0"/>
          <w:bCs w:val="0"/>
          <w:spacing w:val="-4"/>
          <w:sz w:val="32"/>
          <w:szCs w:val="32"/>
        </w:rPr>
        <w:t>568.13万元;</w:t>
      </w:r>
      <w:proofErr w:type="gramEnd"/>
      <w:r>
        <w:rPr>
          <w:rStyle w:val="ad"/>
          <w:rFonts w:ascii="楷体" w:eastAsia="楷体" w:hAnsi="楷体" w:hint="eastAsia"/>
          <w:b w:val="0"/>
          <w:bCs w:val="0"/>
          <w:spacing w:val="-4"/>
          <w:sz w:val="32"/>
          <w:szCs w:val="32"/>
        </w:rPr>
        <w:t>伤残退役军人发放定期生活补助投入394.9万元。项目的实施有效解决了优抚对象生活困难问题，为他们保障了基本生活水平。</w:t>
      </w:r>
      <w:r>
        <w:rPr>
          <w:rStyle w:val="ad"/>
          <w:rFonts w:ascii="楷体" w:eastAsia="楷体" w:hAnsi="楷体" w:hint="eastAsia"/>
          <w:b w:val="0"/>
          <w:bCs w:val="0"/>
          <w:spacing w:val="-4"/>
          <w:sz w:val="32"/>
          <w:szCs w:val="32"/>
        </w:rPr>
        <w:br/>
        <w:t>最后，该优抚对象补助经费项目资金每月通过米东区财政拨付给我单位，再由我单位直接支付给各优抚对象，付款凭证，“三重一大”会议记录，国库集中支付单据等原始单据均完整。</w:t>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及绩效目标、资金投入、资金管理、组织实施、数量指标、质量指标、时效指标、成本指标和效益指标等进行深入调研和分析，进一步了解优抚对象补助经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（1）绩效评价的对象：优抚对象补助经费</w:t>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br/>
        <w:t>（2）项目范围：抚对象补助经费项目的基本情况：我区共有650名优抚对象，优抚对象包括农村退役老军人，其他重点优抚对象，伤残退役军人，他们都是曾经为国家做过贡献的人，保障他们每月的生活水平是必要的。因此我单位每月根据实际发放名单及发放标准按时为优抚对象发放此项补助。我单位评价工作的开展情况是每月根据各乡镇提供的人员名单进行核实确保信息准确，在系统上进行预算。最后进行支付申请，财政审批通过后由米东区财政局拨钱给我单位，我单位再通过银行将补助发放给优抚对象。优抚对象生活补助经费项目实施的产出情况为产出数量：工作完成情况为100%完成，产出时效：资金发放及时率达90%。我单位取得的效益为社会效益，社会效益为有效保障了优抚对象生活水平，同时提高了现役军人投身国防事业的积极性、局领导高度重视，所有经费实行集中统一管理，做到有计划开支。在资金使用管理上严格遵守财务公开制度，落实资金使用流向，专款专用，严格按照要求管理和使用资金，为优抚对象生活补助工作提供了坚强有力的资金保障。在优抚对象生活补助资金发放时主要存在以下几个问题：1、资金使用管理有待进一步完善；2、信息收集渠道有限，各部门间数据交流不够及时，数据不统一，影响数据准确性；3、在人员配备方面，需加强相关人员的业务知识。对于优抚对象补助经费项目的建议为：（一）提高预算編制准确性，规范资使用情况；（二）建立信息共享机制，加强与相关部门的互通；（三）加强相关人员的业务知识培训，进一步提高部门整</w:t>
      </w:r>
      <w:r>
        <w:rPr>
          <w:rStyle w:val="ad"/>
          <w:rFonts w:ascii="楷体" w:eastAsia="楷体" w:hAnsi="楷体" w:hint="eastAsia"/>
          <w:b w:val="0"/>
          <w:bCs w:val="0"/>
          <w:spacing w:val="-4"/>
          <w:sz w:val="32"/>
          <w:szCs w:val="32"/>
        </w:rPr>
        <w:lastRenderedPageBreak/>
        <w:t>体绩效目标设定的合理性。该项目其他需要说明的问题有：（一）项目支出政策和路径设计科学，符合实际需要；（二）项目安排准确，未发现背离项目立项初衷的情况；（三）项目的申报、审核机制完善；（四）未发现虚假行为和骗取财政资金的问题。</w:t>
      </w:r>
    </w:p>
    <w:p w14:paraId="6BF5D848" w14:textId="77777777" w:rsidR="006F484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51773518"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（3）可比性原则：对同类评价对象要设定共性的绩效评价指标，以便于评价结果可以相互比较。</w:t>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br/>
        <w:t>一级指标 二级指标 三级指标 指标解释 指标说明</w:t>
      </w:r>
      <w:r>
        <w:rPr>
          <w:rStyle w:val="ad"/>
          <w:rFonts w:ascii="楷体" w:eastAsia="楷体" w:hAnsi="楷体" w:hint="eastAsia"/>
          <w:b w:val="0"/>
          <w:bCs w:val="0"/>
          <w:spacing w:val="-4"/>
          <w:sz w:val="32"/>
          <w:szCs w:val="32"/>
        </w:rPr>
        <w:br/>
        <w:t>决策 项目立项 立项依据</w:t>
      </w:r>
      <w:r>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br/>
        <w:t>立项程序</w:t>
      </w:r>
      <w:r>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①项目是否按照规定的程序申请设立；</w:t>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br/>
        <w:t>绩效目标 绩效目标</w:t>
      </w:r>
      <w:r>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br/>
        <w:t>决策 绩效目标 绩效指标</w:t>
      </w:r>
      <w:r>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br/>
        <w:t>资金投入 预算编制</w:t>
      </w:r>
      <w:r>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③预算额度测算依据是否充分，是否按照标准编制；</w:t>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br/>
        <w:t>资金分配</w:t>
      </w:r>
      <w:r>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br/>
        <w:t>过程 资金管理 资金使用</w:t>
      </w:r>
      <w:r>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②资金的拨付是否有完整的审批程序和手续；</w:t>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br/>
        <w:t>组织实施 管理制度</w:t>
      </w:r>
      <w:r>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br/>
        <w:t>制度执行</w:t>
      </w:r>
      <w:r>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br/>
        <w:t>产出 产出数量 符合条件享受补贴人数 优抚对象补助经费项目实施的实际享受补贴的人数与计划享受补贴的人数的比率。 实际完成率=（实际发放人数/目标发放人数）×100%。</w:t>
      </w:r>
      <w:r>
        <w:rPr>
          <w:rStyle w:val="ad"/>
          <w:rFonts w:ascii="楷体" w:eastAsia="楷体" w:hAnsi="楷体" w:hint="eastAsia"/>
          <w:b w:val="0"/>
          <w:bCs w:val="0"/>
          <w:spacing w:val="-4"/>
          <w:sz w:val="32"/>
          <w:szCs w:val="32"/>
        </w:rPr>
        <w:br/>
        <w:t>产出质量 各类优抚对象补助按标准规定执行的执行率 优抚对象补助经费项目的实际按标准执行的比率与计划按标准执行比率的比率。 实际执行率=（实际按标准执行的比率/计划按标准执行比率）×100%。</w:t>
      </w:r>
      <w:r>
        <w:rPr>
          <w:rStyle w:val="ad"/>
          <w:rFonts w:ascii="楷体" w:eastAsia="楷体" w:hAnsi="楷体" w:hint="eastAsia"/>
          <w:b w:val="0"/>
          <w:bCs w:val="0"/>
          <w:spacing w:val="-4"/>
          <w:sz w:val="32"/>
          <w:szCs w:val="32"/>
        </w:rPr>
        <w:br/>
        <w:t>产出时效 优抚对象补助经费发放及时率 优抚对象补助经费资金实际发放时间与计划发放时间的比较，用以反映和考核项目产</w:t>
      </w:r>
      <w:r>
        <w:rPr>
          <w:rStyle w:val="ad"/>
          <w:rFonts w:ascii="楷体" w:eastAsia="楷体" w:hAnsi="楷体" w:hint="eastAsia"/>
          <w:b w:val="0"/>
          <w:bCs w:val="0"/>
          <w:spacing w:val="-4"/>
          <w:sz w:val="32"/>
          <w:szCs w:val="32"/>
        </w:rPr>
        <w:lastRenderedPageBreak/>
        <w:t>出时效目标的实现程度。 实际发放时间：项目实施单位发放该资金实际的时间。</w:t>
      </w:r>
      <w:r>
        <w:rPr>
          <w:rStyle w:val="ad"/>
          <w:rFonts w:ascii="楷体" w:eastAsia="楷体" w:hAnsi="楷体" w:hint="eastAsia"/>
          <w:b w:val="0"/>
          <w:bCs w:val="0"/>
          <w:spacing w:val="-4"/>
          <w:sz w:val="32"/>
          <w:szCs w:val="32"/>
        </w:rPr>
        <w:br/>
        <w:t>计划完成时间：按照资金实施计划或相关规定发放该资金所需的时间。</w:t>
      </w:r>
      <w:r>
        <w:rPr>
          <w:rStyle w:val="ad"/>
          <w:rFonts w:ascii="楷体" w:eastAsia="楷体" w:hAnsi="楷体" w:hint="eastAsia"/>
          <w:b w:val="0"/>
          <w:bCs w:val="0"/>
          <w:spacing w:val="-4"/>
          <w:sz w:val="32"/>
          <w:szCs w:val="32"/>
        </w:rPr>
        <w:br/>
        <w:t>产出成本 政策资金发放完成成本率 优抚对象补助经费资金实际发放成本与计划发放成本的比率。 政策资金发放完成成本率=（实际发放成本/计划发放成本）×100%。</w:t>
      </w:r>
      <w:r>
        <w:rPr>
          <w:rStyle w:val="ad"/>
          <w:rFonts w:ascii="楷体" w:eastAsia="楷体" w:hAnsi="楷体" w:hint="eastAsia"/>
          <w:b w:val="0"/>
          <w:bCs w:val="0"/>
          <w:spacing w:val="-4"/>
          <w:sz w:val="32"/>
          <w:szCs w:val="32"/>
        </w:rPr>
        <w:br/>
        <w:t>效益 社会效益指标 解决优抚对象生活困难问题产生的社会效益 及时保障优抚对象的生活水平不低于当地居民平均生活水平，解决优抚对象生活困难问题。可以提高现役军人投身国防事业的积极性。 保障优抚对象的生活水平不低于当地居民平均生活水平，解决优抚对象生活困难问题。可以带来的社会效益</w:t>
      </w:r>
      <w:r>
        <w:rPr>
          <w:rStyle w:val="ad"/>
          <w:rFonts w:ascii="楷体" w:eastAsia="楷体" w:hAnsi="楷体" w:hint="eastAsia"/>
          <w:b w:val="0"/>
          <w:bCs w:val="0"/>
          <w:spacing w:val="-4"/>
          <w:sz w:val="32"/>
          <w:szCs w:val="32"/>
        </w:rPr>
        <w:br/>
        <w:t>满意度指标完成情况分析 满意度指标 享受优抚政策的优抚对象的满意度 优抚对象对项目实施效果的满意程度。 优抚对象指享受优抚政策的对象，采用满意度调查表的方式进行调查。</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br/>
        <w:t>《关于印发&lt;项目支出绩效评价管理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（3）因素分析法。是指综合分析影响绩效目标实现、实施效果的内外部因素的方法。</w:t>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br/>
        <w:t>根据本项目（优抚对象补助经费）的特点，本次评价主要采用比较法和公众评判法，对项目总预算和明细预算的内容、标准、计划是否经济合理进行深入分析，以考察实际产出和效益是否达到预期。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br/>
        <w:t>·《中共中央国务院关于全面实施预算绩效管理的意见》（中发</w:t>
      </w:r>
      <w:r>
        <w:rPr>
          <w:rStyle w:val="ad"/>
          <w:rFonts w:ascii="楷体" w:eastAsia="楷体" w:hAnsi="楷体" w:hint="eastAsia"/>
          <w:b w:val="0"/>
          <w:bCs w:val="0"/>
          <w:spacing w:val="-4"/>
          <w:sz w:val="32"/>
          <w:szCs w:val="32"/>
        </w:rPr>
        <w:lastRenderedPageBreak/>
        <w:t>〔2018〕34号）</w:t>
      </w:r>
      <w:r>
        <w:rPr>
          <w:rStyle w:val="ad"/>
          <w:rFonts w:ascii="楷体" w:eastAsia="楷体" w:hAnsi="楷体" w:hint="eastAsia"/>
          <w:b w:val="0"/>
          <w:bCs w:val="0"/>
          <w:spacing w:val="-4"/>
          <w:sz w:val="32"/>
          <w:szCs w:val="32"/>
        </w:rPr>
        <w:br/>
        <w:t>·《关于印发&lt;乌鲁木齐市本级部门预算绩效目标管理暂行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br/>
        <w:t>《乌财社[2022]410号关于提前下达2023年中央财政优抚对象补助经费预算[第二批][直达资金]的通知》</w:t>
      </w:r>
      <w:r>
        <w:rPr>
          <w:rStyle w:val="ad"/>
          <w:rFonts w:ascii="楷体" w:eastAsia="楷体" w:hAnsi="楷体" w:hint="eastAsia"/>
          <w:b w:val="0"/>
          <w:bCs w:val="0"/>
          <w:spacing w:val="-4"/>
          <w:sz w:val="32"/>
          <w:szCs w:val="32"/>
        </w:rPr>
        <w:br/>
        <w:t>《乌财社[2022]413号关于提前下达2023年自治区财政优抚对象补助经费预算[直达资金]的通知》</w:t>
      </w:r>
      <w:r>
        <w:rPr>
          <w:rStyle w:val="ad"/>
          <w:rFonts w:ascii="楷体" w:eastAsia="楷体" w:hAnsi="楷体" w:hint="eastAsia"/>
          <w:b w:val="0"/>
          <w:bCs w:val="0"/>
          <w:spacing w:val="-4"/>
          <w:sz w:val="32"/>
          <w:szCs w:val="32"/>
        </w:rPr>
        <w:br/>
        <w:t>《乌财社[2022]414号关于提前下达2023年中央财政优抚对象补助经费预算[第一批][直达资金]的通知》</w:t>
      </w:r>
    </w:p>
    <w:p w14:paraId="653CCC22" w14:textId="77777777" w:rsidR="006F484B"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68701C33"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2FF6C74A"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三、综合评价情况及评价结论</w:t>
      </w:r>
    </w:p>
    <w:p w14:paraId="294837E7"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2023年优抚对象补助经费进行客观评价，最终评分结果为：总分为99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br/>
        <w:t>优抚对象生活补助经费项目各部分权重和绩效分值如表3-1所示：</w:t>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br/>
        <w:t>一级指标 二级指标 三级指标 分值 得分 得分率</w:t>
      </w:r>
      <w:r>
        <w:rPr>
          <w:rStyle w:val="ad"/>
          <w:rFonts w:ascii="楷体" w:eastAsia="楷体" w:hAnsi="楷体" w:hint="eastAsia"/>
          <w:b w:val="0"/>
          <w:bCs w:val="0"/>
          <w:spacing w:val="-4"/>
          <w:sz w:val="32"/>
          <w:szCs w:val="32"/>
        </w:rPr>
        <w:br/>
        <w:t>决策 项目立项 立项依据充分性 4 4 100%</w:t>
      </w:r>
      <w:r>
        <w:rPr>
          <w:rStyle w:val="ad"/>
          <w:rFonts w:ascii="楷体" w:eastAsia="楷体" w:hAnsi="楷体" w:hint="eastAsia"/>
          <w:b w:val="0"/>
          <w:bCs w:val="0"/>
          <w:spacing w:val="-4"/>
          <w:sz w:val="32"/>
          <w:szCs w:val="32"/>
        </w:rPr>
        <w:br/>
        <w:t>立项程序规范性 4 4 100%</w:t>
      </w:r>
      <w:r>
        <w:rPr>
          <w:rStyle w:val="ad"/>
          <w:rFonts w:ascii="楷体" w:eastAsia="楷体" w:hAnsi="楷体" w:hint="eastAsia"/>
          <w:b w:val="0"/>
          <w:bCs w:val="0"/>
          <w:spacing w:val="-4"/>
          <w:sz w:val="32"/>
          <w:szCs w:val="32"/>
        </w:rPr>
        <w:br/>
        <w:t>绩效目标 绩效目标合理性 3 3 100%</w:t>
      </w:r>
      <w:r>
        <w:rPr>
          <w:rStyle w:val="ad"/>
          <w:rFonts w:ascii="楷体" w:eastAsia="楷体" w:hAnsi="楷体" w:hint="eastAsia"/>
          <w:b w:val="0"/>
          <w:bCs w:val="0"/>
          <w:spacing w:val="-4"/>
          <w:sz w:val="32"/>
          <w:szCs w:val="32"/>
        </w:rPr>
        <w:br/>
        <w:t>绩效指标明确性 3 3 100%</w:t>
      </w:r>
      <w:r>
        <w:rPr>
          <w:rStyle w:val="ad"/>
          <w:rFonts w:ascii="楷体" w:eastAsia="楷体" w:hAnsi="楷体" w:hint="eastAsia"/>
          <w:b w:val="0"/>
          <w:bCs w:val="0"/>
          <w:spacing w:val="-4"/>
          <w:sz w:val="32"/>
          <w:szCs w:val="32"/>
        </w:rPr>
        <w:br/>
        <w:t>资金投入 预算编制科学性 3 3 100%</w:t>
      </w:r>
      <w:r>
        <w:rPr>
          <w:rStyle w:val="ad"/>
          <w:rFonts w:ascii="楷体" w:eastAsia="楷体" w:hAnsi="楷体" w:hint="eastAsia"/>
          <w:b w:val="0"/>
          <w:bCs w:val="0"/>
          <w:spacing w:val="-4"/>
          <w:sz w:val="32"/>
          <w:szCs w:val="32"/>
        </w:rPr>
        <w:br/>
        <w:t>资金分配合理性 3 3 100%</w:t>
      </w:r>
      <w:r>
        <w:rPr>
          <w:rStyle w:val="ad"/>
          <w:rFonts w:ascii="楷体" w:eastAsia="楷体" w:hAnsi="楷体" w:hint="eastAsia"/>
          <w:b w:val="0"/>
          <w:bCs w:val="0"/>
          <w:spacing w:val="-4"/>
          <w:sz w:val="32"/>
          <w:szCs w:val="32"/>
        </w:rPr>
        <w:br/>
        <w:t>过程 资金管理 资金到位率 5 5 100%</w:t>
      </w:r>
      <w:r>
        <w:rPr>
          <w:rStyle w:val="ad"/>
          <w:rFonts w:ascii="楷体" w:eastAsia="楷体" w:hAnsi="楷体" w:hint="eastAsia"/>
          <w:b w:val="0"/>
          <w:bCs w:val="0"/>
          <w:spacing w:val="-4"/>
          <w:sz w:val="32"/>
          <w:szCs w:val="32"/>
        </w:rPr>
        <w:br/>
        <w:t>预算执行率 5 5 100%</w:t>
      </w:r>
      <w:r>
        <w:rPr>
          <w:rStyle w:val="ad"/>
          <w:rFonts w:ascii="楷体" w:eastAsia="楷体" w:hAnsi="楷体" w:hint="eastAsia"/>
          <w:b w:val="0"/>
          <w:bCs w:val="0"/>
          <w:spacing w:val="-4"/>
          <w:sz w:val="32"/>
          <w:szCs w:val="32"/>
        </w:rPr>
        <w:br/>
        <w:t>资金使用合规性 3 3 100%</w:t>
      </w:r>
      <w:r>
        <w:rPr>
          <w:rStyle w:val="ad"/>
          <w:rFonts w:ascii="楷体" w:eastAsia="楷体" w:hAnsi="楷体" w:hint="eastAsia"/>
          <w:b w:val="0"/>
          <w:bCs w:val="0"/>
          <w:spacing w:val="-4"/>
          <w:sz w:val="32"/>
          <w:szCs w:val="32"/>
        </w:rPr>
        <w:br/>
        <w:t>组织实施 管理制度健全性 3 3 100%</w:t>
      </w:r>
      <w:r>
        <w:rPr>
          <w:rStyle w:val="ad"/>
          <w:rFonts w:ascii="楷体" w:eastAsia="楷体" w:hAnsi="楷体" w:hint="eastAsia"/>
          <w:b w:val="0"/>
          <w:bCs w:val="0"/>
          <w:spacing w:val="-4"/>
          <w:sz w:val="32"/>
          <w:szCs w:val="32"/>
        </w:rPr>
        <w:br/>
        <w:t>制度执行有效性 4 4 100%</w:t>
      </w:r>
      <w:r>
        <w:rPr>
          <w:rStyle w:val="ad"/>
          <w:rFonts w:ascii="楷体" w:eastAsia="楷体" w:hAnsi="楷体" w:hint="eastAsia"/>
          <w:b w:val="0"/>
          <w:bCs w:val="0"/>
          <w:spacing w:val="-4"/>
          <w:sz w:val="32"/>
          <w:szCs w:val="32"/>
        </w:rPr>
        <w:br/>
        <w:t>产出 产出数量 符合条件享受补贴人数 10 10 100%</w:t>
      </w:r>
      <w:r>
        <w:rPr>
          <w:rStyle w:val="ad"/>
          <w:rFonts w:ascii="楷体" w:eastAsia="楷体" w:hAnsi="楷体" w:hint="eastAsia"/>
          <w:b w:val="0"/>
          <w:bCs w:val="0"/>
          <w:spacing w:val="-4"/>
          <w:sz w:val="32"/>
          <w:szCs w:val="32"/>
        </w:rPr>
        <w:br/>
        <w:t xml:space="preserve">产出质量 各类优抚对象补助按标准规定执行的执行率 10 10 </w:t>
      </w:r>
      <w:r>
        <w:rPr>
          <w:rStyle w:val="ad"/>
          <w:rFonts w:ascii="楷体" w:eastAsia="楷体" w:hAnsi="楷体" w:hint="eastAsia"/>
          <w:b w:val="0"/>
          <w:bCs w:val="0"/>
          <w:spacing w:val="-4"/>
          <w:sz w:val="32"/>
          <w:szCs w:val="32"/>
        </w:rPr>
        <w:lastRenderedPageBreak/>
        <w:t>100%</w:t>
      </w:r>
      <w:r>
        <w:rPr>
          <w:rStyle w:val="ad"/>
          <w:rFonts w:ascii="楷体" w:eastAsia="楷体" w:hAnsi="楷体" w:hint="eastAsia"/>
          <w:b w:val="0"/>
          <w:bCs w:val="0"/>
          <w:spacing w:val="-4"/>
          <w:sz w:val="32"/>
          <w:szCs w:val="32"/>
        </w:rPr>
        <w:br/>
        <w:t>产出时效 优抚对象补助经费发放及时率 10 9 90%</w:t>
      </w:r>
      <w:r>
        <w:rPr>
          <w:rStyle w:val="ad"/>
          <w:rFonts w:ascii="楷体" w:eastAsia="楷体" w:hAnsi="楷体" w:hint="eastAsia"/>
          <w:b w:val="0"/>
          <w:bCs w:val="0"/>
          <w:spacing w:val="-4"/>
          <w:sz w:val="32"/>
          <w:szCs w:val="32"/>
        </w:rPr>
        <w:br/>
        <w:t>产出成本 政策资金发放完成成本率 10 10 100%</w:t>
      </w:r>
      <w:r>
        <w:rPr>
          <w:rStyle w:val="ad"/>
          <w:rFonts w:ascii="楷体" w:eastAsia="楷体" w:hAnsi="楷体" w:hint="eastAsia"/>
          <w:b w:val="0"/>
          <w:bCs w:val="0"/>
          <w:spacing w:val="-4"/>
          <w:sz w:val="32"/>
          <w:szCs w:val="32"/>
        </w:rPr>
        <w:br/>
        <w:t>效益 项目效益 社会效益指标 10 10 100%</w:t>
      </w:r>
      <w:r>
        <w:rPr>
          <w:rStyle w:val="ad"/>
          <w:rFonts w:ascii="楷体" w:eastAsia="楷体" w:hAnsi="楷体" w:hint="eastAsia"/>
          <w:b w:val="0"/>
          <w:bCs w:val="0"/>
          <w:spacing w:val="-4"/>
          <w:sz w:val="32"/>
          <w:szCs w:val="32"/>
        </w:rPr>
        <w:br/>
        <w:t>满意度指标完成情况分析 满意度指标 群众满意度 10 10 100%</w:t>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br/>
        <w:t>该项目资金区财政及时拨付，单位在此次评价期间内，有序完成设定目标的工作任务，我区现有各类优抚对象650人，其中456名农村退役老军人，85名其他重点优抚对象，109名伤残退役军人。每月按时向各优抚对象发放优抚补助，在重大节日对优抚对象进行慰问，及时发现并帮助解决扰抚对象困难，体现党和国家对优抚对象的关爱，保障优抚对象的生活条件，为社会长治久安做出贡献。</w:t>
      </w:r>
    </w:p>
    <w:p w14:paraId="52956079" w14:textId="77777777" w:rsidR="006F484B"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47A2EDB4" w14:textId="77777777" w:rsidR="006F484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5085F3DF" w14:textId="77777777" w:rsidR="006F484B"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项目决策指标由3个二级指标和6个三级指标构成，权重为20分，实际得分20分。</w:t>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br/>
        <w:t>立项依据充分性：项目立项符合国家法律法规、政策要求。同时，项目与部门职责范围相符，属于部门履职所需。此外，本项目属于公共财政支持范围，符合中央、地方事权支出责任划分原则，没有与相关部门同类项目或部门内部相关项目重复。因此，立项依据充分，得4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立项程序规范</w:t>
      </w:r>
      <w:proofErr w:type="gramStart"/>
      <w:r>
        <w:rPr>
          <w:rStyle w:val="ad"/>
          <w:rFonts w:ascii="楷体" w:eastAsia="楷体" w:hAnsi="楷体" w:hint="eastAsia"/>
          <w:b w:val="0"/>
          <w:bCs w:val="0"/>
          <w:spacing w:val="-4"/>
          <w:sz w:val="32"/>
          <w:szCs w:val="32"/>
        </w:rPr>
        <w:t>性:</w:t>
      </w:r>
      <w:proofErr w:type="gramEnd"/>
      <w:r>
        <w:rPr>
          <w:rStyle w:val="ad"/>
          <w:rFonts w:ascii="楷体" w:eastAsia="楷体" w:hAnsi="楷体" w:hint="eastAsia"/>
          <w:b w:val="0"/>
          <w:bCs w:val="0"/>
          <w:spacing w:val="-4"/>
          <w:sz w:val="32"/>
          <w:szCs w:val="32"/>
        </w:rPr>
        <w:t>项目按照规定的程序申请设立，审批文件、材料符合相关要求，故立项程序规范，得4分。</w:t>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ad"/>
          <w:rFonts w:ascii="楷体" w:eastAsia="楷体" w:hAnsi="楷体" w:hint="eastAsia"/>
          <w:b w:val="0"/>
          <w:bCs w:val="0"/>
          <w:spacing w:val="-4"/>
          <w:sz w:val="32"/>
          <w:szCs w:val="32"/>
        </w:rPr>
        <w:br/>
        <w:t>绩效目标明确性：根据中国《军人抚恤优待条例》规定，中国人民解放军现役军人、服现役或者退出现役的残疾军人以及复员军人、退伍军人、烈士遗属、因公牺牲军人遗属、病故军人遗属、现役军人家属统称为优抚对象，按规定享受抚恤优待。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br/>
        <w:t>预算编制科学性：严格按照优抚标准编制预算，2023年我单位每月及时核实需发放补助人员信息以及发放标准，按照发放标准进行补助发放，发放标准如下：烈属抚恤标准为33860元/年。其中烈属包括烈士的父母、配偶、子女和未满16周岁的弟妹和抚养烈士成长的其他亲属。因公牺牲军人遗属抚恤标准为29080元/年，病故军人遗属抚恤标准为27360元/年。三级残疾抚恤金</w:t>
      </w:r>
      <w:r>
        <w:rPr>
          <w:rStyle w:val="ad"/>
          <w:rFonts w:ascii="楷体" w:eastAsia="楷体" w:hAnsi="楷体" w:hint="eastAsia"/>
          <w:b w:val="0"/>
          <w:bCs w:val="0"/>
          <w:spacing w:val="-4"/>
          <w:sz w:val="32"/>
          <w:szCs w:val="32"/>
        </w:rPr>
        <w:lastRenderedPageBreak/>
        <w:t>标准因战84700元/年，因公79600元/年，因病74550元/年。根据这些标准2023年我单位共发放资金1968.58万元。故预算编制科学性指标得分3分。</w:t>
      </w:r>
      <w:r>
        <w:rPr>
          <w:rStyle w:val="ad"/>
          <w:rFonts w:ascii="楷体" w:eastAsia="楷体" w:hAnsi="楷体" w:hint="eastAsia"/>
          <w:b w:val="0"/>
          <w:bCs w:val="0"/>
          <w:spacing w:val="-4"/>
          <w:sz w:val="32"/>
          <w:szCs w:val="32"/>
        </w:rPr>
        <w:br/>
        <w:t>资金分配合理性：资金分配依据优抚对象标准及《军人抚恤优待条例》规定分配。故资金分配合理性指标得分3分。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3DE997EA" w14:textId="77777777" w:rsidR="006F484B"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4575C70C"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（二）项目过程情况</w:t>
      </w:r>
      <w:r>
        <w:rPr>
          <w:rStyle w:val="ad"/>
          <w:rFonts w:ascii="楷体" w:eastAsia="楷体" w:hAnsi="楷体" w:hint="eastAsia"/>
          <w:b w:val="0"/>
          <w:bCs w:val="0"/>
          <w:spacing w:val="-4"/>
          <w:sz w:val="32"/>
          <w:szCs w:val="32"/>
        </w:rPr>
        <w:br/>
        <w:t>项目过程指标由2个二级指标和5个三级指标构成，权重为20分，实际得分20分。</w:t>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br/>
        <w:t>资金到位率：该项目资金由财政陆续拨付，在2023年12月完全到位，资金直接支付到优抚对象。故资金到位率指标得分5分。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预算执行率：严格按照预算安排支付各项资金，在收到财政预算拨款后及时向各单位支付款项。故预算执行率得分为5分。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资金使用合规性：本项目资金的使用符合国家财经法规和财务管理制度以及有关专项资金管理办法的规定。同时，资金的拨付有完整的审批程序，需要审批手续，符合项目预算批复或合同规定的用途，不存在截留、挤占、挪用、虚列支出等情况。故资金使用合规性得分为3分。</w:t>
      </w:r>
      <w:r>
        <w:rPr>
          <w:rStyle w:val="ad"/>
          <w:rFonts w:ascii="楷体" w:eastAsia="楷体" w:hAnsi="楷体" w:hint="eastAsia"/>
          <w:b w:val="0"/>
          <w:bCs w:val="0"/>
          <w:spacing w:val="-4"/>
          <w:sz w:val="32"/>
          <w:szCs w:val="32"/>
        </w:rPr>
        <w:br/>
        <w:t>综上，该指标满分13分，得分13分。</w:t>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管理制度健全性：乌鲁木齐市米东区退役军人事务局已制定相应的财务和业务管理制度，且制度合法、合规、完整，为项目顺利实施提供重要保障。故管理制度健全性得分为3分。</w:t>
      </w:r>
      <w:r>
        <w:rPr>
          <w:rStyle w:val="ad"/>
          <w:rFonts w:ascii="楷体" w:eastAsia="楷体" w:hAnsi="楷体" w:hint="eastAsia"/>
          <w:b w:val="0"/>
          <w:bCs w:val="0"/>
          <w:spacing w:val="-4"/>
          <w:sz w:val="32"/>
          <w:szCs w:val="32"/>
        </w:rPr>
        <w:br/>
        <w:t>制度执行有效性：根据评价小组核查情况，乌鲁木齐市米东区退役军人事务局严格遵守相关法律法规和相关管理规定，项目调整及支出调整手续完备，整体管理合理有序，项目完成后，及时将会计凭证、固定资产入库单等相关资料分类归档，制度执行有效。故制度执行有效性指标得分4分。</w:t>
      </w:r>
      <w:r>
        <w:rPr>
          <w:rStyle w:val="ad"/>
          <w:rFonts w:ascii="楷体" w:eastAsia="楷体" w:hAnsi="楷体" w:hint="eastAsia"/>
          <w:b w:val="0"/>
          <w:bCs w:val="0"/>
          <w:spacing w:val="-4"/>
          <w:sz w:val="32"/>
          <w:szCs w:val="32"/>
        </w:rPr>
        <w:br/>
        <w:t>综上，该指标满分7分，得分7分。</w:t>
      </w:r>
    </w:p>
    <w:p w14:paraId="5261E56F" w14:textId="77777777" w:rsidR="006F484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0ABB782"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br/>
        <w:t>项目产出指标由4个二级指标和4个三级指标构成，权重为40分，实际得分40分。</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数量指标“符合条件享受补贴人数”的目标值是≥650人，2023年度我单位实际完成748人。</w:t>
      </w:r>
      <w:r>
        <w:rPr>
          <w:rStyle w:val="ad"/>
          <w:rFonts w:ascii="楷体" w:eastAsia="楷体" w:hAnsi="楷体" w:hint="eastAsia"/>
          <w:b w:val="0"/>
          <w:bCs w:val="0"/>
          <w:spacing w:val="-4"/>
          <w:sz w:val="32"/>
          <w:szCs w:val="32"/>
        </w:rPr>
        <w:br/>
        <w:t xml:space="preserve">    实际完成率：115.08%，故实际完成率得分为10分。 </w:t>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br/>
        <w:t>对各类优抚对象补助按标准规定执行的执行率目标值是100%，2023年度我单位实际完成100%，质量达标率得分为10分。</w:t>
      </w:r>
      <w:r>
        <w:rPr>
          <w:rStyle w:val="ad"/>
          <w:rFonts w:ascii="楷体" w:eastAsia="楷体" w:hAnsi="楷体" w:hint="eastAsia"/>
          <w:b w:val="0"/>
          <w:bCs w:val="0"/>
          <w:spacing w:val="-4"/>
          <w:sz w:val="32"/>
          <w:szCs w:val="32"/>
        </w:rPr>
        <w:br/>
        <w:t xml:space="preserve">    3. 产出时效 </w:t>
      </w:r>
      <w:r>
        <w:rPr>
          <w:rStyle w:val="ad"/>
          <w:rFonts w:ascii="楷体" w:eastAsia="楷体" w:hAnsi="楷体" w:hint="eastAsia"/>
          <w:b w:val="0"/>
          <w:bCs w:val="0"/>
          <w:spacing w:val="-4"/>
          <w:sz w:val="32"/>
          <w:szCs w:val="32"/>
        </w:rPr>
        <w:br/>
        <w:t>资金拨付及时率目标为100%，实际及时率为90%，由于财政紧张，部分月份资金未按时到位，因此资金拨付及时率为90%。故完成及时性得分为9分。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4. 产出成本</w:t>
      </w:r>
      <w:r>
        <w:rPr>
          <w:rStyle w:val="ad"/>
          <w:rFonts w:ascii="楷体" w:eastAsia="楷体" w:hAnsi="楷体" w:hint="eastAsia"/>
          <w:b w:val="0"/>
          <w:bCs w:val="0"/>
          <w:spacing w:val="-4"/>
          <w:sz w:val="32"/>
          <w:szCs w:val="32"/>
        </w:rPr>
        <w:br/>
        <w:t>成本指标“政策资金发放完成成本”的目标值是1968.58万元，其中中央资金1420.58万元，自治区资金548万元。万元，2023年度我单位实际完成1968.58万元，其中中央资金1420.58万元，自治区资金548万元，故得分为10分。</w:t>
      </w:r>
      <w:r>
        <w:rPr>
          <w:rStyle w:val="ad"/>
          <w:rFonts w:ascii="楷体" w:eastAsia="楷体" w:hAnsi="楷体" w:hint="eastAsia"/>
          <w:b w:val="0"/>
          <w:bCs w:val="0"/>
          <w:spacing w:val="-4"/>
          <w:sz w:val="32"/>
          <w:szCs w:val="32"/>
        </w:rPr>
        <w:br/>
        <w:t>综上，该部分指标满分40分，得分39分。</w:t>
      </w:r>
    </w:p>
    <w:p w14:paraId="26ABA416" w14:textId="77777777" w:rsidR="006F484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21C299C4"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br/>
        <w:t>项目效益指标由1个二级指标和1个三级指标构成，权重为15分，实际得分15分。</w:t>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br/>
        <w:t>社会效益指标：评价指标“改善优抚对象整体生活水平”，指标值：有效改善，实际完成值：达成年度指标。本项目的实施保障了优抚对象的生活水平不低于当地居民平均生活水平，解决了优抚对象生活困难问题，故得分为10分。</w:t>
      </w:r>
      <w:r>
        <w:rPr>
          <w:rStyle w:val="ad"/>
          <w:rFonts w:ascii="楷体" w:eastAsia="楷体" w:hAnsi="楷体" w:hint="eastAsia"/>
          <w:b w:val="0"/>
          <w:bCs w:val="0"/>
          <w:spacing w:val="-4"/>
          <w:sz w:val="32"/>
          <w:szCs w:val="32"/>
        </w:rPr>
        <w:br/>
        <w:t>综上，该指标满分10分，得分10分。</w:t>
      </w:r>
    </w:p>
    <w:p w14:paraId="4191A967"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2. 满意度指标完成情况分析</w:t>
      </w:r>
      <w:r>
        <w:rPr>
          <w:rStyle w:val="ad"/>
          <w:rFonts w:ascii="楷体" w:eastAsia="楷体" w:hAnsi="楷体" w:hint="eastAsia"/>
          <w:b w:val="0"/>
          <w:bCs w:val="0"/>
          <w:spacing w:val="-4"/>
          <w:sz w:val="32"/>
          <w:szCs w:val="32"/>
        </w:rPr>
        <w:br/>
        <w:t>（1）满意度指标</w:t>
      </w:r>
      <w:r>
        <w:rPr>
          <w:rStyle w:val="ad"/>
          <w:rFonts w:ascii="楷体" w:eastAsia="楷体" w:hAnsi="楷体" w:hint="eastAsia"/>
          <w:b w:val="0"/>
          <w:bCs w:val="0"/>
          <w:spacing w:val="-4"/>
          <w:sz w:val="32"/>
          <w:szCs w:val="32"/>
        </w:rPr>
        <w:br/>
        <w:t>群众满意度：评价指标“优抚对象满意度”，指标值：≥90%，实际完成值：≥95%。通过设置问卷调查的方式进行考评评价，共计调查样本总量为40个样本，有效调查问卷40份。其中，统计工作人员满意度”的平均值为98%。故满意度指标得分为10分。</w:t>
      </w:r>
      <w:r>
        <w:rPr>
          <w:rStyle w:val="ad"/>
          <w:rFonts w:ascii="楷体" w:eastAsia="楷体" w:hAnsi="楷体" w:hint="eastAsia"/>
          <w:b w:val="0"/>
          <w:bCs w:val="0"/>
          <w:spacing w:val="-4"/>
          <w:sz w:val="32"/>
          <w:szCs w:val="32"/>
        </w:rPr>
        <w:br/>
        <w:t>综上，该指标满分10分，得分10分。</w:t>
      </w:r>
    </w:p>
    <w:p w14:paraId="0C1CACE9" w14:textId="77777777" w:rsidR="006F484B" w:rsidRDefault="006F484B">
      <w:pPr>
        <w:spacing w:line="540" w:lineRule="exact"/>
        <w:ind w:firstLine="567"/>
        <w:rPr>
          <w:rStyle w:val="ad"/>
          <w:rFonts w:ascii="楷体" w:eastAsia="楷体" w:hAnsi="楷体" w:hint="eastAsia"/>
          <w:spacing w:val="-4"/>
          <w:sz w:val="32"/>
          <w:szCs w:val="32"/>
        </w:rPr>
      </w:pPr>
    </w:p>
    <w:p w14:paraId="43222DFA"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14AA6AA" w14:textId="77777777" w:rsidR="006F484B"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1、加强组织领导，把优抚工作摆上重要议程。</w:t>
      </w:r>
      <w:r>
        <w:rPr>
          <w:rStyle w:val="ad"/>
          <w:rFonts w:ascii="楷体" w:eastAsia="楷体" w:hAnsi="楷体" w:hint="eastAsia"/>
          <w:b w:val="0"/>
          <w:bCs w:val="0"/>
          <w:spacing w:val="-4"/>
          <w:sz w:val="32"/>
          <w:szCs w:val="32"/>
        </w:rPr>
        <w:br/>
        <w:t xml:space="preserve"> 2、强化政策指导，加大宣传力度政策掌握准确，业务熟悉是做好优抚稳定工作的关键。 </w:t>
      </w:r>
      <w:r>
        <w:rPr>
          <w:rStyle w:val="ad"/>
          <w:rFonts w:ascii="楷体" w:eastAsia="楷体" w:hAnsi="楷体" w:hint="eastAsia"/>
          <w:b w:val="0"/>
          <w:bCs w:val="0"/>
          <w:spacing w:val="-4"/>
          <w:sz w:val="32"/>
          <w:szCs w:val="32"/>
        </w:rPr>
        <w:br/>
        <w:t>3、沉下身子，着力解决问题有诉求才有信访，诉求长期得不到解决，信访问题就会长期存在并不断恶化。</w:t>
      </w:r>
      <w:r>
        <w:rPr>
          <w:rStyle w:val="ad"/>
          <w:rFonts w:ascii="楷体" w:eastAsia="楷体" w:hAnsi="楷体" w:hint="eastAsia"/>
          <w:b w:val="0"/>
          <w:bCs w:val="0"/>
          <w:spacing w:val="-4"/>
          <w:sz w:val="32"/>
          <w:szCs w:val="32"/>
        </w:rPr>
        <w:br/>
        <w:t>4，解决临时生活困难。</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 做好优质政策宣传，让更广泛的群众了解优抚工作。</w:t>
      </w:r>
      <w:r>
        <w:rPr>
          <w:rStyle w:val="ad"/>
          <w:rFonts w:ascii="楷体" w:eastAsia="楷体" w:hAnsi="楷体" w:hint="eastAsia"/>
          <w:b w:val="0"/>
          <w:bCs w:val="0"/>
          <w:spacing w:val="-4"/>
          <w:sz w:val="32"/>
          <w:szCs w:val="32"/>
        </w:rPr>
        <w:br/>
        <w:t>2、资金使用管理有待进一步完善；</w:t>
      </w:r>
      <w:r>
        <w:rPr>
          <w:rStyle w:val="ad"/>
          <w:rFonts w:ascii="楷体" w:eastAsia="楷体" w:hAnsi="楷体" w:hint="eastAsia"/>
          <w:b w:val="0"/>
          <w:bCs w:val="0"/>
          <w:spacing w:val="-4"/>
          <w:sz w:val="32"/>
          <w:szCs w:val="32"/>
        </w:rPr>
        <w:br/>
        <w:t>3、信息收集渠道有限，各部门间数据交流不够及时，数据不统一，影响数据准确性；</w:t>
      </w:r>
      <w:r>
        <w:rPr>
          <w:rStyle w:val="ad"/>
          <w:rFonts w:ascii="楷体" w:eastAsia="楷体" w:hAnsi="楷体" w:hint="eastAsia"/>
          <w:b w:val="0"/>
          <w:bCs w:val="0"/>
          <w:spacing w:val="-4"/>
          <w:sz w:val="32"/>
          <w:szCs w:val="32"/>
        </w:rPr>
        <w:br/>
        <w:t>4、在人员配备方面，需加强相关人员的业务知识。</w:t>
      </w:r>
    </w:p>
    <w:p w14:paraId="77E88F3C"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2FCBFBF1" w14:textId="77777777" w:rsidR="006F484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六、有关建议</w:t>
      </w:r>
      <w:r>
        <w:rPr>
          <w:rStyle w:val="ad"/>
          <w:rFonts w:ascii="楷体" w:eastAsia="楷体" w:hAnsi="楷体" w:hint="eastAsia"/>
          <w:b w:val="0"/>
          <w:bCs w:val="0"/>
          <w:spacing w:val="-4"/>
          <w:sz w:val="32"/>
          <w:szCs w:val="32"/>
        </w:rPr>
        <w:br/>
        <w:t>（一）提高预算編制准确性，规范资使用情况；</w:t>
      </w:r>
      <w:r>
        <w:rPr>
          <w:rStyle w:val="ad"/>
          <w:rFonts w:ascii="楷体" w:eastAsia="楷体" w:hAnsi="楷体" w:hint="eastAsia"/>
          <w:b w:val="0"/>
          <w:bCs w:val="0"/>
          <w:spacing w:val="-4"/>
          <w:sz w:val="32"/>
          <w:szCs w:val="32"/>
        </w:rPr>
        <w:br/>
        <w:t>（二）建立信息共享机制，加强与相关部门的互通；</w:t>
      </w:r>
      <w:r>
        <w:rPr>
          <w:rStyle w:val="ad"/>
          <w:rFonts w:ascii="楷体" w:eastAsia="楷体" w:hAnsi="楷体" w:hint="eastAsia"/>
          <w:b w:val="0"/>
          <w:bCs w:val="0"/>
          <w:spacing w:val="-4"/>
          <w:sz w:val="32"/>
          <w:szCs w:val="32"/>
        </w:rPr>
        <w:br/>
        <w:t>（三）加强相关人员的业务知识培训，进一步提高部门整体绩效目标设定的合理性。</w:t>
      </w:r>
    </w:p>
    <w:p w14:paraId="3F8D0BDE" w14:textId="77777777" w:rsidR="006F484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210D09C9" w14:textId="77777777" w:rsidR="006F484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七、其他需要说明的问题</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（一）项目支出政策和路径设计科学，符合实际需要；</w:t>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br/>
        <w:t>（四）未发现虚假行为和骗取财政资金的问题。</w:t>
      </w:r>
    </w:p>
    <w:p w14:paraId="0C3D1819" w14:textId="77777777" w:rsidR="006F484B" w:rsidRDefault="006F484B">
      <w:pPr>
        <w:spacing w:line="540" w:lineRule="exact"/>
        <w:ind w:firstLine="567"/>
        <w:rPr>
          <w:rStyle w:val="ad"/>
          <w:rFonts w:ascii="仿宋" w:eastAsia="仿宋" w:hAnsi="仿宋" w:hint="eastAsia"/>
          <w:b w:val="0"/>
          <w:spacing w:val="-4"/>
          <w:sz w:val="32"/>
          <w:szCs w:val="32"/>
        </w:rPr>
      </w:pPr>
    </w:p>
    <w:p w14:paraId="1ED233C7" w14:textId="77777777" w:rsidR="006F484B" w:rsidRDefault="006F484B">
      <w:pPr>
        <w:spacing w:line="540" w:lineRule="exact"/>
        <w:ind w:firstLine="567"/>
        <w:rPr>
          <w:rStyle w:val="ad"/>
          <w:rFonts w:ascii="仿宋" w:eastAsia="仿宋" w:hAnsi="仿宋" w:hint="eastAsia"/>
          <w:b w:val="0"/>
          <w:spacing w:val="-4"/>
          <w:sz w:val="32"/>
          <w:szCs w:val="32"/>
        </w:rPr>
      </w:pPr>
    </w:p>
    <w:p w14:paraId="011911B8" w14:textId="77777777" w:rsidR="006F484B" w:rsidRDefault="006F484B">
      <w:pPr>
        <w:spacing w:line="540" w:lineRule="exact"/>
        <w:ind w:firstLine="567"/>
        <w:rPr>
          <w:rStyle w:val="ad"/>
          <w:rFonts w:ascii="仿宋" w:eastAsia="仿宋" w:hAnsi="仿宋" w:hint="eastAsia"/>
          <w:b w:val="0"/>
          <w:spacing w:val="-4"/>
          <w:sz w:val="32"/>
          <w:szCs w:val="32"/>
        </w:rPr>
      </w:pPr>
    </w:p>
    <w:p w14:paraId="39C96AB4" w14:textId="77777777" w:rsidR="006F484B" w:rsidRDefault="006F484B">
      <w:pPr>
        <w:spacing w:line="540" w:lineRule="exact"/>
        <w:ind w:firstLine="567"/>
        <w:rPr>
          <w:rStyle w:val="ad"/>
          <w:rFonts w:ascii="仿宋" w:eastAsia="仿宋" w:hAnsi="仿宋" w:hint="eastAsia"/>
          <w:b w:val="0"/>
          <w:spacing w:val="-4"/>
          <w:sz w:val="32"/>
          <w:szCs w:val="32"/>
        </w:rPr>
      </w:pPr>
    </w:p>
    <w:p w14:paraId="7F0F5155" w14:textId="77777777" w:rsidR="006F484B" w:rsidRDefault="006F484B">
      <w:pPr>
        <w:spacing w:line="540" w:lineRule="exact"/>
        <w:ind w:firstLine="567"/>
        <w:rPr>
          <w:rStyle w:val="ad"/>
          <w:rFonts w:ascii="仿宋" w:eastAsia="仿宋" w:hAnsi="仿宋" w:hint="eastAsia"/>
          <w:b w:val="0"/>
          <w:spacing w:val="-4"/>
          <w:sz w:val="32"/>
          <w:szCs w:val="32"/>
        </w:rPr>
      </w:pPr>
    </w:p>
    <w:sectPr w:rsidR="006F484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63D35" w14:textId="77777777" w:rsidR="00D06F09" w:rsidRDefault="00D06F09">
      <w:pPr>
        <w:spacing w:after="0" w:line="240" w:lineRule="auto"/>
      </w:pPr>
      <w:r>
        <w:separator/>
      </w:r>
    </w:p>
  </w:endnote>
  <w:endnote w:type="continuationSeparator" w:id="0">
    <w:p w14:paraId="2CFF1EF2" w14:textId="77777777" w:rsidR="00D06F09" w:rsidRDefault="00D06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0AE6070A" w14:textId="77777777" w:rsidR="006F484B" w:rsidRDefault="00000000">
        <w:pPr>
          <w:pStyle w:val="a5"/>
          <w:jc w:val="center"/>
        </w:pPr>
        <w:r>
          <w:fldChar w:fldCharType="begin"/>
        </w:r>
        <w:r>
          <w:instrText>PAGE   \* MERGEFORMAT</w:instrText>
        </w:r>
        <w:r>
          <w:fldChar w:fldCharType="separate"/>
        </w:r>
        <w:r>
          <w:rPr>
            <w:lang w:val="zh-CN"/>
          </w:rPr>
          <w:t>1</w:t>
        </w:r>
        <w:r>
          <w:fldChar w:fldCharType="end"/>
        </w:r>
      </w:p>
    </w:sdtContent>
  </w:sdt>
  <w:p w14:paraId="35A8BAD0" w14:textId="77777777" w:rsidR="006F484B" w:rsidRDefault="006F48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B2906" w14:textId="77777777" w:rsidR="00D06F09" w:rsidRDefault="00D06F09">
      <w:pPr>
        <w:spacing w:after="0" w:line="240" w:lineRule="auto"/>
      </w:pPr>
      <w:r>
        <w:separator/>
      </w:r>
    </w:p>
  </w:footnote>
  <w:footnote w:type="continuationSeparator" w:id="0">
    <w:p w14:paraId="45EC9FA5" w14:textId="77777777" w:rsidR="00D06F09" w:rsidRDefault="00D06F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2C34C0"/>
    <w:rsid w:val="00311DBE"/>
    <w:rsid w:val="003A1721"/>
    <w:rsid w:val="004366A8"/>
    <w:rsid w:val="00491B24"/>
    <w:rsid w:val="00502BA7"/>
    <w:rsid w:val="005162F1"/>
    <w:rsid w:val="00535153"/>
    <w:rsid w:val="00554F82"/>
    <w:rsid w:val="0056390D"/>
    <w:rsid w:val="005719B0"/>
    <w:rsid w:val="005D10D6"/>
    <w:rsid w:val="00631C58"/>
    <w:rsid w:val="006F484B"/>
    <w:rsid w:val="007E3CE9"/>
    <w:rsid w:val="007F275E"/>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95469"/>
    <w:rsid w:val="00CA6457"/>
    <w:rsid w:val="00CE2FD9"/>
    <w:rsid w:val="00D06F09"/>
    <w:rsid w:val="00D17F2E"/>
    <w:rsid w:val="00D30354"/>
    <w:rsid w:val="00DF42A0"/>
    <w:rsid w:val="00E30E91"/>
    <w:rsid w:val="00E4618B"/>
    <w:rsid w:val="00E769FE"/>
    <w:rsid w:val="00EA2CBE"/>
    <w:rsid w:val="00ED1291"/>
    <w:rsid w:val="00F32FEE"/>
    <w:rsid w:val="00FB10BB"/>
    <w:rsid w:val="07261865"/>
    <w:rsid w:val="0856517C"/>
    <w:rsid w:val="0BFB189F"/>
    <w:rsid w:val="11BD75F7"/>
    <w:rsid w:val="13BE561A"/>
    <w:rsid w:val="15392994"/>
    <w:rsid w:val="15A845E1"/>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F522E"/>
  <w15:docId w15:val="{3DC8884F-E6FC-4BF0-9D77-9042B598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5376</Words>
  <Characters>5645</Characters>
  <Application>Microsoft Office Word</Application>
  <DocSecurity>0</DocSecurity>
  <Lines>282</Lines>
  <Paragraphs>39</Paragraphs>
  <ScaleCrop>false</ScaleCrop>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