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73AD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14:paraId="3F2EBE99">
      <w:pPr>
        <w:spacing w:line="540" w:lineRule="exact"/>
        <w:jc w:val="center"/>
        <w:rPr>
          <w:rFonts w:ascii="华文中宋" w:hAnsi="华文中宋" w:eastAsia="华文中宋" w:cs="宋体"/>
          <w:b/>
          <w:kern w:val="0"/>
          <w:sz w:val="52"/>
          <w:szCs w:val="52"/>
        </w:rPr>
      </w:pPr>
    </w:p>
    <w:p w14:paraId="25A912A0">
      <w:pPr>
        <w:spacing w:line="540" w:lineRule="exact"/>
        <w:jc w:val="center"/>
        <w:rPr>
          <w:rFonts w:ascii="华文中宋" w:hAnsi="华文中宋" w:eastAsia="华文中宋" w:cs="宋体"/>
          <w:b/>
          <w:kern w:val="0"/>
          <w:sz w:val="52"/>
          <w:szCs w:val="52"/>
        </w:rPr>
      </w:pPr>
    </w:p>
    <w:p w14:paraId="36653AD7">
      <w:pPr>
        <w:spacing w:line="540" w:lineRule="exact"/>
        <w:jc w:val="center"/>
        <w:rPr>
          <w:rFonts w:ascii="华文中宋" w:hAnsi="华文中宋" w:eastAsia="华文中宋" w:cs="宋体"/>
          <w:b/>
          <w:kern w:val="0"/>
          <w:sz w:val="52"/>
          <w:szCs w:val="52"/>
        </w:rPr>
      </w:pPr>
    </w:p>
    <w:p w14:paraId="6CDDDA84">
      <w:pPr>
        <w:spacing w:line="540" w:lineRule="exact"/>
        <w:jc w:val="center"/>
        <w:rPr>
          <w:rFonts w:ascii="华文中宋" w:hAnsi="华文中宋" w:eastAsia="华文中宋" w:cs="宋体"/>
          <w:b/>
          <w:kern w:val="0"/>
          <w:sz w:val="52"/>
          <w:szCs w:val="52"/>
        </w:rPr>
      </w:pPr>
    </w:p>
    <w:p w14:paraId="261C2F34">
      <w:pPr>
        <w:spacing w:line="540" w:lineRule="exact"/>
        <w:jc w:val="center"/>
        <w:rPr>
          <w:rFonts w:ascii="华文中宋" w:hAnsi="华文中宋" w:eastAsia="华文中宋" w:cs="宋体"/>
          <w:b/>
          <w:kern w:val="0"/>
          <w:sz w:val="52"/>
          <w:szCs w:val="52"/>
        </w:rPr>
      </w:pPr>
    </w:p>
    <w:p w14:paraId="181D2EB7">
      <w:pPr>
        <w:spacing w:line="540" w:lineRule="exact"/>
        <w:jc w:val="center"/>
        <w:rPr>
          <w:rFonts w:ascii="华文中宋" w:hAnsi="华文中宋" w:eastAsia="华文中宋" w:cs="宋体"/>
          <w:b/>
          <w:kern w:val="0"/>
          <w:sz w:val="52"/>
          <w:szCs w:val="52"/>
        </w:rPr>
      </w:pPr>
    </w:p>
    <w:p w14:paraId="6B173201">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14:paraId="39B14541">
      <w:pPr>
        <w:spacing w:line="540" w:lineRule="exact"/>
        <w:jc w:val="center"/>
        <w:rPr>
          <w:rFonts w:ascii="华文中宋" w:hAnsi="华文中宋" w:eastAsia="华文中宋" w:cs="宋体"/>
          <w:b/>
          <w:kern w:val="0"/>
          <w:sz w:val="52"/>
          <w:szCs w:val="52"/>
        </w:rPr>
      </w:pPr>
    </w:p>
    <w:p w14:paraId="22AA2F1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14:paraId="747EC5EF">
      <w:pPr>
        <w:spacing w:line="540" w:lineRule="exact"/>
        <w:jc w:val="center"/>
        <w:rPr>
          <w:rFonts w:hAnsi="宋体" w:eastAsia="仿宋_GB2312" w:cs="宋体"/>
          <w:kern w:val="0"/>
          <w:sz w:val="30"/>
          <w:szCs w:val="30"/>
        </w:rPr>
      </w:pPr>
    </w:p>
    <w:p w14:paraId="32869EAB">
      <w:pPr>
        <w:spacing w:line="540" w:lineRule="exact"/>
        <w:jc w:val="center"/>
        <w:rPr>
          <w:rFonts w:hAnsi="宋体" w:eastAsia="仿宋_GB2312" w:cs="宋体"/>
          <w:kern w:val="0"/>
          <w:sz w:val="30"/>
          <w:szCs w:val="30"/>
        </w:rPr>
      </w:pPr>
    </w:p>
    <w:p w14:paraId="4FC591DC">
      <w:pPr>
        <w:spacing w:line="540" w:lineRule="exact"/>
        <w:jc w:val="center"/>
        <w:rPr>
          <w:rFonts w:hAnsi="宋体" w:eastAsia="仿宋_GB2312" w:cs="宋体"/>
          <w:kern w:val="0"/>
          <w:sz w:val="30"/>
          <w:szCs w:val="30"/>
        </w:rPr>
      </w:pPr>
    </w:p>
    <w:p w14:paraId="3A3D5E1D">
      <w:pPr>
        <w:spacing w:line="540" w:lineRule="exact"/>
        <w:jc w:val="center"/>
        <w:rPr>
          <w:rFonts w:hAnsi="宋体" w:eastAsia="仿宋_GB2312" w:cs="宋体"/>
          <w:kern w:val="0"/>
          <w:sz w:val="30"/>
          <w:szCs w:val="30"/>
        </w:rPr>
      </w:pPr>
    </w:p>
    <w:p w14:paraId="3C4B7D67">
      <w:pPr>
        <w:spacing w:line="540" w:lineRule="exact"/>
        <w:jc w:val="center"/>
        <w:rPr>
          <w:rFonts w:hAnsi="宋体" w:eastAsia="仿宋_GB2312" w:cs="宋体"/>
          <w:kern w:val="0"/>
          <w:sz w:val="30"/>
          <w:szCs w:val="30"/>
        </w:rPr>
      </w:pPr>
    </w:p>
    <w:p w14:paraId="620BF5BF">
      <w:pPr>
        <w:spacing w:line="540" w:lineRule="exact"/>
        <w:jc w:val="center"/>
        <w:rPr>
          <w:rFonts w:hAnsi="宋体" w:eastAsia="仿宋_GB2312" w:cs="宋体"/>
          <w:kern w:val="0"/>
          <w:sz w:val="30"/>
          <w:szCs w:val="30"/>
        </w:rPr>
      </w:pPr>
    </w:p>
    <w:p w14:paraId="59156C7D">
      <w:pPr>
        <w:spacing w:line="540" w:lineRule="exact"/>
        <w:rPr>
          <w:rFonts w:hAnsi="宋体" w:eastAsia="仿宋_GB2312" w:cs="宋体"/>
          <w:kern w:val="0"/>
          <w:sz w:val="30"/>
          <w:szCs w:val="30"/>
        </w:rPr>
      </w:pPr>
    </w:p>
    <w:p w14:paraId="515CE10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1D89AA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乌财社[2023]275号、84号、131号、乌财社（2022）428号-关于提前下达2024年中央财政就业补助资金[直达资金]</w:t>
      </w:r>
    </w:p>
    <w:p w14:paraId="0C24555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乌鲁木齐市米东区人力资源和社会保障局</w:t>
      </w:r>
    </w:p>
    <w:p w14:paraId="51CD16D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乌鲁木齐市米东区人力资源和社会保障局</w:t>
      </w:r>
    </w:p>
    <w:p w14:paraId="1F3B1A7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苏玉萍</w:t>
      </w:r>
    </w:p>
    <w:p w14:paraId="0AA382B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2025年05月13日</w:t>
      </w:r>
    </w:p>
    <w:p w14:paraId="664B5153">
      <w:pPr>
        <w:spacing w:line="700" w:lineRule="exact"/>
        <w:ind w:firstLine="708" w:firstLineChars="236"/>
        <w:jc w:val="left"/>
        <w:rPr>
          <w:rFonts w:hAnsi="宋体" w:eastAsia="仿宋_GB2312" w:cs="宋体"/>
          <w:kern w:val="0"/>
          <w:sz w:val="30"/>
          <w:szCs w:val="30"/>
        </w:rPr>
      </w:pPr>
    </w:p>
    <w:p w14:paraId="4DDBF2FE">
      <w:pPr>
        <w:spacing w:line="540" w:lineRule="exact"/>
        <w:rPr>
          <w:rStyle w:val="18"/>
          <w:rFonts w:ascii="黑体" w:hAnsi="黑体" w:eastAsia="黑体"/>
          <w:b w:val="0"/>
          <w:spacing w:val="-4"/>
          <w:sz w:val="32"/>
          <w:szCs w:val="32"/>
        </w:rPr>
      </w:pPr>
    </w:p>
    <w:p w14:paraId="137225CF">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F35880C">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3BD32E2D">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（一）项目概况：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1．项目背景、主要内容及实施情况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实施背景：（1）根据乌财社(2021)2号《关于印发&lt;乌鲁木齐市社会保险补贴办法&gt;的通知》文件精神，企业社保补贴、灵活就业社保补贴：扎实做好“六稳”工作，落实“六保”任务，充分发挥社会保险补贴政策对就业再就业的引导、规范、支持和激励。由中央财政、市级财政统筹安排资金，对企业社保补贴、灵活就业社保补贴人员给社会保险给予补贴。（2）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3）为促就业，促就业做好信息员补贴、创业补贴、职业技能鉴定补贴。</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项目2024年的主要实施内容：</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根据乌财社(2021)2号《关于印发&lt;乌鲁木齐市社会保险补贴办法&gt;的通知》企业社保补贴、灵活就业补保补贴享受社会保险补贴的用人单位（1）新招用劳动者，签订一年以上期限劳动合同，并按规定为其缴纳社会保险费的用人单位；（2）安置就业困难人员在公益性岗位就业并签订劳动合同的用人单位。（3）享受社会保险补贴的个人。①到各类企业就业，签订一年以上期限劳动合同并按规定缴纳社会保险费的高校毕业生②返乡从事农牧业生产经营管理和服务，并参加社会保险的校毕业生③登记失业的劳动者灵活就业后，以灵活就业人员身份参加社会保险、且履行了社会保险费缴纳义务的④实现自主创业，以灵活就业身份参保缴费且稳定经营一年以上，持续保持经营状态的自主创业人员。</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根据新人社发〔2020〕8号文件《关于进一步做好公益性岗位开发管理有关工作的通知》公益性岗位安置对象为：（1）城镇零就业家庭、夫妻双失业家庭成员中的城镇登记失业人员；（2）享受城镇居民最低生活保障待遇，且连续失业半年注任岗位工作的以上的城镇登记失业人员；（3）部分丧失劳动能力，且连续失业半年以的调，支持县记残疾失业人员；（4）女满45周岁、男满55周岁及其以上的城镇登记失业人员；（5）连续失业一年以上的城镇登记失业人员；（6）连续失业一年以上的登记失业高校毕业生；（7）因政府征地且经济收入低于当地平均生活水平的农民；（8）通过市场渠道确实无法实现转移就业的建档立卡贫家庭劳动力：（9）自治区人力资源社会保障厅、财政厅规定的需要通过益性岗位安置的其他人员。</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创业补贴：在校及离校5年以内未就业普通高等学校、职业学校、技工院校学生、在自治区范围内领取工商营业执照（或其他法定注册登记手续），正常经营6个月以上的，一次性给予2000元的创业资助，创业实体只能申请享受一次，不得与就业援助重复申领。</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项目总预算6,411.57万元，其中当年财政拨款1534万元，上年结转4877.57万元。</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实际完成情况为：2024年实际完成情况：灵活就业社保补贴实际完成情况3091人具体为：①就业困难社会保险补贴449人;②4050人员社会保险补贴2人；③新疆籍社会保险补贴1099人；④非新疆籍社会保险补贴1442人；⑤自主创业人员社会保险补贴99人。</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企业社保补贴实际完成情况2549人具体为：①大中专单位（个人）社会保险补贴713人;②非新疆籍社会保险补贴172人；③新疆籍社会保险补贴955人；④三类企业养老保险社保补贴709人。</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2.资金投入和使用情况</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资金投入情况：经乌财社[2023]275号、84号、131号、乌财社（2022）428号文件批准，项目系2024年中央资金，共安排预算6411.57万元，于2024年年初部分预算批复项目，具体为乌财社[2023]275号《关于提前下达2024中央财政就业补助资金（直达资金）的通知》1534万元，乌财社[2023]84号、131号，乌财社（2022）428号为上年结转资金共计4877.57万元。</w:t>
      </w:r>
      <w:r>
        <w:rPr>
          <w:rStyle w:val="18"/>
          <w:rFonts w:eastAsia="楷体"/>
          <w:b w:val="0"/>
          <w:bCs w:val="0"/>
          <w:spacing w:val="-4"/>
          <w:sz w:val="32"/>
          <w:szCs w:val="32"/>
        </w:rPr>
        <w:cr/>
      </w:r>
      <w:r>
        <w:rPr>
          <w:rStyle w:val="18"/>
          <w:rFonts w:eastAsia="楷体"/>
          <w:b w:val="0"/>
          <w:bCs w:val="0"/>
          <w:spacing w:val="-4"/>
          <w:sz w:val="32"/>
          <w:szCs w:val="32"/>
        </w:rPr>
        <w:br w:type="textWrapping"/>
      </w:r>
      <w:r>
        <w:rPr>
          <w:rStyle w:val="18"/>
          <w:rFonts w:eastAsia="楷体"/>
          <w:b w:val="0"/>
          <w:bCs w:val="0"/>
          <w:spacing w:val="-4"/>
          <w:sz w:val="32"/>
          <w:szCs w:val="32"/>
        </w:rPr>
        <w:t>该项目资金使用情况：①总预算情况：6411.57万元；②资金投入主要为公益性岗位补贴、社保补贴、企业、灵活就业社保补贴、职业培训补贴、自主创业补助、职业鉴定补贴、技能大赛费、农村信息员补贴。③预算投入为情况6411.57万元。④执行情况为2021年-2024年企业、灵活就业社保补贴支出4971.91万元、职业培训补贴367.66万元、自主创业补助725.3万元、职业鉴定补贴11.75万元、技能大赛费7.2万元、农村信息员补贴77.76万元、公益性岗位社保补贴250万元。⑤预算执行率：100%，以上6411.57万元已全部拨付完。</w:t>
      </w:r>
    </w:p>
    <w:p w14:paraId="5A90A77E">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BDC3804">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（二）项目绩效目标：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享受企业社保补贴人数、灵享受灵活社保补贴人数、就业补贴发放准确率、就业补贴发放及时率、提升单位履职能力、促进当地就业、就业补贴人员满意度），以准确、清晰地反映财政资金在使用期所能达到的预期产出和效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该项目为经常性项目。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总体绩效目标：乌财社[2023]275号、84号、131号、乌财社（2022）428号-关于提前下达2024年中央财政就业补助资金[直达资金]项目资金主要用于公益性岗位社保补贴、企业社保补贴、灵活就业社保补贴补助等支出。有利于做好“六稳”工作，落实“六保”任务，充分发挥社会保险补贴政策对就业再就业的引导、规范、支持和激励。达到了促进当地就业，减轻居民生活负担，保障民生的社会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阶段性目标为：在2024年计划完成了灵活就业社保补贴3091人，企业社保补贴2549人的补贴发放，以及职业培训补贴、自主创业补助、职业鉴定补贴、技能大赛费、农村信息员补贴的各项补贴发放共计6411.57万元，做到了全年预算全部拨付完毕，资金发放准确率，及时率均已达到100%，做到了提升社会整体就业水平，完善社会保障体系，为经济社会的稳定和可持续发展奠定坚实基础。</w:t>
      </w:r>
    </w:p>
    <w:p w14:paraId="6F9EE424">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FC64A2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4F35FB8">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绩效评价目的、对象和范围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1.绩效评价完整性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的目标为公益性岗位人员、企业社保人员、灵活就业人员、职业培训人员、自主创业人员等补贴社保和发放补贴，项目范围是各项补贴发放要严格按照有关规定办理，杜绝不符合安置条件人员享受补贴。本项目要求为（1）公益性岗位：①各区（县）人力资源和社会保障部门在遵循“公平、公正、公开”原则的基础上，按照“基层申报、市级统筹、分级管理、总量控制”的要求。结合脱贫攻坚和乡村振兴战略等重大决策部署，优先安置“无法离乡、无业可扶、无力脱贫”且有能力胜任岗位工作的建档立卡贫困劳动力及乡村公益性岗位，人员管理参照公益性岗位相关规定执行。②对通过市场渠道仍然难以实现就业，并经社区(村)初审、片区管委会（乡镇）复核、区（县）人力资源和社会保障部门审核认定符合公益性岗位安置条件的，要根据年龄、家庭等因素建立公益性岗位安置对象排序机制，优先安置符合岗位条件且距离法定退休年龄不足5年人员和零就业家庭成员。③新开发岗位及原有岗位招聘。④有下列情形之一的人员不予招聘：1.因犯错误正在接受审查或被处分且处分期未满的；2.法律、法规规定的其他情形。（2）企业社保补贴：明确补贴对象，涵盖新招用劳动者并签订一年以上期限劳动合同且按规缴纳社保的用人单位，以及安置就业困难人员在公益性岗位就业并签订劳动合同的用人单位。详细规定补贴标准，各类企业新招用劳动者补贴标准各异，如一般企业按实际缴纳基本养老保险费的50%补贴，招用高校毕业生和就业困难人员则按“三险”之和补贴；中小微等特定企业招用劳动者按基本养老保险费全额补贴等。设定补贴期限，最长不超过3年，对距法定退休年龄不足5年的就业困难人员可延长至退休年龄，临时性公益性岗位就业人员补贴期限另有规定。规范申领流程，实行“先缴后补”，企业按季度向所在地人社部门申请，提交相关材料，经审核、公示、复核后，补贴资金拨付至企业基本账户。（3）灵活就业社保补贴新疆户籍人员或在乌鲁木齐市连续居住6个月以上的疆外户籍人员，且在乌鲁木齐市范围内参保缴费并持有《新疆维吾尔自治区就业创业登记证》、就业困难人员、高校毕业生。从事灵活就业且按规定在乌鲁木齐市缴纳社会保险费。符合条件的个人，按下列标准给予最长不超过3年的社会保险补贴，补贴标准最高不超过自治区上年度职工社会平均工资的100%为缴费基数计算社会保险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灵活就业或自主创业人员的社会保险补贴标准，按其本人实际缴纳的基本养老保险费给予补贴，其中从事灵活就业的就业困难人员和高校毕业生的社会保险补贴标准，按照其实际缴纳的基本养老保险、基本医疗保险、失业保险费之和给予全额补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以上项目评价能够通过绩效评价产出数量指标灵活就业补贴3091人、企业社保补贴2549人，产出质量指标的就业补贴发放准确率100%、产出时效指标的就业补贴发放及时率100%</w:t>
      </w:r>
      <w:bookmarkStart w:id="0" w:name="_GoBack"/>
      <w:bookmarkEnd w:id="0"/>
      <w:r>
        <w:rPr>
          <w:rStyle w:val="18"/>
          <w:rFonts w:hint="eastAsia" w:eastAsia="楷体"/>
          <w:b w:val="0"/>
          <w:bCs w:val="0"/>
          <w:spacing w:val="-4"/>
          <w:sz w:val="32"/>
          <w:szCs w:val="32"/>
        </w:rPr>
        <w:t>以及提升当地就业率的社会效益指标系、提供了良好的履职基础是群众满意度提高的各绩效评价，完整地体现。</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计划为公益性岗位人员、企业社保人员、灵活就业人员、职业培训人员的社保补贴和岗位补贴以及各项补贴，管理和优化配置，让更多的就业困难人员走向工作岗位。本项目执行过程是根据新人社发〔2020〕8号文件《关于进一步做好公益性岗位开发管理有关工作的通知》、乌人社规〔2021〕2号《乌鲁木齐市社会保险补贴办法》、新人社规〔2020〕1号《新疆维吾尔自治区社会保险补贴办法》、新政发〔2020〕16号《新疆维吾尔自治区关于进一步做好稳就业工作的实施意见》等文件，具体实施情况是（1）公益性岗位补贴: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eastAsia="楷体"/>
          <w:b w:val="0"/>
          <w:bCs w:val="0"/>
          <w:spacing w:val="-4"/>
          <w:sz w:val="32"/>
          <w:szCs w:val="32"/>
          <w:lang w:eastAsia="zh-CN"/>
        </w:rPr>
        <w:t>人力资源和社会保障部门</w:t>
      </w:r>
      <w:r>
        <w:rPr>
          <w:rStyle w:val="18"/>
          <w:rFonts w:hint="eastAsia" w:eastAsia="楷体"/>
          <w:b w:val="0"/>
          <w:bCs w:val="0"/>
          <w:spacing w:val="-4"/>
          <w:sz w:val="32"/>
          <w:szCs w:val="32"/>
        </w:rPr>
        <w:t>初审后，报送市人力资源和社会保障部门，财政部门按程序拨付资金,(2)企业社保补贴:人力资源和社会保障部门负责审核企业提交的申请材料，核实补贴资格，公示审核结果，并将审核通过的信息提交财政部门。财政部门承担复核工作，确保补贴资金的合规性和准确性，按程序及时拨付补贴资金。企业需按要求整理和提交申请材料，配合相关部门的核查工作,(3)灵活就业社保补贴：个人申领社会保险补贴，由个人按季度到就业所在地社区（村）劳动保障工作机构提出申请，由社区（村）劳动保障工作机构对灵活就业人员或返乡从事农牧业生产经营管理和服务的高校毕业生出具《灵活就业（高校毕业生返乡从事农牧业生产经营管理和服务）认定证明》，并进行核实后公示5天，报街道（乡镇）劳动保障工作机构审核。对符合条件的，由街道（乡镇）劳动保障工作机构填写《个人社会保险补贴审批表》，报米东区人力资源社会保障部门审批，经米东区人力资源和社会保障部门审核后，由米东区财政部门复核，将社会保险补贴资金直接拨付给申请者本人在银行开立的个人账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具体执行情况为支付了2021年-2024年企业、灵活就业社保补贴支出4971.91万元、职业培训补贴367.66万元、自主创业补助725.3万元、职业鉴定补贴11.75万元、技能大赛费7.2万元、农村信息员补贴77.76万元、公益性岗位社保补贴250万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最后，关于评价数据的来源和采集，我们采取了多种方式和渠道。一方面，我们通过问卷调查、访谈等方式收集服务对象对项目后续建成的评价数据；另一方面，我们也从财务系统中提取相关数据，用于分析项目的成本控制和资源利用情况。同时，项目严格按照档案管理要求保存资料，对于工作过程发生的宣传材料、原始凭证等相关资料及时归档，还对数据的真实性和有效性进行了严格的核查和校验，确保评价结果的准确性和可靠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2.评价目的</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乌财社[2023]275号、84号、131号、乌财社（2022）428号-关于提前下达2024年中央财政就业补助资金[直达资金]项目的实施情况，并考察项目实施过程和效果。</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（2）通过评价，客观公正反映项目立项科学性、项目管理规范性、项目实施有效性和项目效果，总结项目实施的经验，发现项目实施过程中存在的问题，提高财政资金使用效益。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3.评价对象</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（1）绩效评价的对象：乌财社[2023]275号、84号、131号、乌财社（2022）428号-关于提前下达2024年中央财政就业补助资金[直达资金]项目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4.绩效评价范围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1.时间范围：2024年1月1日至2024年12月31日。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2.项目范围：乌财社[2023]275号、84号、131号、乌财社（2022）428号-关于提前下达2024年中央财政就业补助资金[直达资金]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项目主要情况：根据乌财社(2021)2号《关于印发&lt;乌鲁木齐市社会保险补贴办法&gt;的通知》文件精神，企业社保补贴、灵活就业社保补贴：扎实做好“六稳”工作，落实“六保”任务，充分发挥社会保险补贴政策对就业再就业的引导、规范、支持和激励。由中央财政、市级财政统筹安排资金，对企业社保补贴、灵活就业社保补贴人员给社会保险给予补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为促就业，促就业做好信息员补贴、创业补贴、职业技能鉴定补贴。此项目资金主要用于公益性岗位社保补贴、企业社保补贴、灵活就业社保补贴补助等支出。有利于做好“六稳”工作，落实“六保”任务，充分发挥社会保险补贴政策对就业再就业的引导、规范、支持和激励。达到了促进当地就业，减轻居民生活负担，保障民生的社会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项目系2024年中央资金，共安排预算6411万元，于2024年年初部分预算批复项目，具体为乌财社[2023]275号《关于提前下达2024中央财政就业补助资金（直达资金）的通知》1534万元，乌财社[2023]84号、131号，乌财社（2022）428号为上年结转资金共计4877.57万元。资金投入主要为公益性岗位补贴、社保补贴、企业、灵活就业社保补贴、职业培训补贴、自主创业补助、职业鉴定补贴、技能大赛费、农村信息员补贴。③预算投入为情况6411.57万元。④执行情况为2021年-2024年企业、灵活就业社保补贴支出4971.91万元、职业培训补贴367.66万元、自主创业补助725.3万元、职业鉴定补贴11.75万元、技能大赛费7.2万元、农村信息员补贴77.76万元、公益性岗位社保补贴250万元。⑤预算执行率：100%，以上6411.57万元已全部拨付完，做到了提升社会整体就业水平，完善社会保障体系，为经济社会的稳定和可持续发展奠定坚实基础。</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该项目主要经验：本项目涉及我单位近80%业务，其中①企业社保补贴：精准定位补贴对象，依据详细的标准确定补贴资格，避免补贴的泛化和错漏，提高政策实施的精准度。规范流程保障公正，“先缴后补”、多部门协同审核以及公示制度，确保补贴发放的公平、公正、公开，保障了企业和劳动者的合法权益。宣传推广提升知晓度，通过线上线下多种渠道广泛宣传政策，提高了政策的知晓率和社会关注度，吸引了更多企业和劳动者参与。②灵活就业补贴补贴：利用国旗下讲话、入户走访、微信公众号等多种渠道宣传灵活就业社保补贴，鼓励居民进行社保补贴的申报。加强对社区专干的政策培训，做好社保补贴的资料初审工作，杜绝不符合补贴要求人员申领社保补贴。③自主创业补贴：多渠道覆盖宣传：通过线上线下联动，发挥社区宣传小分队作用，微信群等广泛宣传传播政策信息，确保政策知晓率。主动摸排与上门服务：社区工作人员通过对辖区商户走访，主动联系符合条件的创业者申请一次性创业补贴。④职业培训补贴：职业技能培训坚持以综合素质能力培养为着力点，以推动经济发展提速、治理效能提档、民生福祉提升、民族团结提质、文明程度提高为落脚点，坚持就业创业为导向，增强培训实效，助力企业人才培养，加强生产效能提高，促进人才高质量发展，进一步实现“稳就业”“保就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我们克服了人员少、业务重，严格按照新疆维吾尔自治区就业资金管理办法，组织实施再就业项目，制定量化指标、执行资金使用进度，项目完成后，将所有业务资料交里的审核签批，并整理归档，以备查，2024年按照财政部门的要求上报项目绩效资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（6）该项目存在主要问题：①申请流程较为繁琐：企业反映申请材料较多，审核环节复杂，办理周期较长，增加了企业的时间和人力成本。</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②在摸排过程中发现我区现阶段补贴性职业培训的工种及师资与企业的培训需求不相匹配，无法满足用人单位的培训需求，培训工种的开发及师资配备与群众的实际需求也不能同步。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原因分析：①就业政策宣传覆盖面不够广。②业务人员的业务知识还不够熟练，有些问题不能做出最优解答。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提出的建议：①精简申请材料，优化申请流程，推行全程网上办理，减少纸质材料报送，实现信息内部核查共享，提高办理效率和便捷性。②加强对企业和基层工作人员的培训，使其熟悉政策内容和操作流程</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结合项目特点，通过数据采集、问卷调查及访谈等形式，对此项目进行客观评价，最终评级为“优”[本次绩效评价结果实施百分制和四级分类，其中90（含）-100分为优、80（含）-90分为良、70（含）-80分为中、70分以下为差。]</w:t>
      </w:r>
    </w:p>
    <w:p w14:paraId="40B1FDAB">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D0AC695">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（一）科学公正。绩效评价应当运用科学合理的方法，按照规范的程序，对项目绩效进行客观、公正的反映。</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（四）公开透明。绩效评价结果应依法依规公开，并自觉接受社会监督。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2.评价指标体系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绩效评价指标体系作为衡量绩效目标实现程度的考核工具，一般遵循以下原则：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（1）相关性原则：绩效评价指标应当与绩效目标有直接的联系，能够恰当反映目标的实现程度。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（2）重要性原则：应当优先使用最具评价对象代表性、最能反映评价要求的核心指标。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（3）可比性原则：对同类评价对象要设定共性的绩效评价指标，以便于评价结果可以相互比较。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本项目的评价指标体系建立如下表所示。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项目支出绩效评价指标体系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w:t>
      </w:r>
      <w:r>
        <w:rPr>
          <w:rStyle w:val="18"/>
          <w:rFonts w:hint="eastAsia" w:eastAsia="楷体"/>
          <w:b w:val="0"/>
          <w:bCs w:val="0"/>
          <w:spacing w:val="-4"/>
          <w:sz w:val="32"/>
          <w:szCs w:val="32"/>
        </w:rPr>
        <w:tab/>
        <w:t>二级指标</w:t>
      </w:r>
      <w:r>
        <w:rPr>
          <w:rStyle w:val="18"/>
          <w:rFonts w:hint="eastAsia" w:eastAsia="楷体"/>
          <w:b w:val="0"/>
          <w:bCs w:val="0"/>
          <w:spacing w:val="-4"/>
          <w:sz w:val="32"/>
          <w:szCs w:val="32"/>
        </w:rPr>
        <w:tab/>
        <w:t>三级指标</w:t>
      </w:r>
      <w:r>
        <w:rPr>
          <w:rStyle w:val="18"/>
          <w:rFonts w:hint="eastAsia" w:eastAsia="楷体"/>
          <w:b w:val="0"/>
          <w:bCs w:val="0"/>
          <w:spacing w:val="-4"/>
          <w:sz w:val="32"/>
          <w:szCs w:val="32"/>
        </w:rPr>
        <w:tab/>
        <w:t>指标解释</w:t>
      </w:r>
      <w:r>
        <w:rPr>
          <w:rStyle w:val="18"/>
          <w:rFonts w:hint="eastAsia" w:eastAsia="楷体"/>
          <w:b w:val="0"/>
          <w:bCs w:val="0"/>
          <w:spacing w:val="-4"/>
          <w:sz w:val="32"/>
          <w:szCs w:val="32"/>
        </w:rPr>
        <w:tab/>
        <w:t>指标说明</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w:t>
      </w:r>
      <w:r>
        <w:rPr>
          <w:rStyle w:val="18"/>
          <w:rFonts w:hint="eastAsia" w:eastAsia="楷体"/>
          <w:b w:val="0"/>
          <w:bCs w:val="0"/>
          <w:spacing w:val="-4"/>
          <w:sz w:val="32"/>
          <w:szCs w:val="32"/>
        </w:rPr>
        <w:tab/>
        <w:t>项目立项</w:t>
      </w:r>
      <w:r>
        <w:rPr>
          <w:rStyle w:val="18"/>
          <w:rFonts w:hint="eastAsia" w:eastAsia="楷体"/>
          <w:b w:val="0"/>
          <w:bCs w:val="0"/>
          <w:spacing w:val="-4"/>
          <w:sz w:val="32"/>
          <w:szCs w:val="32"/>
        </w:rPr>
        <w:tab/>
        <w:t>立项依据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充分性</w:t>
      </w:r>
      <w:r>
        <w:rPr>
          <w:rStyle w:val="18"/>
          <w:rFonts w:hint="eastAsia" w:eastAsia="楷体"/>
          <w:b w:val="0"/>
          <w:bCs w:val="0"/>
          <w:spacing w:val="-4"/>
          <w:sz w:val="32"/>
          <w:szCs w:val="32"/>
        </w:rPr>
        <w:tab/>
        <w:t>项目立项是否符合法律法规、相关政策、发展规划以及部门职责，用以反映和考核项目立项依据情况。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①项目立项是否符合国家法律法规、国民经济发展规划和相关政策；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②项目立项是否符合行业发展规划和政策要求；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③项目立项是否与部门职责范围相符，属于部门履职所需；</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④项目是否属于公共财政支持范围，是否符合中央、地方事权支出责任划分原则；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⑤项目是否与相关部门同类项目或部门内部相关项目重复。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立项程序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规范性</w:t>
      </w:r>
      <w:r>
        <w:rPr>
          <w:rStyle w:val="18"/>
          <w:rFonts w:hint="eastAsia" w:eastAsia="楷体"/>
          <w:b w:val="0"/>
          <w:bCs w:val="0"/>
          <w:spacing w:val="-4"/>
          <w:sz w:val="32"/>
          <w:szCs w:val="32"/>
        </w:rPr>
        <w:tab/>
        <w:t>项目申请、设立过程是否符合相关要求，用以反映和考核项目立项的规范情况。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①项目是否按照规定的程序申请设立；</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②审批文件、材料是否符合相关要求；</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③事前是否已经过必要的可行性研究、专家论证、风险评估、绩效评估、集体决策。</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绩效目标</w:t>
      </w:r>
      <w:r>
        <w:rPr>
          <w:rStyle w:val="18"/>
          <w:rFonts w:hint="eastAsia" w:eastAsia="楷体"/>
          <w:b w:val="0"/>
          <w:bCs w:val="0"/>
          <w:spacing w:val="-4"/>
          <w:sz w:val="32"/>
          <w:szCs w:val="32"/>
        </w:rPr>
        <w:tab/>
        <w:t>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w:t>
      </w:r>
      <w:r>
        <w:rPr>
          <w:rStyle w:val="18"/>
          <w:rFonts w:hint="eastAsia" w:eastAsia="楷体"/>
          <w:b w:val="0"/>
          <w:bCs w:val="0"/>
          <w:spacing w:val="-4"/>
          <w:sz w:val="32"/>
          <w:szCs w:val="32"/>
        </w:rPr>
        <w:tab/>
        <w:t>项目所设定的绩效目标是否依据充分，是否符合客观实际，用以反映和考核项目绩效目标与项目实施的相符情况。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（如未设定预算绩效目标，也可考核其他工作任务目标）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①项目是否有绩效目标；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②项目绩效目标与实际工作内容是否具有相关性；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③项目预期产出效益和效果是否符合正常的业绩水平；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④是否与预算确定的项目投资额或资金量相匹配。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w:t>
      </w:r>
      <w:r>
        <w:rPr>
          <w:rStyle w:val="18"/>
          <w:rFonts w:hint="eastAsia" w:eastAsia="楷体"/>
          <w:b w:val="0"/>
          <w:bCs w:val="0"/>
          <w:spacing w:val="-4"/>
          <w:sz w:val="32"/>
          <w:szCs w:val="32"/>
        </w:rPr>
        <w:tab/>
        <w:t>绩效目标</w:t>
      </w:r>
      <w:r>
        <w:rPr>
          <w:rStyle w:val="18"/>
          <w:rFonts w:hint="eastAsia" w:eastAsia="楷体"/>
          <w:b w:val="0"/>
          <w:bCs w:val="0"/>
          <w:spacing w:val="-4"/>
          <w:sz w:val="32"/>
          <w:szCs w:val="32"/>
        </w:rPr>
        <w:tab/>
        <w:t>绩效指标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明确性</w:t>
      </w:r>
      <w:r>
        <w:rPr>
          <w:rStyle w:val="18"/>
          <w:rFonts w:hint="eastAsia" w:eastAsia="楷体"/>
          <w:b w:val="0"/>
          <w:bCs w:val="0"/>
          <w:spacing w:val="-4"/>
          <w:sz w:val="32"/>
          <w:szCs w:val="32"/>
        </w:rPr>
        <w:tab/>
        <w:t>依据绩效目标设定的绩效指标是否清晰、细化、可衡量等，用以反映和考核项目绩效目标的明细化情况。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①是否将项目绩效目标细化分解为具体的绩效指标；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②是否通过清晰、可衡量的指标值予以体现；</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③是否与项目目标任务数或计划数相对应。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资金投入</w:t>
      </w:r>
      <w:r>
        <w:rPr>
          <w:rStyle w:val="18"/>
          <w:rFonts w:hint="eastAsia" w:eastAsia="楷体"/>
          <w:b w:val="0"/>
          <w:bCs w:val="0"/>
          <w:spacing w:val="-4"/>
          <w:sz w:val="32"/>
          <w:szCs w:val="32"/>
        </w:rPr>
        <w:tab/>
        <w:t>预算编制</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科学性</w:t>
      </w:r>
      <w:r>
        <w:rPr>
          <w:rStyle w:val="18"/>
          <w:rFonts w:hint="eastAsia" w:eastAsia="楷体"/>
          <w:b w:val="0"/>
          <w:bCs w:val="0"/>
          <w:spacing w:val="-4"/>
          <w:sz w:val="32"/>
          <w:szCs w:val="32"/>
        </w:rPr>
        <w:tab/>
        <w:t>项目预算编制是否经过科学论证、有明确标准，资金额度与年度目标是否相适应，用以反映和考核项目预算编制的科学性、合理性情况。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①预算编制是否经过科学论证；</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②预算内容与项目内容是否匹配；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③预算额度测算依据是否充分，是否按照标准编制；</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④预算确定的项目投资额或资金量是否与工作任务相匹配。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资金分配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w:t>
      </w:r>
      <w:r>
        <w:rPr>
          <w:rStyle w:val="18"/>
          <w:rFonts w:hint="eastAsia" w:eastAsia="楷体"/>
          <w:b w:val="0"/>
          <w:bCs w:val="0"/>
          <w:spacing w:val="-4"/>
          <w:sz w:val="32"/>
          <w:szCs w:val="32"/>
        </w:rPr>
        <w:tab/>
        <w:t>项目预算资金分配是否有测算依据，与补助单位或地方实际是否相适应，用以反映和考核项目预算资金分配的科学性、合理性情况。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①预算资金分配依据是否充分；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②资金分配额度是否合理，与项目单位或地方实际是否相适应。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w:t>
      </w:r>
      <w:r>
        <w:rPr>
          <w:rStyle w:val="18"/>
          <w:rFonts w:hint="eastAsia" w:eastAsia="楷体"/>
          <w:b w:val="0"/>
          <w:bCs w:val="0"/>
          <w:spacing w:val="-4"/>
          <w:sz w:val="32"/>
          <w:szCs w:val="32"/>
        </w:rPr>
        <w:tab/>
        <w:t>资金管理</w:t>
      </w:r>
      <w:r>
        <w:rPr>
          <w:rStyle w:val="18"/>
          <w:rFonts w:hint="eastAsia" w:eastAsia="楷体"/>
          <w:b w:val="0"/>
          <w:bCs w:val="0"/>
          <w:spacing w:val="-4"/>
          <w:sz w:val="32"/>
          <w:szCs w:val="32"/>
        </w:rPr>
        <w:tab/>
        <w:t>资金到位率</w:t>
      </w:r>
      <w:r>
        <w:rPr>
          <w:rStyle w:val="18"/>
          <w:rFonts w:hint="eastAsia" w:eastAsia="楷体"/>
          <w:b w:val="0"/>
          <w:bCs w:val="0"/>
          <w:spacing w:val="-4"/>
          <w:sz w:val="32"/>
          <w:szCs w:val="32"/>
        </w:rPr>
        <w:tab/>
        <w:t>实际到位资金与预算资金的比率，用以反映和考核资金落实情况对项目实施的总体保障程度。</w:t>
      </w:r>
      <w:r>
        <w:rPr>
          <w:rStyle w:val="18"/>
          <w:rFonts w:hint="eastAsia" w:eastAsia="楷体"/>
          <w:b w:val="0"/>
          <w:bCs w:val="0"/>
          <w:spacing w:val="-4"/>
          <w:sz w:val="32"/>
          <w:szCs w:val="32"/>
        </w:rPr>
        <w:tab/>
        <w:t>资金到位率=（实际到位资金/预算资金）×100%。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实际到位资金：一定时期（本年度或项目期）内落实到具体项目的资金。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预算资金：一定时期（本年度或项目期）内预算安排到具体项目的资金。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预算执行率</w:t>
      </w:r>
      <w:r>
        <w:rPr>
          <w:rStyle w:val="18"/>
          <w:rFonts w:hint="eastAsia" w:eastAsia="楷体"/>
          <w:b w:val="0"/>
          <w:bCs w:val="0"/>
          <w:spacing w:val="-4"/>
          <w:sz w:val="32"/>
          <w:szCs w:val="32"/>
        </w:rPr>
        <w:tab/>
        <w:t>项目预算资金是否按照计划执行，用以反映或考核项目预算执行情况。</w:t>
      </w:r>
      <w:r>
        <w:rPr>
          <w:rStyle w:val="18"/>
          <w:rFonts w:hint="eastAsia" w:eastAsia="楷体"/>
          <w:b w:val="0"/>
          <w:bCs w:val="0"/>
          <w:spacing w:val="-4"/>
          <w:sz w:val="32"/>
          <w:szCs w:val="32"/>
        </w:rPr>
        <w:tab/>
        <w:t>预算执行率=（实际支出资金/实际到位资金）×100%。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实际支出资金：一定时期（本年度或项目期）内项目实际拨付的资金。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w:t>
      </w:r>
      <w:r>
        <w:rPr>
          <w:rStyle w:val="18"/>
          <w:rFonts w:hint="eastAsia" w:eastAsia="楷体"/>
          <w:b w:val="0"/>
          <w:bCs w:val="0"/>
          <w:spacing w:val="-4"/>
          <w:sz w:val="32"/>
          <w:szCs w:val="32"/>
        </w:rPr>
        <w:tab/>
        <w:t>资金管理</w:t>
      </w:r>
      <w:r>
        <w:rPr>
          <w:rStyle w:val="18"/>
          <w:rFonts w:hint="eastAsia" w:eastAsia="楷体"/>
          <w:b w:val="0"/>
          <w:bCs w:val="0"/>
          <w:spacing w:val="-4"/>
          <w:sz w:val="32"/>
          <w:szCs w:val="32"/>
        </w:rPr>
        <w:tab/>
        <w:t>资金使用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合规性</w:t>
      </w:r>
      <w:r>
        <w:rPr>
          <w:rStyle w:val="18"/>
          <w:rFonts w:hint="eastAsia" w:eastAsia="楷体"/>
          <w:b w:val="0"/>
          <w:bCs w:val="0"/>
          <w:spacing w:val="-4"/>
          <w:sz w:val="32"/>
          <w:szCs w:val="32"/>
        </w:rPr>
        <w:tab/>
        <w:t>项目资金使用是否符合相关的财务管理制度规定，用以反映和考核项目资金的规范运行情况。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①是否符合国家财经法规和财务管理制度以及有关专项资金管理办法的规定；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②资金的拨付是否有完整的审批程序和手续；</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③是否符合项目预算批复或合同规定的用途；</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④是否存在截留、挤占、挪用、虚列支出等情况。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组织实施</w:t>
      </w:r>
      <w:r>
        <w:rPr>
          <w:rStyle w:val="18"/>
          <w:rFonts w:hint="eastAsia" w:eastAsia="楷体"/>
          <w:b w:val="0"/>
          <w:bCs w:val="0"/>
          <w:spacing w:val="-4"/>
          <w:sz w:val="32"/>
          <w:szCs w:val="32"/>
        </w:rPr>
        <w:tab/>
        <w:t>管理制度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健全性</w:t>
      </w:r>
      <w:r>
        <w:rPr>
          <w:rStyle w:val="18"/>
          <w:rFonts w:hint="eastAsia" w:eastAsia="楷体"/>
          <w:b w:val="0"/>
          <w:bCs w:val="0"/>
          <w:spacing w:val="-4"/>
          <w:sz w:val="32"/>
          <w:szCs w:val="32"/>
        </w:rPr>
        <w:tab/>
        <w:t>项目实施单位的财务和业务管理制度是否健全，用以反映和考核财务和业务管理制度对项目顺利实施的保障情况。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①是否已制定或具有相应的财务和业务管理制度；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②财务和业务管理制度是否合法、合规、完整。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制度执行</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有效性</w:t>
      </w:r>
      <w:r>
        <w:rPr>
          <w:rStyle w:val="18"/>
          <w:rFonts w:hint="eastAsia" w:eastAsia="楷体"/>
          <w:b w:val="0"/>
          <w:bCs w:val="0"/>
          <w:spacing w:val="-4"/>
          <w:sz w:val="32"/>
          <w:szCs w:val="32"/>
        </w:rPr>
        <w:tab/>
        <w:t>项目实施是否符合相关管理规定，用以反映和考核相关管理制度的有效执行情况。</w:t>
      </w:r>
      <w:r>
        <w:rPr>
          <w:rStyle w:val="18"/>
          <w:rFonts w:hint="eastAsia" w:eastAsia="楷体"/>
          <w:b w:val="0"/>
          <w:bCs w:val="0"/>
          <w:spacing w:val="-4"/>
          <w:sz w:val="32"/>
          <w:szCs w:val="32"/>
        </w:rPr>
        <w:tab/>
        <w:t>评价要点：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①是否遵守相关法律法规和相关管理规定；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②项目调整及支出调整手续是否完备；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③项目合同书、验收报告、技术鉴定等资料是否齐全并及时归档；</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④项目实施的人员条件、场地设备、信息支撑等是否落实到位。</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w:t>
      </w:r>
      <w:r>
        <w:rPr>
          <w:rStyle w:val="18"/>
          <w:rFonts w:hint="eastAsia" w:eastAsia="楷体"/>
          <w:b w:val="0"/>
          <w:bCs w:val="0"/>
          <w:spacing w:val="-4"/>
          <w:sz w:val="32"/>
          <w:szCs w:val="32"/>
        </w:rPr>
        <w:tab/>
        <w:t>产出数量</w:t>
      </w:r>
      <w:r>
        <w:rPr>
          <w:rStyle w:val="18"/>
          <w:rFonts w:hint="eastAsia" w:eastAsia="楷体"/>
          <w:b w:val="0"/>
          <w:bCs w:val="0"/>
          <w:spacing w:val="-4"/>
          <w:sz w:val="32"/>
          <w:szCs w:val="32"/>
        </w:rPr>
        <w:tab/>
        <w:t>享受企业社保补贴人数</w:t>
      </w:r>
      <w:r>
        <w:rPr>
          <w:rStyle w:val="18"/>
          <w:rFonts w:hint="eastAsia" w:eastAsia="楷体"/>
          <w:b w:val="0"/>
          <w:bCs w:val="0"/>
          <w:spacing w:val="-4"/>
          <w:sz w:val="32"/>
          <w:szCs w:val="32"/>
        </w:rPr>
        <w:tab/>
        <w:t>2024年享受各项补贴补贴人数的实际产享受人数数与计划享受人数的比率，用以反映和考核项目产出数量目标的实现程度。</w:t>
      </w:r>
      <w:r>
        <w:rPr>
          <w:rStyle w:val="18"/>
          <w:rFonts w:hint="eastAsia" w:eastAsia="楷体"/>
          <w:b w:val="0"/>
          <w:bCs w:val="0"/>
          <w:spacing w:val="-4"/>
          <w:sz w:val="32"/>
          <w:szCs w:val="32"/>
        </w:rPr>
        <w:tab/>
        <w:t>指此项目中享受企业社保补贴和灵活就业社保补贴的人数。</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灵享受灵活社保补贴人数</w:t>
      </w:r>
      <w:r>
        <w:rPr>
          <w:rStyle w:val="18"/>
          <w:rFonts w:hint="eastAsia" w:eastAsia="楷体"/>
          <w:b w:val="0"/>
          <w:bCs w:val="0"/>
          <w:spacing w:val="-4"/>
          <w:sz w:val="32"/>
          <w:szCs w:val="32"/>
        </w:rPr>
        <w:tab/>
        <w:t/>
      </w:r>
      <w:r>
        <w:rPr>
          <w:rStyle w:val="18"/>
          <w:rFonts w:hint="eastAsia" w:eastAsia="楷体"/>
          <w:b w:val="0"/>
          <w:bCs w:val="0"/>
          <w:spacing w:val="-4"/>
          <w:sz w:val="32"/>
          <w:szCs w:val="32"/>
        </w:rPr>
        <w:tab/>
        <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产出质量</w:t>
      </w:r>
      <w:r>
        <w:rPr>
          <w:rStyle w:val="18"/>
          <w:rFonts w:hint="eastAsia" w:eastAsia="楷体"/>
          <w:b w:val="0"/>
          <w:bCs w:val="0"/>
          <w:spacing w:val="-4"/>
          <w:sz w:val="32"/>
          <w:szCs w:val="32"/>
        </w:rPr>
        <w:tab/>
        <w:t>就业补贴发放准确率</w:t>
      </w:r>
      <w:r>
        <w:rPr>
          <w:rStyle w:val="18"/>
          <w:rFonts w:hint="eastAsia" w:eastAsia="楷体"/>
          <w:b w:val="0"/>
          <w:bCs w:val="0"/>
          <w:spacing w:val="-4"/>
          <w:sz w:val="32"/>
          <w:szCs w:val="32"/>
        </w:rPr>
        <w:tab/>
        <w:t>各项补贴的资金发放额的完成的质量达标产出数与各项补贴的资金发放额的实际产出数的比率，用以反映和考核项目产出质量目标的实现程度。</w:t>
      </w:r>
      <w:r>
        <w:rPr>
          <w:rStyle w:val="18"/>
          <w:rFonts w:hint="eastAsia" w:eastAsia="楷体"/>
          <w:b w:val="0"/>
          <w:bCs w:val="0"/>
          <w:spacing w:val="-4"/>
          <w:sz w:val="32"/>
          <w:szCs w:val="32"/>
        </w:rPr>
        <w:tab/>
        <w:t>指此项目中的6411.57万元是否按审核标准审核享受补贴人员，是否按资金文件标准发放资金。</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产出时效</w:t>
      </w:r>
      <w:r>
        <w:rPr>
          <w:rStyle w:val="18"/>
          <w:rFonts w:hint="eastAsia" w:eastAsia="楷体"/>
          <w:b w:val="0"/>
          <w:bCs w:val="0"/>
          <w:spacing w:val="-4"/>
          <w:sz w:val="32"/>
          <w:szCs w:val="32"/>
        </w:rPr>
        <w:tab/>
        <w:t>就业补贴发放及时率</w:t>
      </w:r>
      <w:r>
        <w:rPr>
          <w:rStyle w:val="18"/>
          <w:rFonts w:hint="eastAsia" w:eastAsia="楷体"/>
          <w:b w:val="0"/>
          <w:bCs w:val="0"/>
          <w:spacing w:val="-4"/>
          <w:sz w:val="32"/>
          <w:szCs w:val="32"/>
        </w:rPr>
        <w:tab/>
        <w:t>各项补贴的资金发放额的项目实际完成时间与公益性岗位补贴的资金发放额的计划完成时间的比较，用以反映和考核项目产出时效目标的实现程度。</w:t>
      </w:r>
      <w:r>
        <w:rPr>
          <w:rStyle w:val="18"/>
          <w:rFonts w:hint="eastAsia" w:eastAsia="楷体"/>
          <w:b w:val="0"/>
          <w:bCs w:val="0"/>
          <w:spacing w:val="-4"/>
          <w:sz w:val="32"/>
          <w:szCs w:val="32"/>
        </w:rPr>
        <w:tab/>
        <w:t>衡量资金支付时效性的一个重要指标，通常用于考核和评价资金使用部门或单位在资金支付方面的执行情况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产出成本</w:t>
      </w:r>
      <w:r>
        <w:rPr>
          <w:rStyle w:val="18"/>
          <w:rFonts w:hint="eastAsia" w:eastAsia="楷体"/>
          <w:b w:val="0"/>
          <w:bCs w:val="0"/>
          <w:spacing w:val="-4"/>
          <w:sz w:val="32"/>
          <w:szCs w:val="32"/>
        </w:rPr>
        <w:tab/>
        <w:t>农村信息员补贴标准</w:t>
      </w:r>
      <w:r>
        <w:rPr>
          <w:rStyle w:val="18"/>
          <w:rFonts w:hint="eastAsia" w:eastAsia="楷体"/>
          <w:b w:val="0"/>
          <w:bCs w:val="0"/>
          <w:spacing w:val="-4"/>
          <w:sz w:val="32"/>
          <w:szCs w:val="32"/>
        </w:rPr>
        <w:tab/>
        <w:t>2024年农村信息员每月的补贴标准，用以反映和考核项目经济成本。</w:t>
      </w:r>
      <w:r>
        <w:rPr>
          <w:rStyle w:val="18"/>
          <w:rFonts w:hint="eastAsia" w:eastAsia="楷体"/>
          <w:b w:val="0"/>
          <w:bCs w:val="0"/>
          <w:spacing w:val="-4"/>
          <w:sz w:val="32"/>
          <w:szCs w:val="32"/>
        </w:rPr>
        <w:tab/>
        <w:t>为全区81个行政村81名村级就业服务信息员发放补贴，每人每月400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w:t>
      </w:r>
      <w:r>
        <w:rPr>
          <w:rStyle w:val="18"/>
          <w:rFonts w:hint="eastAsia" w:eastAsia="楷体"/>
          <w:b w:val="0"/>
          <w:bCs w:val="0"/>
          <w:spacing w:val="-4"/>
          <w:sz w:val="32"/>
          <w:szCs w:val="32"/>
        </w:rPr>
        <w:tab/>
        <w:t>社会效益指标</w:t>
      </w:r>
      <w:r>
        <w:rPr>
          <w:rStyle w:val="18"/>
          <w:rFonts w:hint="eastAsia" w:eastAsia="楷体"/>
          <w:b w:val="0"/>
          <w:bCs w:val="0"/>
          <w:spacing w:val="-4"/>
          <w:sz w:val="32"/>
          <w:szCs w:val="32"/>
        </w:rPr>
        <w:tab/>
        <w:t>提升单位履职能力</w:t>
      </w:r>
      <w:r>
        <w:rPr>
          <w:rStyle w:val="18"/>
          <w:rFonts w:hint="eastAsia" w:eastAsia="楷体"/>
          <w:b w:val="0"/>
          <w:bCs w:val="0"/>
          <w:spacing w:val="-4"/>
          <w:sz w:val="32"/>
          <w:szCs w:val="32"/>
        </w:rPr>
        <w:tab/>
        <w:t>项目实施所产生的效益。</w:t>
      </w:r>
      <w:r>
        <w:rPr>
          <w:rStyle w:val="18"/>
          <w:rFonts w:hint="eastAsia" w:eastAsia="楷体"/>
          <w:b w:val="0"/>
          <w:bCs w:val="0"/>
          <w:spacing w:val="-4"/>
          <w:sz w:val="32"/>
          <w:szCs w:val="32"/>
        </w:rPr>
        <w:tab/>
        <w:t>推动企业和劳动者积极参保，提高社会保险参保率，进一步完善社会保障体系。</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促进当地就业</w:t>
      </w:r>
      <w:r>
        <w:rPr>
          <w:rStyle w:val="18"/>
          <w:rFonts w:hint="eastAsia" w:eastAsia="楷体"/>
          <w:b w:val="0"/>
          <w:bCs w:val="0"/>
          <w:spacing w:val="-4"/>
          <w:sz w:val="32"/>
          <w:szCs w:val="32"/>
        </w:rPr>
        <w:tab/>
        <w:t/>
      </w:r>
      <w:r>
        <w:rPr>
          <w:rStyle w:val="18"/>
          <w:rFonts w:hint="eastAsia" w:eastAsia="楷体"/>
          <w:b w:val="0"/>
          <w:bCs w:val="0"/>
          <w:spacing w:val="-4"/>
          <w:sz w:val="32"/>
          <w:szCs w:val="32"/>
        </w:rPr>
        <w:tab/>
        <w:t>企业享受社保补贴，加大招工力度，推动当地就业。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w:t>
      </w:r>
      <w:r>
        <w:rPr>
          <w:rStyle w:val="18"/>
          <w:rFonts w:hint="eastAsia" w:eastAsia="楷体"/>
          <w:b w:val="0"/>
          <w:bCs w:val="0"/>
          <w:spacing w:val="-4"/>
          <w:sz w:val="32"/>
          <w:szCs w:val="32"/>
        </w:rPr>
        <w:tab/>
        <w:t>满意度指标</w:t>
      </w:r>
      <w:r>
        <w:rPr>
          <w:rStyle w:val="18"/>
          <w:rFonts w:hint="eastAsia" w:eastAsia="楷体"/>
          <w:b w:val="0"/>
          <w:bCs w:val="0"/>
          <w:spacing w:val="-4"/>
          <w:sz w:val="32"/>
          <w:szCs w:val="32"/>
        </w:rPr>
        <w:tab/>
        <w:t>就业补贴人员满意度</w:t>
      </w:r>
      <w:r>
        <w:rPr>
          <w:rStyle w:val="18"/>
          <w:rFonts w:hint="eastAsia" w:eastAsia="楷体"/>
          <w:b w:val="0"/>
          <w:bCs w:val="0"/>
          <w:spacing w:val="-4"/>
          <w:sz w:val="32"/>
          <w:szCs w:val="32"/>
        </w:rPr>
        <w:tab/>
        <w:t>社会公众或服务对象对项目实施效果的满意程度。</w:t>
      </w:r>
      <w:r>
        <w:rPr>
          <w:rStyle w:val="18"/>
          <w:rFonts w:hint="eastAsia" w:eastAsia="楷体"/>
          <w:b w:val="0"/>
          <w:bCs w:val="0"/>
          <w:spacing w:val="-4"/>
          <w:sz w:val="32"/>
          <w:szCs w:val="32"/>
        </w:rPr>
        <w:tab/>
        <w:t>指享受各项就业补贴群众对项目实施效果的满意程度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（1）成本效益分析法。是指将投入与产出、效益进行关联性分析的方法。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（2）比较法。是指将实施情况与绩效目标、历史情况、不同部门和地区同类支出情况进行比较的方法。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（3）因素分析法。是指综合分析影响绩效目标实现、实施效果的内外部因素的方法。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（4）最低成本法。是指在绩效目标确定的前提下，成本最小者为优的方法。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（5）公众评判法。是指通过专家评估、公众问卷及抽样调查等方式进行评判的方法。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（6）标杆管理法。是指以国内外同行业中较高的绩效水平为标杆进行评判的方法。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（7）其他评价方法。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本项目（乌财社[2023]275号、84号、131号、乌财社（2022）428号-关于提前下达2024年中央财政就业补助资金[直达资金]）的特点，本次评价主要采用比较法和公众评判法，对项目总预算和明细预算的内容、标准、计划是否经济合理进行深入分析，以考察实际产出和效益是否达到预期。</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绩效评价标准主要包括计划标准、行业标准、历史标准等，用于对绩效指标完成情况进行比较。</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（1）计划标准。指以预先制定的目标、计划、预算、定额等作为评价标准。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（2）行业标准。指参照国家公布的行业指标数据制定的评价标准。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在上述评价标准的基础上，本次评价依据以下文件为重要指导和准绳：</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·《中共中央国务院关于全面实施预算绩效管理的意见》（中发〔2018〕34号）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·《关于印发&lt;乌鲁木齐市本级部门预算绩效目标管理暂行办法&gt;的通知》（乌财预〔2018〕56号）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·《关于做好2019年部门预算项目支出绩效目标管理有关事宜的通知》（乌财预〔2018〕76号）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·《项目支出绩效评价管理办法》（财预〔2020〕10号）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·《新疆维吾尔自治区关于进一步做好稳就业工作的实施意见》（新政发〔2020〕16号）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·《新疆维吾尔自治区社会保险补贴办法》（新人社规〔2020〕1号）</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·《乌鲁木齐市社会保险补贴办法》（乌人社规〔2021〕2号 ）</w:t>
      </w:r>
    </w:p>
    <w:p w14:paraId="7BE113FC">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6167C67">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543820DD">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50A526E">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（一）评价结论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结合项目特点，制定符合项目实际的绩效评价指标体系及评分标准，通过数据采集、问卷调查及访谈等形式，对2024年乌财社[2023]275号、84号、131号、乌财社（2022）428号-关于提前下达2024年中央财政就业补助资金[直达资金]进行客观评价，最终评分结果为：总分为100分，绩效评级为“优”[本次绩效评价结果实施百分制和四级分类，其中90（含）-100分为优、80（含）-90分为良、70（含）-80分为中、70分以下为差。]。</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项目各部分权重和绩效分值如附表所示：</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项目各部分权重和绩效分值</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w:t>
      </w:r>
      <w:r>
        <w:rPr>
          <w:rStyle w:val="18"/>
          <w:rFonts w:hint="eastAsia" w:eastAsia="楷体"/>
          <w:b w:val="0"/>
          <w:bCs w:val="0"/>
          <w:spacing w:val="-4"/>
          <w:sz w:val="32"/>
          <w:szCs w:val="32"/>
        </w:rPr>
        <w:tab/>
        <w:t>二级指标</w:t>
      </w:r>
      <w:r>
        <w:rPr>
          <w:rStyle w:val="18"/>
          <w:rFonts w:hint="eastAsia" w:eastAsia="楷体"/>
          <w:b w:val="0"/>
          <w:bCs w:val="0"/>
          <w:spacing w:val="-4"/>
          <w:sz w:val="32"/>
          <w:szCs w:val="32"/>
        </w:rPr>
        <w:tab/>
        <w:t>三级指标</w:t>
      </w:r>
      <w:r>
        <w:rPr>
          <w:rStyle w:val="18"/>
          <w:rFonts w:hint="eastAsia" w:eastAsia="楷体"/>
          <w:b w:val="0"/>
          <w:bCs w:val="0"/>
          <w:spacing w:val="-4"/>
          <w:sz w:val="32"/>
          <w:szCs w:val="32"/>
        </w:rPr>
        <w:tab/>
        <w:t>分值</w:t>
      </w:r>
      <w:r>
        <w:rPr>
          <w:rStyle w:val="18"/>
          <w:rFonts w:hint="eastAsia" w:eastAsia="楷体"/>
          <w:b w:val="0"/>
          <w:bCs w:val="0"/>
          <w:spacing w:val="-4"/>
          <w:sz w:val="32"/>
          <w:szCs w:val="32"/>
        </w:rPr>
        <w:tab/>
        <w:t>得分</w:t>
      </w:r>
      <w:r>
        <w:rPr>
          <w:rStyle w:val="18"/>
          <w:rFonts w:hint="eastAsia" w:eastAsia="楷体"/>
          <w:b w:val="0"/>
          <w:bCs w:val="0"/>
          <w:spacing w:val="-4"/>
          <w:sz w:val="32"/>
          <w:szCs w:val="32"/>
        </w:rPr>
        <w:tab/>
        <w:t>得分率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w:t>
      </w:r>
      <w:r>
        <w:rPr>
          <w:rStyle w:val="18"/>
          <w:rFonts w:hint="eastAsia" w:eastAsia="楷体"/>
          <w:b w:val="0"/>
          <w:bCs w:val="0"/>
          <w:spacing w:val="-4"/>
          <w:sz w:val="32"/>
          <w:szCs w:val="32"/>
        </w:rPr>
        <w:tab/>
        <w:t>项目立项</w:t>
      </w:r>
      <w:r>
        <w:rPr>
          <w:rStyle w:val="18"/>
          <w:rFonts w:hint="eastAsia" w:eastAsia="楷体"/>
          <w:b w:val="0"/>
          <w:bCs w:val="0"/>
          <w:spacing w:val="-4"/>
          <w:sz w:val="32"/>
          <w:szCs w:val="32"/>
        </w:rPr>
        <w:tab/>
        <w:t>立项依据充分性</w:t>
      </w:r>
      <w:r>
        <w:rPr>
          <w:rStyle w:val="18"/>
          <w:rFonts w:hint="eastAsia" w:eastAsia="楷体"/>
          <w:b w:val="0"/>
          <w:bCs w:val="0"/>
          <w:spacing w:val="-4"/>
          <w:sz w:val="32"/>
          <w:szCs w:val="32"/>
        </w:rPr>
        <w:tab/>
        <w:t>4</w:t>
      </w:r>
      <w:r>
        <w:rPr>
          <w:rStyle w:val="18"/>
          <w:rFonts w:hint="eastAsia" w:eastAsia="楷体"/>
          <w:b w:val="0"/>
          <w:bCs w:val="0"/>
          <w:spacing w:val="-4"/>
          <w:sz w:val="32"/>
          <w:szCs w:val="32"/>
        </w:rPr>
        <w:tab/>
        <w:t>4</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立项程序规范性</w:t>
      </w:r>
      <w:r>
        <w:rPr>
          <w:rStyle w:val="18"/>
          <w:rFonts w:hint="eastAsia" w:eastAsia="楷体"/>
          <w:b w:val="0"/>
          <w:bCs w:val="0"/>
          <w:spacing w:val="-4"/>
          <w:sz w:val="32"/>
          <w:szCs w:val="32"/>
        </w:rPr>
        <w:tab/>
        <w:t>4</w:t>
      </w:r>
      <w:r>
        <w:rPr>
          <w:rStyle w:val="18"/>
          <w:rFonts w:hint="eastAsia" w:eastAsia="楷体"/>
          <w:b w:val="0"/>
          <w:bCs w:val="0"/>
          <w:spacing w:val="-4"/>
          <w:sz w:val="32"/>
          <w:szCs w:val="32"/>
        </w:rPr>
        <w:tab/>
        <w:t>4</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绩效目标</w:t>
      </w:r>
      <w:r>
        <w:rPr>
          <w:rStyle w:val="18"/>
          <w:rFonts w:hint="eastAsia" w:eastAsia="楷体"/>
          <w:b w:val="0"/>
          <w:bCs w:val="0"/>
          <w:spacing w:val="-4"/>
          <w:sz w:val="32"/>
          <w:szCs w:val="32"/>
        </w:rPr>
        <w:tab/>
        <w:t>绩效目标合理性</w:t>
      </w:r>
      <w:r>
        <w:rPr>
          <w:rStyle w:val="18"/>
          <w:rFonts w:hint="eastAsia" w:eastAsia="楷体"/>
          <w:b w:val="0"/>
          <w:bCs w:val="0"/>
          <w:spacing w:val="-4"/>
          <w:sz w:val="32"/>
          <w:szCs w:val="32"/>
        </w:rPr>
        <w:tab/>
        <w:t>3</w:t>
      </w:r>
      <w:r>
        <w:rPr>
          <w:rStyle w:val="18"/>
          <w:rFonts w:hint="eastAsia" w:eastAsia="楷体"/>
          <w:b w:val="0"/>
          <w:bCs w:val="0"/>
          <w:spacing w:val="-4"/>
          <w:sz w:val="32"/>
          <w:szCs w:val="32"/>
        </w:rPr>
        <w:tab/>
        <w:t>3</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绩效指标明确性</w:t>
      </w:r>
      <w:r>
        <w:rPr>
          <w:rStyle w:val="18"/>
          <w:rFonts w:hint="eastAsia" w:eastAsia="楷体"/>
          <w:b w:val="0"/>
          <w:bCs w:val="0"/>
          <w:spacing w:val="-4"/>
          <w:sz w:val="32"/>
          <w:szCs w:val="32"/>
        </w:rPr>
        <w:tab/>
        <w:t>3</w:t>
      </w:r>
      <w:r>
        <w:rPr>
          <w:rStyle w:val="18"/>
          <w:rFonts w:hint="eastAsia" w:eastAsia="楷体"/>
          <w:b w:val="0"/>
          <w:bCs w:val="0"/>
          <w:spacing w:val="-4"/>
          <w:sz w:val="32"/>
          <w:szCs w:val="32"/>
        </w:rPr>
        <w:tab/>
        <w:t>3</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资金投入</w:t>
      </w:r>
      <w:r>
        <w:rPr>
          <w:rStyle w:val="18"/>
          <w:rFonts w:hint="eastAsia" w:eastAsia="楷体"/>
          <w:b w:val="0"/>
          <w:bCs w:val="0"/>
          <w:spacing w:val="-4"/>
          <w:sz w:val="32"/>
          <w:szCs w:val="32"/>
        </w:rPr>
        <w:tab/>
        <w:t>预算编制科学性</w:t>
      </w:r>
      <w:r>
        <w:rPr>
          <w:rStyle w:val="18"/>
          <w:rFonts w:hint="eastAsia" w:eastAsia="楷体"/>
          <w:b w:val="0"/>
          <w:bCs w:val="0"/>
          <w:spacing w:val="-4"/>
          <w:sz w:val="32"/>
          <w:szCs w:val="32"/>
        </w:rPr>
        <w:tab/>
        <w:t>3</w:t>
      </w:r>
      <w:r>
        <w:rPr>
          <w:rStyle w:val="18"/>
          <w:rFonts w:hint="eastAsia" w:eastAsia="楷体"/>
          <w:b w:val="0"/>
          <w:bCs w:val="0"/>
          <w:spacing w:val="-4"/>
          <w:sz w:val="32"/>
          <w:szCs w:val="32"/>
        </w:rPr>
        <w:tab/>
        <w:t>3</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资金分配合理性</w:t>
      </w:r>
      <w:r>
        <w:rPr>
          <w:rStyle w:val="18"/>
          <w:rFonts w:hint="eastAsia" w:eastAsia="楷体"/>
          <w:b w:val="0"/>
          <w:bCs w:val="0"/>
          <w:spacing w:val="-4"/>
          <w:sz w:val="32"/>
          <w:szCs w:val="32"/>
        </w:rPr>
        <w:tab/>
        <w:t>3</w:t>
      </w:r>
      <w:r>
        <w:rPr>
          <w:rStyle w:val="18"/>
          <w:rFonts w:hint="eastAsia" w:eastAsia="楷体"/>
          <w:b w:val="0"/>
          <w:bCs w:val="0"/>
          <w:spacing w:val="-4"/>
          <w:sz w:val="32"/>
          <w:szCs w:val="32"/>
        </w:rPr>
        <w:tab/>
        <w:t>3</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w:t>
      </w:r>
      <w:r>
        <w:rPr>
          <w:rStyle w:val="18"/>
          <w:rFonts w:hint="eastAsia" w:eastAsia="楷体"/>
          <w:b w:val="0"/>
          <w:bCs w:val="0"/>
          <w:spacing w:val="-4"/>
          <w:sz w:val="32"/>
          <w:szCs w:val="32"/>
        </w:rPr>
        <w:tab/>
        <w:t>资金管理</w:t>
      </w:r>
      <w:r>
        <w:rPr>
          <w:rStyle w:val="18"/>
          <w:rFonts w:hint="eastAsia" w:eastAsia="楷体"/>
          <w:b w:val="0"/>
          <w:bCs w:val="0"/>
          <w:spacing w:val="-4"/>
          <w:sz w:val="32"/>
          <w:szCs w:val="32"/>
        </w:rPr>
        <w:tab/>
        <w:t>资金到位率</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预算执行率</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资金使用合规性</w:t>
      </w:r>
      <w:r>
        <w:rPr>
          <w:rStyle w:val="18"/>
          <w:rFonts w:hint="eastAsia" w:eastAsia="楷体"/>
          <w:b w:val="0"/>
          <w:bCs w:val="0"/>
          <w:spacing w:val="-4"/>
          <w:sz w:val="32"/>
          <w:szCs w:val="32"/>
        </w:rPr>
        <w:tab/>
        <w:t>3</w:t>
      </w:r>
      <w:r>
        <w:rPr>
          <w:rStyle w:val="18"/>
          <w:rFonts w:hint="eastAsia" w:eastAsia="楷体"/>
          <w:b w:val="0"/>
          <w:bCs w:val="0"/>
          <w:spacing w:val="-4"/>
          <w:sz w:val="32"/>
          <w:szCs w:val="32"/>
        </w:rPr>
        <w:tab/>
        <w:t>3</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组织实施</w:t>
      </w:r>
      <w:r>
        <w:rPr>
          <w:rStyle w:val="18"/>
          <w:rFonts w:hint="eastAsia" w:eastAsia="楷体"/>
          <w:b w:val="0"/>
          <w:bCs w:val="0"/>
          <w:spacing w:val="-4"/>
          <w:sz w:val="32"/>
          <w:szCs w:val="32"/>
        </w:rPr>
        <w:tab/>
        <w:t>管理制度健全性</w:t>
      </w:r>
      <w:r>
        <w:rPr>
          <w:rStyle w:val="18"/>
          <w:rFonts w:hint="eastAsia" w:eastAsia="楷体"/>
          <w:b w:val="0"/>
          <w:bCs w:val="0"/>
          <w:spacing w:val="-4"/>
          <w:sz w:val="32"/>
          <w:szCs w:val="32"/>
        </w:rPr>
        <w:tab/>
        <w:t>3</w:t>
      </w:r>
      <w:r>
        <w:rPr>
          <w:rStyle w:val="18"/>
          <w:rFonts w:hint="eastAsia" w:eastAsia="楷体"/>
          <w:b w:val="0"/>
          <w:bCs w:val="0"/>
          <w:spacing w:val="-4"/>
          <w:sz w:val="32"/>
          <w:szCs w:val="32"/>
        </w:rPr>
        <w:tab/>
        <w:t>3</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制度执行有效性</w:t>
      </w:r>
      <w:r>
        <w:rPr>
          <w:rStyle w:val="18"/>
          <w:rFonts w:hint="eastAsia" w:eastAsia="楷体"/>
          <w:b w:val="0"/>
          <w:bCs w:val="0"/>
          <w:spacing w:val="-4"/>
          <w:sz w:val="32"/>
          <w:szCs w:val="32"/>
        </w:rPr>
        <w:tab/>
        <w:t>4</w:t>
      </w:r>
      <w:r>
        <w:rPr>
          <w:rStyle w:val="18"/>
          <w:rFonts w:hint="eastAsia" w:eastAsia="楷体"/>
          <w:b w:val="0"/>
          <w:bCs w:val="0"/>
          <w:spacing w:val="-4"/>
          <w:sz w:val="32"/>
          <w:szCs w:val="32"/>
        </w:rPr>
        <w:tab/>
        <w:t>4</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w:t>
      </w:r>
      <w:r>
        <w:rPr>
          <w:rStyle w:val="18"/>
          <w:rFonts w:hint="eastAsia" w:eastAsia="楷体"/>
          <w:b w:val="0"/>
          <w:bCs w:val="0"/>
          <w:spacing w:val="-4"/>
          <w:sz w:val="32"/>
          <w:szCs w:val="32"/>
        </w:rPr>
        <w:tab/>
        <w:t>产出数量</w:t>
      </w:r>
      <w:r>
        <w:rPr>
          <w:rStyle w:val="18"/>
          <w:rFonts w:hint="eastAsia" w:eastAsia="楷体"/>
          <w:b w:val="0"/>
          <w:bCs w:val="0"/>
          <w:spacing w:val="-4"/>
          <w:sz w:val="32"/>
          <w:szCs w:val="32"/>
        </w:rPr>
        <w:tab/>
        <w:t>享受企业社保补贴人数</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灵享受灵活社保补贴人数</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产出质量</w:t>
      </w:r>
      <w:r>
        <w:rPr>
          <w:rStyle w:val="18"/>
          <w:rFonts w:hint="eastAsia" w:eastAsia="楷体"/>
          <w:b w:val="0"/>
          <w:bCs w:val="0"/>
          <w:spacing w:val="-4"/>
          <w:sz w:val="32"/>
          <w:szCs w:val="32"/>
        </w:rPr>
        <w:tab/>
        <w:t>就业补贴发放准确率</w:t>
      </w:r>
      <w:r>
        <w:rPr>
          <w:rStyle w:val="18"/>
          <w:rFonts w:hint="eastAsia" w:eastAsia="楷体"/>
          <w:b w:val="0"/>
          <w:bCs w:val="0"/>
          <w:spacing w:val="-4"/>
          <w:sz w:val="32"/>
          <w:szCs w:val="32"/>
        </w:rPr>
        <w:tab/>
        <w:t>10</w:t>
      </w:r>
      <w:r>
        <w:rPr>
          <w:rStyle w:val="18"/>
          <w:rFonts w:hint="eastAsia" w:eastAsia="楷体"/>
          <w:b w:val="0"/>
          <w:bCs w:val="0"/>
          <w:spacing w:val="-4"/>
          <w:sz w:val="32"/>
          <w:szCs w:val="32"/>
        </w:rPr>
        <w:tab/>
        <w:t>10</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产出时效</w:t>
      </w:r>
      <w:r>
        <w:rPr>
          <w:rStyle w:val="18"/>
          <w:rFonts w:hint="eastAsia" w:eastAsia="楷体"/>
          <w:b w:val="0"/>
          <w:bCs w:val="0"/>
          <w:spacing w:val="-4"/>
          <w:sz w:val="32"/>
          <w:szCs w:val="32"/>
        </w:rPr>
        <w:tab/>
        <w:t>就业补贴发放及时率</w:t>
      </w:r>
      <w:r>
        <w:rPr>
          <w:rStyle w:val="18"/>
          <w:rFonts w:hint="eastAsia" w:eastAsia="楷体"/>
          <w:b w:val="0"/>
          <w:bCs w:val="0"/>
          <w:spacing w:val="-4"/>
          <w:sz w:val="32"/>
          <w:szCs w:val="32"/>
        </w:rPr>
        <w:tab/>
        <w:t>15</w:t>
      </w:r>
      <w:r>
        <w:rPr>
          <w:rStyle w:val="18"/>
          <w:rFonts w:hint="eastAsia" w:eastAsia="楷体"/>
          <w:b w:val="0"/>
          <w:bCs w:val="0"/>
          <w:spacing w:val="-4"/>
          <w:sz w:val="32"/>
          <w:szCs w:val="32"/>
        </w:rPr>
        <w:tab/>
        <w:t>15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产出成本</w:t>
      </w:r>
      <w:r>
        <w:rPr>
          <w:rStyle w:val="18"/>
          <w:rFonts w:hint="eastAsia" w:eastAsia="楷体"/>
          <w:b w:val="0"/>
          <w:bCs w:val="0"/>
          <w:spacing w:val="-4"/>
          <w:sz w:val="32"/>
          <w:szCs w:val="32"/>
        </w:rPr>
        <w:tab/>
        <w:t>农村信息员补贴标准</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w:t>
      </w:r>
      <w:r>
        <w:rPr>
          <w:rStyle w:val="18"/>
          <w:rFonts w:hint="eastAsia" w:eastAsia="楷体"/>
          <w:b w:val="0"/>
          <w:bCs w:val="0"/>
          <w:spacing w:val="-4"/>
          <w:sz w:val="32"/>
          <w:szCs w:val="32"/>
        </w:rPr>
        <w:tab/>
        <w:t>项目效益</w:t>
      </w:r>
      <w:r>
        <w:rPr>
          <w:rStyle w:val="18"/>
          <w:rFonts w:hint="eastAsia" w:eastAsia="楷体"/>
          <w:b w:val="0"/>
          <w:bCs w:val="0"/>
          <w:spacing w:val="-4"/>
          <w:sz w:val="32"/>
          <w:szCs w:val="32"/>
        </w:rPr>
        <w:tab/>
        <w:t>提升单位履职能力</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ab/>
        <w:t/>
      </w:r>
      <w:r>
        <w:rPr>
          <w:rStyle w:val="18"/>
          <w:rFonts w:hint="eastAsia" w:eastAsia="楷体"/>
          <w:b w:val="0"/>
          <w:bCs w:val="0"/>
          <w:spacing w:val="-4"/>
          <w:sz w:val="32"/>
          <w:szCs w:val="32"/>
        </w:rPr>
        <w:tab/>
        <w:t>促进当地就业</w:t>
      </w:r>
      <w:r>
        <w:rPr>
          <w:rStyle w:val="18"/>
          <w:rFonts w:hint="eastAsia" w:eastAsia="楷体"/>
          <w:b w:val="0"/>
          <w:bCs w:val="0"/>
          <w:spacing w:val="-4"/>
          <w:sz w:val="32"/>
          <w:szCs w:val="32"/>
        </w:rPr>
        <w:tab/>
        <w:t>5</w:t>
      </w:r>
      <w:r>
        <w:rPr>
          <w:rStyle w:val="18"/>
          <w:rFonts w:hint="eastAsia" w:eastAsia="楷体"/>
          <w:b w:val="0"/>
          <w:bCs w:val="0"/>
          <w:spacing w:val="-4"/>
          <w:sz w:val="32"/>
          <w:szCs w:val="32"/>
        </w:rPr>
        <w:tab/>
        <w:t>5</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w:t>
      </w:r>
      <w:r>
        <w:rPr>
          <w:rStyle w:val="18"/>
          <w:rFonts w:hint="eastAsia" w:eastAsia="楷体"/>
          <w:b w:val="0"/>
          <w:bCs w:val="0"/>
          <w:spacing w:val="-4"/>
          <w:sz w:val="32"/>
          <w:szCs w:val="32"/>
        </w:rPr>
        <w:tab/>
        <w:t>满意度指标</w:t>
      </w:r>
      <w:r>
        <w:rPr>
          <w:rStyle w:val="18"/>
          <w:rFonts w:hint="eastAsia" w:eastAsia="楷体"/>
          <w:b w:val="0"/>
          <w:bCs w:val="0"/>
          <w:spacing w:val="-4"/>
          <w:sz w:val="32"/>
          <w:szCs w:val="32"/>
        </w:rPr>
        <w:tab/>
        <w:t>就业补贴人员满意度</w:t>
      </w:r>
      <w:r>
        <w:rPr>
          <w:rStyle w:val="18"/>
          <w:rFonts w:hint="eastAsia" w:eastAsia="楷体"/>
          <w:b w:val="0"/>
          <w:bCs w:val="0"/>
          <w:spacing w:val="-4"/>
          <w:sz w:val="32"/>
          <w:szCs w:val="32"/>
        </w:rPr>
        <w:tab/>
        <w:t>10</w:t>
      </w:r>
      <w:r>
        <w:rPr>
          <w:rStyle w:val="18"/>
          <w:rFonts w:hint="eastAsia" w:eastAsia="楷体"/>
          <w:b w:val="0"/>
          <w:bCs w:val="0"/>
          <w:spacing w:val="-4"/>
          <w:sz w:val="32"/>
          <w:szCs w:val="32"/>
        </w:rPr>
        <w:tab/>
        <w:t>10</w:t>
      </w:r>
      <w:r>
        <w:rPr>
          <w:rStyle w:val="18"/>
          <w:rFonts w:hint="eastAsia" w:eastAsia="楷体"/>
          <w:b w:val="0"/>
          <w:bCs w:val="0"/>
          <w:spacing w:val="-4"/>
          <w:sz w:val="32"/>
          <w:szCs w:val="32"/>
        </w:rPr>
        <w:tab/>
        <w:t>100%</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（二）主要绩效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资金区财政及时拨付，单位在此次评价期间内，有序完成设定目标的部分工作任务，完成了灵活就业社保补贴3091人，企业社保补贴2549人的补贴发放，支付了2021年-2024年企业、灵活就业社保补贴支出4971.91万元、职业培训补贴367.66万元、自主创业补助725.3万元、职业鉴定补贴11.75万元、技能大赛费7.2万元、农村信息员补贴77.76万元、公益性岗位社保补贴250万元，做到了全年预算全部拨付完毕，资金发放准确率，及时率均已达到100%，做到了提升当地社会整体就业水平，完善社会保障体系，为经济社会的稳定和可持续发展奠定坚实基础，为推动当地就业，激发区域活力提供强有力的支撑等等。</w:t>
      </w:r>
    </w:p>
    <w:p w14:paraId="1133D23A">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4A512EA">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46409FA">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（一）项目决策情况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项目决策指标由3个二级指标和6个三级指标构成，权重为20分，实际得分20分。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1.项目立项</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依据充分性：项目立项符合《关于印发&lt;新疆维吾尔自治区就业资金管理办法&gt;的通知》新财社〔2018〕241号管理制度、《新疆维吾尔自治区关于进一步做好稳就业工作的实施意见》（新政发〔2020〕16号）、《新疆维吾尔自治区社会保险补贴办法》（新人社规〔2020〕1号）、《乌鲁木齐市社会保险补贴办法》（乌人社规〔2021〕2号政策要求。同时，项目与就业促进、就业服务、社会保险管理的部门职责范围相符，属于部门履职所需。此外，本项目属于中央资金范围，符合中央、地方事权支出责任划分原则，没有与相关部门同类项目或部门内部相关项目重复。因此，立项依据充分，得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立项程序规范性: 项目按照在立项前期，详细阐述项目背景。项目申报阶段，严格按照《关于印发&lt;新疆维吾尔自治区就业资金管理办法&gt;的通知》新财社〔2018〕241号管理制度）、《新疆维吾尔自治区关于进一步做好稳就业工作的实施意见》（新政发〔2020〕16号文件规定提交完整的立项申请材料。材料包含补贴申请表、补贴审核表、预算明细表等。项目申报书详细说明项目目标、实施内容、预期绩效等关键信息；预算明细表细化咨询费各项支出，确保费用测算合理合规；相关部门对材料进行严格审核，确保材料齐全、内容完整、格式规范，避免因材料缺失影响立项进程。故立项程序规范，得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综上，该指标满分8分，得分8分。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2.绩效目标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合理性：本项目的绩效目标按照产出、效益和满意度构建绩效评价指标，其中其中具体包括产出数量中指标的享受企业社保补贴人数，享受企业社保补贴人数、产出质量指标中的就业补贴发放准确率、产出时效指标中的就业补贴发放及时率、产出成本指标中的农村信息员补贴标准、社会效益指标中的提升单位履职能力，促进当地就业、满意度指标就业补贴人员满意度，所有指标具有明确性、可衡量性、可实现性、相关性和时限性等特点，能较为全面地反映本项目的产出和效益，故绩效目标合理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明确性：目标已细化为具体的绩效指标，其中产出指标已细化为享受企业社保补贴人数，享受灵活就业社保补贴人数、就业补贴发放准确率、就业补贴发放及时率、提升单位履职能力、促进当地就业、就业补贴人员满意度。乌财社〔2023〕275号《关于提前下达2024中央财政就业补助资金（直达资金）的通知》、乌财社〔2023〕84号《关于下达2023年市本级就业专项经费预算（第一批）的通知》、乌财社〔2023〕131号《关于下达2023年中央财政就业补助资金（第二批）（直达资金）预算的通知》、乌财社〔2022〕428号《关于下达2023年自治区财政就业补助资金（直达资金）预算的通知》可通过数量指标、质量指标、时效指标、社会效益指标、满意度指标予以量化，并具有确切的评价标准，且指标设定均与目标相关。各项指标均能以资金拨付文件、2024年各项补贴审批表、凭证等相关数据进行佐证，并与当年项目年度计划相对应，并与当年项目年度计划相对应，故绩效目标明确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3.资金投入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编制科学性：根据乌财社(2021)2号《关于印发&lt;乌鲁木齐市社会保险补贴办法&gt;的通知》、新人社发〔2020〕8号文件《关于进一步做好公益性岗位开发管理有关工作的通知》的文件规定，资金分配情况为企业、灵活就业社保补贴4971.91万元、职业培训补贴367.66万元、自主创业补助725.3万元、职业鉴定补贴11.75万元、技能大赛费7.2万元、农村信息员补贴77.76万元、公益性岗位社保补贴250万元,共计6411.57万元。故预算编制科学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合理性：根据乌财社〔2023〕275号《关于提前下达2024中央财政就业补助资金（直达资金）的通知》、乌财社〔2023〕84号《关于下达2023年市本级就业专项经费预算（第一批）的通知》、乌财社〔2023〕131号《关于下达2023年中央财政就业补助资金（第二批）（直达资金）预算的通知》、乌财社〔2022〕428号《关于下达2023年自治区财政就业补助资金（直达资金）预算的通知》文件精神，该部分资金适合使用企业社保补贴、灵活就业社保补贴、职业技能培训补贴等，资金分配情况为企业、灵活就业社保补贴4971.91万元、职业培训补贴367.66万元、自主创业补助725.3万元、职业鉴定补贴11.75万元、技能大赛费7.2万元、农村信息员补贴77.76万元、公益性岗位社保补贴250万元。故资金分配合理性指标得分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tab/>
      </w:r>
    </w:p>
    <w:p w14:paraId="606FFF73">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5F1CEB1">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（二）项目过程情况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项目过程指标由2个二级指标和5个三级指标构成，权重为20分，实际得分20分。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1.资金管理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到位率：该项目共计投入6411.57万元，项目系2024年中央、自治区等资金具体为乌财社〔2023〕275号《关于提前下达2024中央财政就业补助资金（直达资金）的通知》、乌财社〔2023〕84号《关于下达2023年市本级就业专项经费预算（第一批）的通知》、乌财社〔2023〕131号《关于下达2023年中央财政就业补助资金（第二批）（直达资金）预算的通知》、乌财社〔2022〕428号《关于下达2023年自治区财政就业补助资金（直达资金）预算的通知》。此项目已全部支出，具体为企业、灵活就业社保补贴4971.91万元、职业培训补贴367.66万元、自主创业补助725.3万元、职业鉴定补贴11.75万元、技能大赛费7.2万元、农村信息员补贴77.76万元、公益性岗位社保补贴250万元。故资金到位率100%指标得分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执行情况为2021年-2024年企业、灵活就业社保补贴支出4971.91万元、职业培训补贴367.66万元、自主创业补助725.3万元、职业鉴定补贴11.75万元、技能大赛费7.2万元、农村信息员补贴77.76万元、公益性岗位社保补贴250万元。预算执行率：100%，以上6411.57万元已全部拨付完。故预算执行率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规性：本项目资金的使用符合《乌鲁木齐市社会保险补贴办法》（乌人社规〔2021〕2号）和《新疆维吾尔自治区社会保险补贴办法》（新人社规〔2020〕1号）管理制度以及有关《关于印发&lt;新疆维吾尔自治区就业资金管理办法&gt;的通知》新财社〔2018〕241号专项资金管理办法的规定。同时，资金的拨付有 人力资源和社会保障部门负责审核企业提交的申请材料，核实补贴资格，公示审核结果，并将审核通过的信息提交财政部门。财政部门承担复核工作，确保补贴资金的合规性和准确性，按程序及时拨付补贴资金。企业需按要求整理和提交申请材料，配合相关部门的核查工作等手续，符合项目预算批复或合同规定的用途，不存在截留、挤占、挪用、虚列支出等情况。故资金使用合规性得分为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综上，该指标满分13分，得分13分。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2.组织实施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管理制度健全性：企业社保补贴、灵活就业补贴、职业培训补贴、农村信息员补贴、自主创业补贴等补贴已制定相应的《关于印发&lt;新疆维吾尔自治区就业资金管理办法&gt;的通知》新财社〔2018〕241号管理制度），且制度合法、合规、完整，为项目顺利实施提供重要保障。故管理制度健全性得分为3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有效性：根据评价小组核查情况，企业社保补贴、灵活就业补贴、职业培训补贴、农村信息员补贴、自主创业补贴等补贴严格遵守《关于印发&lt;新疆维吾尔自治区就业资金管理办法&gt;的通知》新财社〔2018〕241号管理制度），项目调整及支出调整手续完备，整体管理合理有序，项目完成后，及时将会计凭证、各项补贴审批表等相关资料分类归档，制度执行有效。故制度执行有效性指标得分4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综上，该指标满分7分，得分7分。</w:t>
      </w:r>
    </w:p>
    <w:p w14:paraId="78E38C5D">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1EC5217">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（三）项目产出情况</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项目产出指标由4个二级指标和5个三级指标构成，权重为40分，实际得分40分。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1.产出数量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享受企业社保补贴人数”和“灵享受灵活社保补贴人数”，其中“享受企业社保补贴人数”指标值：指标目标值是2549人，实际完成值：2549人。其中人员范围：①大中专单位（个人）社会保险补贴713人;②非新疆籍社会保险补贴172人；③新疆籍社会保险补贴955人；④三类企业养老保险社保补贴709人，合计2549人。补贴标准为每人每月1144元，均为2024年7月发放补贴。故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评价指标“灵享受灵活社保补贴人数”指标值：指标目标值是3091人，实际完成值：3091人，其中人员范围：①就业困难社会保险补贴449人;②4050人员社会保险补贴2人；③新疆籍社会保险补贴1099人；④非新疆籍社会保险补贴1442人；⑤自主创业人员社会保险补贴99人，合计3091人。补贴标准为每人每月1144元，均为2024年7月发放补贴。故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综上，数量指标得分为10分。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2.产出质量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就业补贴发放准确率：我单位在审核玩各项就业补贴后，及时向主管单位和财政局申请相关款项，并无发放错误的补贴，实际完成率为100%，质量达标率得分为10分。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3.产出时效</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完成及时性：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我单位在审核玩各项就业补贴后，及时向主管单位和财政局申请相关款项，并于2024年全部支付完项目资金6411.57万元，其中根据乌财社〔2023〕275号 其中企业社保和灵活就业社保补贴按2070人，每人每月1144元，3个月共计1184万元2024年9月发放补贴；公益性岗位社保补贴按1200人，每人每月340.38元，共计350万元2024年7月发放补贴；信息员补贴每人每月400元，2年共计77.76万元2024年3月发放补贴；一次性创业补贴2年2283人，共计793.20万元；灵活就业、企业社保补贴每人每月1144元2910人共计3994.86万元2024年7月发放补贴；职业技能鉴定每人160元730人共计11.75万元2024年7月发放补贴。总计6411.57万元。故就业补贴发放及时率：100%。故完成及时性得分为15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4.产出成本</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项目产出成本由1个二级指标和1个三级指标构成，权重为5分，实际得分5分。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1.经济成本</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成本指标“农村信息员补贴标准”的目标值是&lt;=400元/月，2024年度我单位实际完成值400元/月，我单位严格按照乌就培【2014】20号文《关于调整村级就业服务信息员补贴的通知》文件规定，按每人每月400元的补贴标准发放农村信息员补贴。</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故成本指标得分为5分。</w:t>
      </w:r>
    </w:p>
    <w:p w14:paraId="4EB1D667">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64E8C1A">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（四）项目效益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项目效益指标由1个二级指标和2个三级指标构成，权重为10分，实际得分10分。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（1）实施效益</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经济效益指标：不适用。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会效益指标：评价指标“提升单位履职能力”，指标值：有效促进，实际完成值：达成年度指标。本项目的实施减轻企业社保负担：通过补贴政策，切实降低企业社会保险缴费成本，增强企业的盈利能力和市场竞争力。推动企业和劳动者积极参保，提高社会保险参保率，进一步完善社会保障体系。故该指标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评价指标“促进当地就业”指标值：有效促进，实际完成值：达成年度指标。本项目的实施发挥社保补贴政策对就业再就业的引导、规范、支持和激励作用，减少灵活就业人员的社保缴纳压力，支持和激励失业人员再就业。促进重点群体就业：激励企业吸纳就业困难人员和高校毕业生，增加就业岗位，提高就业困难人员就业率故得分为5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生态效益指标：不适用。</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综上，该指标满分10分，得分10分。</w:t>
      </w:r>
    </w:p>
    <w:p w14:paraId="2C486FC8">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（五）满意度指标完成情况分析</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（1）满意度指标</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群众满意度：评价指标“就业补贴人员满意度”，指标值：≥85%，实际完成值：100%。通过设置问卷调查的方式进行考评评价，共计调查样本总量为50个样本，有效调查问卷50份。其中，统计“就业补贴人员满意度”的平均值为100%。故满意度指标得分为10分。</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综上，该指标满分10分，得分10分。</w:t>
      </w:r>
    </w:p>
    <w:p w14:paraId="1D40266B">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14:paraId="15BD0C5C">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涉及我单位近80%业务，其中①企业社保补贴：精准定位补贴对象，依据详细的标准确定补贴资格，避免补贴的泛化和错漏，提高政策实施的精准度。规范流程保障公正，“先缴后补”、多部门协同审核以及公示制度，确保补贴发放的公平、公正、公开，保障了企业和劳动者的合法权益。宣传推广提升知晓度，通过线上线下多种渠道广泛宣传政策，提高了政策的知晓率和社会关注度，吸引了更多企业和劳动者参与。②灵活就业补贴补贴：利用国旗下讲话、入户走访、微信公众号等多种渠道宣传灵活就业社保补贴，鼓励居民进行社保补贴的申报。加强对社区专干的政策培训，做好社保补贴的资料初审工作，杜绝不符合补贴要求人员申领社保补贴。③自主创业补贴：多渠道覆盖宣传：通过线上线下联动，发挥社区宣传小分队作用，微信群等广泛宣传传播政策信息，确保政策知晓率。主动摸排与上门服务：社区工作人员通过对辖区商户走访，主动联系符合条件的创业者申请一次性创业补贴。④职业培训补贴：职业技能培训坚持以综合素质能力培养为着力点，以推动经济发展提速、治理效能提档、民生福祉提升、民族团结提质、文明程度提高为落脚点，坚持就业创业为导向，增强培训实效，助力企业人才培养，加强生产效能提高，促进人才高质量发展，进一步实现“稳就业”“保就业”。</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我们克服了人员少、业务重，严格按照新疆维吾尔自治区就业资金管理办法，组织实施再就业项目，制定量化指标、执行资金使用进度，项目完成后，将所有业务资料交里的审核签批，并整理归档，以备查，2024年按照财政部门的要求上报项目绩效资料。</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（二）存在的问题及原因分析</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1、申请流程较为繁琐：企业反映申请材料较多，审核环节复杂，办理周期较长，增加了企业的时间和人力成本。</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2、在摸排过程中发现我区现阶段补贴性职业培训的工种及师资与企业的培训需求不相匹配，无法满足用人单位的培训需求，培训工种的开发及师资配备与群众的实际需求也不能同步。</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跨部门协同机制不完善，创业补贴涉及人设、财政、社保、市场监督管理局等多部门，但实际操作中可能出现数据对接不畅。例如，乌鲁木齐市人力资源和社会保障局信息管理系统服务平台系统与工商注册信息、社保系统未完全互通，不能实现“免申即享”模式。</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4、高校毕业生与就业困难人员创业后，不能享受就业困难人员补贴与高校毕业生补贴，享受的是自主创业灵活就业社保补贴，降低了居民创业的积极性。</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5原因分析：①就业政策宣传覆盖面不够广。②业务人员的业务知识还不够熟练，有些问题不能做出最优解答。</w:t>
      </w:r>
    </w:p>
    <w:p w14:paraId="3191A8BA">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14:paraId="1AAF9371">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1、在落实各项补贴补贴政策时，需重点解决部门协作效率、加强政策宣传覆盖面。</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2、提高各项补贴的审核、发放速度</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3、加强部门协同与沟通：建立人社、财政、税务等多部门常态化协同机制，加强信息共享和业务协作，形成政策合力，共同推进补贴政策的有效实施。</w:t>
      </w:r>
      <w:r>
        <w:rPr>
          <w:rStyle w:val="18"/>
          <w:rFonts w:hint="eastAsia" w:eastAsia="楷体"/>
          <w:b w:val="0"/>
          <w:bCs w:val="0"/>
          <w:spacing w:val="-4"/>
          <w:sz w:val="32"/>
          <w:szCs w:val="32"/>
        </w:rPr>
        <w:cr/>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4、利用大数据、信息化技术等手段，建立健全资金监管系统，对补贴申请、审核、发放全过程进行实时监控和预警，提高资金监管的准确性和及时性。</w:t>
      </w:r>
    </w:p>
    <w:p w14:paraId="64A5C750">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3E69D8F6">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单位在项目安排上始终坚持以立项初衷为导向，确保项目实施不偏离目标。在项目规划阶段，单位对项目进行深入论证和评估，明确项目的目标、任务和预期效果。通过制定详细的项目实施方案，将项目目标分解为具体的工作任务，并落实到责任单位和责任人。</w:t>
      </w:r>
    </w:p>
    <w:p w14:paraId="5FAE6E6A">
      <w:pPr>
        <w:spacing w:line="540" w:lineRule="exact"/>
        <w:ind w:firstLine="624" w:firstLineChars="200"/>
        <w:rPr>
          <w:rStyle w:val="18"/>
          <w:rFonts w:ascii="仿宋" w:hAnsi="仿宋" w:eastAsia="仿宋"/>
          <w:b w:val="0"/>
          <w:spacing w:val="-4"/>
          <w:sz w:val="32"/>
          <w:szCs w:val="32"/>
        </w:rPr>
      </w:pPr>
    </w:p>
    <w:p w14:paraId="764AF2BD">
      <w:pPr>
        <w:spacing w:line="540" w:lineRule="exact"/>
        <w:ind w:firstLine="624" w:firstLineChars="200"/>
        <w:rPr>
          <w:rStyle w:val="18"/>
          <w:rFonts w:ascii="仿宋" w:hAnsi="仿宋" w:eastAsia="仿宋"/>
          <w:b w:val="0"/>
          <w:spacing w:val="-4"/>
          <w:sz w:val="32"/>
          <w:szCs w:val="32"/>
        </w:rPr>
      </w:pPr>
    </w:p>
    <w:p w14:paraId="67287997">
      <w:pPr>
        <w:spacing w:line="540" w:lineRule="exact"/>
        <w:ind w:firstLine="624" w:firstLineChars="200"/>
        <w:rPr>
          <w:rStyle w:val="18"/>
          <w:rFonts w:ascii="仿宋" w:hAnsi="仿宋" w:eastAsia="仿宋"/>
          <w:b w:val="0"/>
          <w:spacing w:val="-4"/>
          <w:sz w:val="32"/>
          <w:szCs w:val="32"/>
        </w:rPr>
      </w:pPr>
    </w:p>
    <w:p w14:paraId="4DF9059F">
      <w:pPr>
        <w:spacing w:line="540" w:lineRule="exact"/>
        <w:ind w:firstLine="624" w:firstLineChars="200"/>
        <w:rPr>
          <w:rStyle w:val="18"/>
          <w:rFonts w:ascii="仿宋" w:hAnsi="仿宋" w:eastAsia="仿宋"/>
          <w:b w:val="0"/>
          <w:spacing w:val="-4"/>
          <w:sz w:val="32"/>
          <w:szCs w:val="32"/>
        </w:rPr>
      </w:pPr>
    </w:p>
    <w:p w14:paraId="07C068DE">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5682070">
        <w:pPr>
          <w:pStyle w:val="12"/>
          <w:jc w:val="center"/>
        </w:pPr>
        <w:r>
          <w:fldChar w:fldCharType="begin"/>
        </w:r>
        <w:r>
          <w:instrText xml:space="preserve">PAGE   \* MERGEFORMAT</w:instrText>
        </w:r>
        <w:r>
          <w:fldChar w:fldCharType="separate"/>
        </w:r>
        <w:r>
          <w:rPr>
            <w:lang w:val="zh-CN"/>
          </w:rPr>
          <w:t>2</w:t>
        </w:r>
        <w:r>
          <w:fldChar w:fldCharType="end"/>
        </w:r>
      </w:p>
    </w:sdtContent>
  </w:sdt>
  <w:p w14:paraId="104D872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3D37236F"/>
    <w:rsid w:val="4D2606A1"/>
    <w:rsid w:val="51830480"/>
    <w:rsid w:val="53A616BE"/>
    <w:rsid w:val="54662BFB"/>
    <w:rsid w:val="62051CA5"/>
    <w:rsid w:val="6C3A69EF"/>
    <w:rsid w:val="7AAA4D40"/>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43</Pages>
  <Words>6466</Words>
  <Characters>6988</Characters>
  <Lines>4</Lines>
  <Paragraphs>1</Paragraphs>
  <TotalTime>0</TotalTime>
  <ScaleCrop>false</ScaleCrop>
  <LinksUpToDate>false</LinksUpToDate>
  <CharactersWithSpaces>7003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2025-04-28T05:31:00Z</dcterms:created>
  <dc:creator>赵 恺（预算处）</dc:creator>
  <cp:lastModifiedBy>谢凤</cp:lastModifiedBy>
  <cp:lastPrinted>2018-12-31T10:56:00Z</cp:lastPrinted>
  <dcterms:modified xsi:type="dcterms:W3CDTF">2025-11-17T08:08:34Z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