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7003CD">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w:t>
      </w:r>
      <w:r>
        <w:rPr>
          <w:rFonts w:eastAsia="仿宋"/>
          <w:kern w:val="0"/>
          <w:sz w:val="32"/>
          <w:szCs w:val="32"/>
        </w:rPr>
        <w:t>2</w:t>
      </w:r>
      <w:r>
        <w:rPr>
          <w:rFonts w:hint="eastAsia" w:ascii="仿宋" w:hAnsi="仿宋" w:eastAsia="仿宋" w:cs="宋体"/>
          <w:kern w:val="0"/>
          <w:sz w:val="32"/>
          <w:szCs w:val="32"/>
        </w:rPr>
        <w:t>：</w:t>
      </w:r>
    </w:p>
    <w:p w14:paraId="1AA1A959">
      <w:pPr>
        <w:spacing w:line="540" w:lineRule="exact"/>
        <w:jc w:val="center"/>
        <w:rPr>
          <w:rFonts w:ascii="华文中宋" w:hAnsi="华文中宋" w:eastAsia="华文中宋" w:cs="宋体"/>
          <w:b/>
          <w:kern w:val="0"/>
          <w:sz w:val="52"/>
          <w:szCs w:val="52"/>
        </w:rPr>
      </w:pPr>
    </w:p>
    <w:p w14:paraId="07A2D68A">
      <w:pPr>
        <w:spacing w:line="540" w:lineRule="exact"/>
        <w:jc w:val="center"/>
        <w:rPr>
          <w:rFonts w:ascii="华文中宋" w:hAnsi="华文中宋" w:eastAsia="华文中宋" w:cs="宋体"/>
          <w:b/>
          <w:kern w:val="0"/>
          <w:sz w:val="52"/>
          <w:szCs w:val="52"/>
        </w:rPr>
      </w:pPr>
    </w:p>
    <w:p w14:paraId="68726DCD">
      <w:pPr>
        <w:spacing w:line="540" w:lineRule="exact"/>
        <w:jc w:val="center"/>
        <w:rPr>
          <w:rFonts w:ascii="华文中宋" w:hAnsi="华文中宋" w:eastAsia="华文中宋" w:cs="宋体"/>
          <w:b/>
          <w:kern w:val="0"/>
          <w:sz w:val="52"/>
          <w:szCs w:val="52"/>
        </w:rPr>
      </w:pPr>
    </w:p>
    <w:p w14:paraId="1C4D9A40">
      <w:pPr>
        <w:spacing w:line="540" w:lineRule="exact"/>
        <w:jc w:val="center"/>
        <w:rPr>
          <w:rFonts w:ascii="华文中宋" w:hAnsi="华文中宋" w:eastAsia="华文中宋" w:cs="宋体"/>
          <w:b/>
          <w:kern w:val="0"/>
          <w:sz w:val="52"/>
          <w:szCs w:val="52"/>
        </w:rPr>
      </w:pPr>
    </w:p>
    <w:p w14:paraId="0E307FDD">
      <w:pPr>
        <w:spacing w:line="540" w:lineRule="exact"/>
        <w:jc w:val="center"/>
        <w:rPr>
          <w:rFonts w:ascii="华文中宋" w:hAnsi="华文中宋" w:eastAsia="华文中宋" w:cs="宋体"/>
          <w:b/>
          <w:kern w:val="0"/>
          <w:sz w:val="52"/>
          <w:szCs w:val="52"/>
        </w:rPr>
      </w:pPr>
    </w:p>
    <w:p w14:paraId="72032480">
      <w:pPr>
        <w:spacing w:line="540" w:lineRule="exact"/>
        <w:jc w:val="center"/>
        <w:rPr>
          <w:rFonts w:ascii="华文中宋" w:hAnsi="华文中宋" w:eastAsia="华文中宋" w:cs="宋体"/>
          <w:b/>
          <w:kern w:val="0"/>
          <w:sz w:val="52"/>
          <w:szCs w:val="52"/>
        </w:rPr>
      </w:pPr>
    </w:p>
    <w:p w14:paraId="5244DB94">
      <w:pPr>
        <w:spacing w:line="560" w:lineRule="exact"/>
        <w:jc w:val="center"/>
        <w:rPr>
          <w:rFonts w:ascii="方正小标宋_GBK" w:hAnsi="华文中宋" w:eastAsia="方正小标宋_GBK" w:cs="宋体"/>
          <w:b/>
          <w:kern w:val="0"/>
          <w:sz w:val="52"/>
          <w:szCs w:val="52"/>
        </w:rPr>
      </w:pPr>
      <w:r>
        <w:rPr>
          <w:rFonts w:hint="eastAsia" w:ascii="方正小标宋_GBK" w:hAnsi="华文中宋" w:eastAsia="方正小标宋_GBK" w:cs="宋体"/>
          <w:b/>
          <w:kern w:val="0"/>
          <w:sz w:val="52"/>
          <w:szCs w:val="52"/>
        </w:rPr>
        <w:t>项目支出绩效自评报告</w:t>
      </w:r>
    </w:p>
    <w:p w14:paraId="3277C02A">
      <w:pPr>
        <w:spacing w:line="540" w:lineRule="exact"/>
        <w:jc w:val="center"/>
        <w:rPr>
          <w:rFonts w:ascii="华文中宋" w:hAnsi="华文中宋" w:eastAsia="华文中宋" w:cs="宋体"/>
          <w:b/>
          <w:kern w:val="0"/>
          <w:sz w:val="52"/>
          <w:szCs w:val="52"/>
        </w:rPr>
      </w:pPr>
    </w:p>
    <w:p w14:paraId="618DB7AE">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eastAsia="楷体"/>
          <w:spacing w:val="-4"/>
          <w:sz w:val="32"/>
          <w:szCs w:val="32"/>
        </w:rPr>
        <w:t>2024</w:t>
      </w:r>
      <w:r>
        <w:rPr>
          <w:rFonts w:hint="eastAsia" w:hAnsi="宋体" w:eastAsia="仿宋_GB2312" w:cs="宋体"/>
          <w:kern w:val="0"/>
          <w:sz w:val="36"/>
          <w:szCs w:val="36"/>
        </w:rPr>
        <w:t xml:space="preserve">  年度）</w:t>
      </w:r>
    </w:p>
    <w:p w14:paraId="745A348B">
      <w:pPr>
        <w:spacing w:line="540" w:lineRule="exact"/>
        <w:jc w:val="center"/>
        <w:rPr>
          <w:rFonts w:hAnsi="宋体" w:eastAsia="仿宋_GB2312" w:cs="宋体"/>
          <w:kern w:val="0"/>
          <w:sz w:val="30"/>
          <w:szCs w:val="30"/>
        </w:rPr>
      </w:pPr>
    </w:p>
    <w:p w14:paraId="47BB6DC7">
      <w:pPr>
        <w:spacing w:line="540" w:lineRule="exact"/>
        <w:jc w:val="center"/>
        <w:rPr>
          <w:rFonts w:hAnsi="宋体" w:eastAsia="仿宋_GB2312" w:cs="宋体"/>
          <w:kern w:val="0"/>
          <w:sz w:val="30"/>
          <w:szCs w:val="30"/>
        </w:rPr>
      </w:pPr>
    </w:p>
    <w:p w14:paraId="1739CEB6">
      <w:pPr>
        <w:spacing w:line="540" w:lineRule="exact"/>
        <w:jc w:val="center"/>
        <w:rPr>
          <w:rFonts w:hAnsi="宋体" w:eastAsia="仿宋_GB2312" w:cs="宋体"/>
          <w:kern w:val="0"/>
          <w:sz w:val="30"/>
          <w:szCs w:val="30"/>
        </w:rPr>
      </w:pPr>
    </w:p>
    <w:p w14:paraId="1258939E">
      <w:pPr>
        <w:spacing w:line="540" w:lineRule="exact"/>
        <w:jc w:val="center"/>
        <w:rPr>
          <w:rFonts w:hAnsi="宋体" w:eastAsia="仿宋_GB2312" w:cs="宋体"/>
          <w:kern w:val="0"/>
          <w:sz w:val="30"/>
          <w:szCs w:val="30"/>
        </w:rPr>
      </w:pPr>
    </w:p>
    <w:p w14:paraId="10093A1E">
      <w:pPr>
        <w:spacing w:line="540" w:lineRule="exact"/>
        <w:jc w:val="center"/>
        <w:rPr>
          <w:rFonts w:hAnsi="宋体" w:eastAsia="仿宋_GB2312" w:cs="宋体"/>
          <w:kern w:val="0"/>
          <w:sz w:val="30"/>
          <w:szCs w:val="30"/>
        </w:rPr>
      </w:pPr>
    </w:p>
    <w:p w14:paraId="255DBEF7">
      <w:pPr>
        <w:spacing w:line="540" w:lineRule="exact"/>
        <w:jc w:val="center"/>
        <w:rPr>
          <w:rFonts w:hAnsi="宋体" w:eastAsia="仿宋_GB2312" w:cs="宋体"/>
          <w:kern w:val="0"/>
          <w:sz w:val="30"/>
          <w:szCs w:val="30"/>
        </w:rPr>
      </w:pPr>
    </w:p>
    <w:p w14:paraId="45824894">
      <w:pPr>
        <w:spacing w:line="540" w:lineRule="exact"/>
        <w:rPr>
          <w:rFonts w:hAnsi="宋体" w:eastAsia="仿宋_GB2312" w:cs="宋体"/>
          <w:kern w:val="0"/>
          <w:sz w:val="30"/>
          <w:szCs w:val="30"/>
        </w:rPr>
      </w:pPr>
    </w:p>
    <w:p w14:paraId="1B6948C5">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2CFD234">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乌财农[2023]93号2024年中央农业生态资源保护资金</w:t>
      </w:r>
    </w:p>
    <w:p w14:paraId="7DAAA354">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乌鲁木齐市米东区农业农村局</w:t>
      </w:r>
    </w:p>
    <w:p w14:paraId="6C10BF13">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乌鲁木齐市米东区农业农村局</w:t>
      </w:r>
    </w:p>
    <w:p w14:paraId="6D611285">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金子龙</w:t>
      </w:r>
    </w:p>
    <w:p w14:paraId="506EE11A">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eastAsia="楷体"/>
          <w:spacing w:val="-4"/>
          <w:sz w:val="32"/>
          <w:szCs w:val="32"/>
        </w:rPr>
        <w:t>2025年05月27日</w:t>
      </w:r>
    </w:p>
    <w:p w14:paraId="26DC8E29">
      <w:pPr>
        <w:spacing w:line="700" w:lineRule="exact"/>
        <w:ind w:firstLine="708" w:firstLineChars="236"/>
        <w:jc w:val="left"/>
        <w:rPr>
          <w:rFonts w:hAnsi="宋体" w:eastAsia="仿宋_GB2312" w:cs="宋体"/>
          <w:kern w:val="0"/>
          <w:sz w:val="30"/>
          <w:szCs w:val="30"/>
        </w:rPr>
      </w:pPr>
    </w:p>
    <w:p w14:paraId="0B95EECC">
      <w:pPr>
        <w:spacing w:line="540" w:lineRule="exact"/>
        <w:rPr>
          <w:rStyle w:val="18"/>
          <w:rFonts w:ascii="黑体" w:hAnsi="黑体" w:eastAsia="黑体"/>
          <w:b w:val="0"/>
          <w:spacing w:val="-4"/>
          <w:sz w:val="32"/>
          <w:szCs w:val="32"/>
        </w:rPr>
      </w:pPr>
    </w:p>
    <w:p w14:paraId="2D232471">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1928A40F">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14:paraId="501F96B7">
      <w:pPr>
        <w:spacing w:line="540" w:lineRule="exact"/>
        <w:ind w:firstLine="624" w:firstLineChars="200"/>
        <w:rPr>
          <w:rStyle w:val="18"/>
          <w:rFonts w:eastAsia="楷体"/>
          <w:b w:val="0"/>
          <w:bCs w:val="0"/>
          <w:spacing w:val="-4"/>
          <w:sz w:val="32"/>
          <w:szCs w:val="32"/>
        </w:rPr>
      </w:pPr>
      <w:r>
        <w:rPr>
          <w:rStyle w:val="18"/>
          <w:rFonts w:eastAsia="楷体"/>
          <w:b w:val="0"/>
          <w:bCs w:val="0"/>
          <w:spacing w:val="-4"/>
          <w:sz w:val="32"/>
          <w:szCs w:val="32"/>
        </w:rPr>
        <w:t>推行草原禁牧和草畜平衡制度，引导农牧民按照核定的载畜量，科学利用天然草原，促进草原生态环境持续改善，加快草牧业生产方式转变，促进畜牧业生产高质高效发展；稳步提升农牧业收入水平，为加快实施乡村振兴战略、建设生态文明、维护民族团结和边疆稳定做出积极贡献。</w:t>
      </w:r>
      <w:r>
        <w:rPr>
          <w:rStyle w:val="18"/>
          <w:rFonts w:eastAsia="楷体"/>
          <w:b w:val="0"/>
          <w:bCs w:val="0"/>
          <w:spacing w:val="-4"/>
          <w:sz w:val="32"/>
          <w:szCs w:val="32"/>
        </w:rPr>
        <w:cr/>
      </w:r>
      <w:r>
        <w:rPr>
          <w:rStyle w:val="18"/>
          <w:rFonts w:eastAsia="楷体"/>
          <w:b w:val="0"/>
          <w:bCs w:val="0"/>
          <w:spacing w:val="-4"/>
          <w:sz w:val="32"/>
          <w:szCs w:val="32"/>
        </w:rPr>
        <w:br w:type="textWrapping"/>
      </w:r>
      <w:r>
        <w:rPr>
          <w:rStyle w:val="18"/>
          <w:rFonts w:eastAsia="楷体"/>
          <w:b w:val="0"/>
          <w:bCs w:val="0"/>
          <w:spacing w:val="-4"/>
          <w:sz w:val="32"/>
          <w:szCs w:val="32"/>
        </w:rPr>
        <w:t>1．项目背景、主要内容及实施情况</w:t>
      </w:r>
      <w:r>
        <w:rPr>
          <w:rStyle w:val="18"/>
          <w:rFonts w:eastAsia="楷体"/>
          <w:b w:val="0"/>
          <w:bCs w:val="0"/>
          <w:spacing w:val="-4"/>
          <w:sz w:val="32"/>
          <w:szCs w:val="32"/>
        </w:rPr>
        <w:cr/>
      </w:r>
      <w:r>
        <w:rPr>
          <w:rStyle w:val="18"/>
          <w:rFonts w:eastAsia="楷体"/>
          <w:b w:val="0"/>
          <w:bCs w:val="0"/>
          <w:spacing w:val="-4"/>
          <w:sz w:val="32"/>
          <w:szCs w:val="32"/>
        </w:rPr>
        <w:br w:type="textWrapping"/>
      </w:r>
      <w:r>
        <w:rPr>
          <w:rStyle w:val="18"/>
          <w:rFonts w:eastAsia="楷体"/>
          <w:b w:val="0"/>
          <w:bCs w:val="0"/>
          <w:spacing w:val="-4"/>
          <w:sz w:val="32"/>
          <w:szCs w:val="32"/>
        </w:rPr>
        <w:t>该项目实施背景：草原在我国生态文明建设和经济社会发展大局中具有重要战略地位。加强草原生态保护，促进牧民增收，对于保障国家生态安全，加快牧区社会经济发展，促进构建和谐社会具有重要意义。党中央、国务院高度重视草原生态环境保护和牧民增收工作，不断加大政策支持力度，促进草原生态加快恢复和牧民持续增收。全面建立草原生态保护补助奖励机制，是党中央、国务院统筹我国经济社会发展全局作出的重大决策；是加快草原保护，建设草原生态文明的重要举措。我区要从加快建设生态文明、</w:t>
      </w:r>
      <w:r>
        <w:rPr>
          <w:rStyle w:val="18"/>
          <w:rFonts w:hint="eastAsia" w:eastAsia="楷体"/>
          <w:b w:val="0"/>
          <w:bCs w:val="0"/>
          <w:spacing w:val="-4"/>
          <w:sz w:val="32"/>
          <w:szCs w:val="32"/>
          <w:lang w:eastAsia="zh-CN"/>
        </w:rPr>
        <w:t>巩固拓展脱贫攻坚成果同乡村振兴有效衔接</w:t>
      </w:r>
      <w:bookmarkStart w:id="0" w:name="_GoBack"/>
      <w:bookmarkEnd w:id="0"/>
      <w:r>
        <w:rPr>
          <w:rStyle w:val="18"/>
          <w:rFonts w:eastAsia="楷体"/>
          <w:b w:val="0"/>
          <w:bCs w:val="0"/>
          <w:spacing w:val="-4"/>
          <w:sz w:val="32"/>
          <w:szCs w:val="32"/>
        </w:rPr>
        <w:t>、维护民族团结和边疆稳定的战略高度出发，深刻认识实施第三轮草原生态保护补助奖励政策的重要性和必要性，把草原生态保护补助奖励机制作为当前保长远的紧迫而重要的任务抓实抓好。</w:t>
      </w:r>
      <w:r>
        <w:rPr>
          <w:rStyle w:val="18"/>
          <w:rFonts w:eastAsia="楷体"/>
          <w:b w:val="0"/>
          <w:bCs w:val="0"/>
          <w:spacing w:val="-4"/>
          <w:sz w:val="32"/>
          <w:szCs w:val="32"/>
        </w:rPr>
        <w:cr/>
      </w:r>
      <w:r>
        <w:rPr>
          <w:rStyle w:val="18"/>
          <w:rFonts w:eastAsia="楷体"/>
          <w:b w:val="0"/>
          <w:bCs w:val="0"/>
          <w:spacing w:val="-4"/>
          <w:sz w:val="32"/>
          <w:szCs w:val="32"/>
        </w:rPr>
        <w:br w:type="textWrapping"/>
      </w:r>
      <w:r>
        <w:rPr>
          <w:rStyle w:val="18"/>
          <w:rFonts w:eastAsia="楷体"/>
          <w:b w:val="0"/>
          <w:bCs w:val="0"/>
          <w:spacing w:val="-4"/>
          <w:sz w:val="32"/>
          <w:szCs w:val="32"/>
        </w:rPr>
        <w:t>项目的主要实施内容：我区主要是一般性禁牧补助，对退化严重的湿性荒漠、高寒荒漠和高寒草原湿性禁牧封育，按照每年每亩6元的标准给予禁牧补助。牧民要自觉履行禁牧义务，监管部门要强化监管职责，确保禁牧任务的落实。2024年柏杨河乡草原奖补按照6元/亩的标准，计划补贴禁牧草场面积351.326969万亩。</w:t>
      </w:r>
      <w:r>
        <w:rPr>
          <w:rStyle w:val="18"/>
          <w:rFonts w:eastAsia="楷体"/>
          <w:b w:val="0"/>
          <w:bCs w:val="0"/>
          <w:spacing w:val="-4"/>
          <w:sz w:val="32"/>
          <w:szCs w:val="32"/>
        </w:rPr>
        <w:cr/>
      </w:r>
      <w:r>
        <w:rPr>
          <w:rStyle w:val="18"/>
          <w:rFonts w:eastAsia="楷体"/>
          <w:b w:val="0"/>
          <w:bCs w:val="0"/>
          <w:spacing w:val="-4"/>
          <w:sz w:val="32"/>
          <w:szCs w:val="32"/>
        </w:rPr>
        <w:br w:type="textWrapping"/>
      </w:r>
      <w:r>
        <w:rPr>
          <w:rStyle w:val="18"/>
          <w:rFonts w:eastAsia="楷体"/>
          <w:b w:val="0"/>
          <w:bCs w:val="0"/>
          <w:spacing w:val="-4"/>
          <w:sz w:val="32"/>
          <w:szCs w:val="32"/>
        </w:rPr>
        <w:t>实际完成情况为：通过柏杨河乡人民政府对补助奖励农牧民信息登记造册，将草原禁牧区域落实到具体地块，统计每户禁牧面积，以及发放补助奖励资金数额，报区人民政府审核认定后，牧民明道经公示无异议，再报区农业农村局、区自然资源局、区林草部门备案，并提交区财政部门将资金发放到户。2024年柏杨河乡草原奖补禁牧草场面积351.326969万亩、按照6元/亩的标准，总计补贴资金2107.961812万元。补贴资金使用全程合法合规，实现补贴全覆盖，补贴资金发放及时，于2024年11月21日由财政“一卡通”直接打款至柏杨河乡牧民账户中。经过以上指标的实施达到促进畜牧业生产高质高效发展和有效提升农牧业收入水平，农民满意度较好。</w:t>
      </w:r>
      <w:r>
        <w:rPr>
          <w:rStyle w:val="18"/>
          <w:rFonts w:eastAsia="楷体"/>
          <w:b w:val="0"/>
          <w:bCs w:val="0"/>
          <w:spacing w:val="-4"/>
          <w:sz w:val="32"/>
          <w:szCs w:val="32"/>
        </w:rPr>
        <w:cr/>
      </w:r>
      <w:r>
        <w:rPr>
          <w:rStyle w:val="18"/>
          <w:rFonts w:eastAsia="楷体"/>
          <w:b w:val="0"/>
          <w:bCs w:val="0"/>
          <w:spacing w:val="-4"/>
          <w:sz w:val="32"/>
          <w:szCs w:val="32"/>
        </w:rPr>
        <w:br w:type="textWrapping"/>
      </w:r>
      <w:r>
        <w:rPr>
          <w:rStyle w:val="18"/>
          <w:rFonts w:eastAsia="楷体"/>
          <w:b w:val="0"/>
          <w:bCs w:val="0"/>
          <w:spacing w:val="-4"/>
          <w:sz w:val="32"/>
          <w:szCs w:val="32"/>
        </w:rPr>
        <w:t>2.资金投入和使用情况</w:t>
      </w:r>
      <w:r>
        <w:rPr>
          <w:rStyle w:val="18"/>
          <w:rFonts w:eastAsia="楷体"/>
          <w:b w:val="0"/>
          <w:bCs w:val="0"/>
          <w:spacing w:val="-4"/>
          <w:sz w:val="32"/>
          <w:szCs w:val="32"/>
        </w:rPr>
        <w:cr/>
      </w:r>
      <w:r>
        <w:rPr>
          <w:rStyle w:val="18"/>
          <w:rFonts w:eastAsia="楷体"/>
          <w:b w:val="0"/>
          <w:bCs w:val="0"/>
          <w:spacing w:val="-4"/>
          <w:sz w:val="32"/>
          <w:szCs w:val="32"/>
        </w:rPr>
        <w:br w:type="textWrapping"/>
      </w:r>
      <w:r>
        <w:rPr>
          <w:rStyle w:val="18"/>
          <w:rFonts w:eastAsia="楷体"/>
          <w:b w:val="0"/>
          <w:bCs w:val="0"/>
          <w:spacing w:val="-4"/>
          <w:sz w:val="32"/>
          <w:szCs w:val="32"/>
        </w:rPr>
        <w:t>该项目资金投入情况：经乌财农[2023]93号文件批准，项目系2024年中央补贴资金，共安排预算3064.18万元，于2024年年初部分预算批复项目，年中资金调整情况（年中调减预算560.01万元）。</w:t>
      </w:r>
      <w:r>
        <w:rPr>
          <w:rStyle w:val="18"/>
          <w:rFonts w:eastAsia="楷体"/>
          <w:b w:val="0"/>
          <w:bCs w:val="0"/>
          <w:spacing w:val="-4"/>
          <w:sz w:val="32"/>
          <w:szCs w:val="32"/>
        </w:rPr>
        <w:cr/>
      </w:r>
      <w:r>
        <w:rPr>
          <w:rStyle w:val="18"/>
          <w:rFonts w:eastAsia="楷体"/>
          <w:b w:val="0"/>
          <w:bCs w:val="0"/>
          <w:spacing w:val="-4"/>
          <w:sz w:val="32"/>
          <w:szCs w:val="32"/>
        </w:rPr>
        <w:br w:type="textWrapping"/>
      </w:r>
      <w:r>
        <w:rPr>
          <w:rStyle w:val="18"/>
          <w:rFonts w:eastAsia="楷体"/>
          <w:b w:val="0"/>
          <w:bCs w:val="0"/>
          <w:spacing w:val="-4"/>
          <w:sz w:val="32"/>
          <w:szCs w:val="32"/>
        </w:rPr>
        <w:t>该项目资金使用情况：该项目年初总预算3064.18万元、资金投入草原奖补禁牧草场面积351.326969万亩、按照6元/亩的标准，年中调减预算560.01万元，调整后预算数2504.17万元，总计补贴资金2107.96万元，预算执行率84.18%。</w:t>
      </w:r>
    </w:p>
    <w:p w14:paraId="4E288757">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591BDFFA">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本项目依据《中共中央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效益指标、满意度指标），以准确、清晰地反映财政资金在使用期所能达到的预期产出和效果。</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该项目为经常性项目</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该项目总体绩效目标：通过向农牧民发放补助，促进畜牧业生产高质高效发展；稳步提升农牧业收入水平，为加快实施乡村振兴战略、建设生态文明、维护民族团结和边疆稳定做出积极贡献。</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该项目阶段性目标为：2024年计划通过向柏杨河乡按照草原奖补禁牧草场面积351.33万亩、按照6元/亩的标准，总计补贴资金2107.96万元。本项目预期达到以下目标①补贴面积＞=424.64万亩，②补贴资金使用合规率达到100%，③补贴覆盖率达到100%，④补贴资金发放及时率达到100%。⑤成本超支率实现0%⑥促进畜牧业生产高质高效发展和提升农牧业收入水平⑦农民满意度≥90%。</w:t>
      </w:r>
    </w:p>
    <w:p w14:paraId="55039709">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49DC8B37">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29747367">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通过向农牧民发放补助，促进畜牧业生产高质高效发展；稳步提升农牧业收入水平，为加快实施乡村振兴战略、建设生态文明、维护民族团结和边疆稳定做出积极贡献。</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1.绩效评价完整性</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根据乌财农｛2021｝90号关于印发《乌鲁木齐市第三轮草原生态保护补助奖励政策实施方案（2021-2025年）》、米东区第三轮草原生态保护补助奖励政策实施方案文件批准，项目立项具有合理性。我单位严格遵循文件要求，规范资金管理与使用流程，建立健全资金监管机制，确保每一笔资金都能合理、合规、高效地用于项目。</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根据项目目标，我单位设置了完整得绩效评价体系，从产出、成本、效益和满意度四个角度对项目绩效进行评价，构建了1个数量指标、2个质量指标，1个时效指标、1个成本指标、2个社会效益指标和1个满意度指标组成得绩效评价体系，因此项目绩效评价指标体系能够准确、清晰地反映财政资金在使用期所能达到的预期产出，并完整的体现出项目总体目标与要求。</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其次，本次项目财政拨款2107.96万元，项目通过柏杨河乡人民政府对补助奖励农牧民信息登记造册，将草原禁牧区域落实到具体地块，统计每户禁牧面积，以及发放补助奖励资金数额，报区人民政府审核认定后，牧民明道经公示无异议，再报区农业农村局、区自然资源局、区林草部门备案，并提交区财政部门将资金发放到户。</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最后，本次评价的数据来源主要柏杨河乡人民政府草原站；财务科付款形成的银行回单。这些资料和凭证在日常工作中逐步积累形成，真实记录了各项业务活动的开展情况。所有资料均统一整理存入财务凭证附件留存。严格按照相关科室责任，提供佐证材料，由财务科统一归集整理，为评价工作提供了坚实的数据支撑，保障了数据的准确性和完整性。</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2.评价目的</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产出指标、成本指标和效益指标等进行深入调研和分析，进一步了解2024年中央农业生态资源保护资金项目实施情况，并考察项目实施过程和效果。</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（2）通过评价，客观公正反映项目立项科学性、项目管理规范性、项目实施有效性和项目效果，总结项目实施的经验，发现项目实施过程中存在的问题，提高财政资金使用效益。</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3.评价对象</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（1）绩效评价的对象： 2024年中央农业生态资源保护资金</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项目</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4.绩效评价范围</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1.时间范围：2024年1月1日至2024年12月31日。</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2.项目范围：</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基本情况：我区主要是一般性禁牧补助，对退化严重的湿性荒漠、高寒荒漠和高寒草原湿性禁牧封育，按照每年每亩6元的标准给予禁牧补助。牧民要自觉履行禁牧义务，监管部门要强化监管职责，确保禁牧任务的落实。2024年柏杨河乡草原奖补禁牧草场面积351.326969万亩、按照6元/亩的标准，总计补贴资金2107.961812万元;</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评价工作的开展情况：通过柏杨河乡人民政府对补助奖励农牧民信息登记造册，将草原禁牧区域落实到具体地块，统计每户禁牧面积，以及发放补助奖励资金数额，报区人民政府审核认定后，牧民明道经公示无异议，再报区农业农村局、区自然资源局、区林草部门备案，并提交区财政部门将资金发放到户。2024年柏杨河乡草原奖补禁牧草场面积351.32万亩、按照6元/亩的标准，总计补贴资金2107.96万元。</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3）项目实现的产出情况：通过柏杨河乡人民政府对补助奖励农牧民信息登记造册，将草原禁牧区域落实到具体地块，统计每户禁牧面积，以及发放补助奖励资金数额，报区人民政府审核认定后，牧民明道经公示无异议，再报区农业农村局、区自然资源局、区林草部门备案，并提交区财政部门将资金发放到户。2024年柏杨河乡草原奖补禁牧草场面积351.326969万亩、按照6元/亩的标准，总计补贴资金2107.961812万元。2024年度我单位实际完成补贴面积351.326969万亩。补贴资金使用全程合法合规，实现补贴全覆盖，补贴资金发放及时，于2024年11月21日由财政“一卡通”直接打款至柏杨河乡牧民账户中。</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4）取得的效益情况：本项目的实施达到促进畜牧业生产高质高效发展和有效提升农牧业收入水平，农民满意度较好。同时稳步提升农牧业收入水平，为加快实施乡村振兴战略、建设生态文明、维护民族团结和边疆稳定做出积极贡献。禁牧政策的严格落实使得大量草原得以休养生息，植被覆盖度显著提升。产草量也实现增长，优良牧草比例上升，草原生态系统的自我修复能力逐步增强。同时，土壤侵蚀得到有效遏制，水土流失面积缩小，防风固沙功能增强，降低了沙尘天气发生频率。通过禁牧项目实施，传统放牧模式向舍饲、半舍饲转变。禁牧使草原生态系统服务功能价值提升，水源涵养、土壤保持、气候调节等功能增强。</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5）主要经验及做法：草原禁牧项目资金发放实际牧民切身利益，关乎草原生态保护成效，需兼顾公平性、规范性与效率性。首先成立由政府分管领导牵头，农业农村、财政、林草、乡镇等多部门组成的专项工作领导小组，明确职责分工，定期展开联席会议，协调解决自己发放中的难点问题。发放前由村级初审、乡镇审核、县级抽查三级联审，重点核查禁牧面积、牧民资格、银行账户等关键信息，杜绝虚报冒领、重复发放等问题。“一卡通”直补模式，取消不必要的证明材料和中间环节，实现资金从财政专户到牧民账户“一站式”直达，缩短发放周期。通过村务公开、政府网站等渠道，对补贴对象、面积、标准、金额进行多级公示，设立举报电话和信箱，接受社会监督。</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（6）存在的问题及原因分析：1.数据精准度与动态管理不足2.政策宣传与沟通存在盲区3.后续产业扶持与配套保障不足4.多方协同管理存在壁垒</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7）综合性价结论：结合项目特点，制定符合项目实际的绩效评价指标体系及评分标准，通过数据采集、问卷调查及访谈等形式，对2024年中央农业生态资源保护资金进行客观评价，最终评分结果为：总分为96.79分，绩效评级为“优” 。</w:t>
      </w:r>
    </w:p>
    <w:p w14:paraId="76AFCDD3">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30897819">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1.评价原则</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（一）科学公正。绩效评价应当运用科学合理的方法，按照规范的程序，对项目绩效进行客观、公正的反映。</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（三）激励约束。绩效评价结果应与预算安排、政策调整、改进管理实质性挂钩，体现奖优罚劣和激励相容导向，有效要安排、低效要压减、无效要问责。</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（四）公开透明。绩效评价结果应依法依规公开，并自觉接受社会监督。</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2.评价指标体系</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绩效评价指标体系作为衡量绩效目标实现程度的考核工具，一般遵循以下原则：</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（1）相关性原则：绩效评价指标应当与绩效目标有直接的联系，能够恰当反映目标的实现程度。</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（2）重要性原则：应当优先使用最具评价对象代表性、最能反映评价要求的核心指标。</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（3）可比性原则：对同类评价对象要设定共性的绩效评价指标，以便于评价结果可以相互比较。</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（4）系统性原则：绩效评价指标的设置应当将定量指标与定性指标相结合，能系统反映财政支出所产生的社会效益、经济效益和可持续影响等。</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（5）经济性原则：绩效评价指标设计应当通俗易懂、简便易行，数据的获得应当考虑现实条件和可操作性，符合成本效益原则。</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本项目的评价指标体系建立如下表所示。</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项目支出绩效评价指标体系</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一级指标 二级指标 三级指标 指标解释 指标说明</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决策 项目立项 立项依据</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充分性 项目立项是否符合法律法规、相关政策、发展规划以及部门职责，用以反映和考核项目立项依据情况。 评价要点：</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①项目立项是否符合国家法律法规、国民经济发展规划和相关政策；</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②项目立项是否符合行业发展规划和政策要求；</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③项目立项是否与部门职责范围相符，属于部门履职所需；</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④项目是否属于公共财政支持范围，是否符合中央、地方事权支出责任划分原则；</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⑤项目是否与相关部门同类项目或部门内部相关项目重复。</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立项程序</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规范性 项目申请、设立过程是否符合相关要求，用以反映和考核项目立项的规范情况。 评价要点：</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①项目是否按照规定的程序申请设立；</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②审批文件、材料是否符合相关要求；</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③事前是否已经过必要的可行性研究、专家论证、风险评估、绩效评估、集体决策。</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绩效目标 绩效目标</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合理性 项目所设定的绩效目标是否依据充分，是否符合客观实际，用以反映和考核项目绩效目标与项目实施的相符情况。 评价要点：</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（如未设定预算绩效目标，也可考核其他工作任务目标）</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①项目是否有绩效目标；</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②项目绩效目标与实际工作内容是否具有相关性；</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③项目预期产出效益和效果是否符合正常的业绩水平；</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④是否与预算确定的项目投资额或资金量相匹配。</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决策 绩效目标 绩效指标</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明确性 依据绩效目标设定的绩效指标是否清晰、细化、可衡量等，用以反映和考核项目绩效目标的明细化情况。 评价要点：</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①是否将项目绩效目标细化分解为具体的绩效指标；</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②是否通过清晰、可衡量的指标值予以体现；</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③是否与项目目标任务数或计划数相对应。</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资金投入 预算编制</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科学性 项目预算编制是否经过科学论证、有明确标准，资金额度与年度目标是否相适应，用以反映和考核项目预算编制的科学性、合理性情况。 评价要点：</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①预算编制是否经过科学论证；</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②预算内容与项目内容是否匹配；</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③预算额度测算依据是否充分，是否按照标准编制；</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④预算确定的项目投资额或资金量是否与工作任务相匹配。</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资金分配</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合理性 项目预算资金分配是否有测算依据，与补助单位或地方实际是否相适应，用以反映和考核项目预算资金分配的科学性、合理性情况。 评价要点：</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①预算资金分配依据是否充分；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②资金分配额度是否合理，与项目单位或地方实际是否相适应。</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过程 资金管理 资金到位率 实际到位资金与预算资金的比率，用以反映和考核资金落实情况对项目实施的总体保障程度。 资金到位率=（实际到位资金/预算资金）×100%。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实际到位资金：一定时期（本年度或项目期）内落实到具体项目的资金。</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预算资金：一定时期（本年度或项目期）内预算安排到具体项目的资金。</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预算执行率 项目预算资金是否按照计划执行，用以反映或考核项目预算执行情况。 预算执行率=（实际支出资金/实际到位资金）×100%。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实际支出资金：一定时期（本年度或项目期）内项目实际拨付的资金。</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过程 资金管理 资金使用</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合规性 项目资金使用是否符合相关的财务管理制度规定，用以反映和考核项目资金的规范运行情况。 评价要点：</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①是否符合国家财经法规和财务管理制度以及有关专项资金管理办法的规定；</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②资金的拨付是否有完整的审批程序和手续；</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③是否符合项目预算批复或合同规定的用途；</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④是否存在截留、挤占、挪用、虚列支出等情况。</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组织实施 管理制度</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健全性 项目实施单位的财务和业务管理制度是否健全，用以反映和考核财务和业务管理制度对项目顺利实施的保障情况。 评价要点：</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①是否已制定或具有相应的财务和业务管理制度；</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②财务和业务管理制度是否合法、合规、完整。</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制度执行</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有效性 项目实施是否符合相关管理规定，用以反映和考核相关管理制度的有效执行情况。 评价要点：</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①是否遵守相关法律法规和相关管理规定；</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②项目调整及支出调整手续是否完备；</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③项目合同书、验收报告、技术鉴定等资料是否齐全并及时归档；</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④项目实施的人员条件、场地设备、信息支撑等是否落实到位。</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产出 产出数量 补贴面积 项目实施的实际产出数与计划产出数的比率，用以反映和考核项目产出数量目标的实现程度。 实际完成率=（实际产出数/计划产出数）×100%。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实际产出数：一定时期（本年度或项目期）内项目实际产出的产品或提供的服务数量。</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计划产出数：项目绩效目标确定的在一定时期（本年度或项目期）内计划产出的产品或提供的服务数量。</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产出 产出质量 补贴资金使用合规率 项目完成的质量达标产出数与实际产出数的比率，用以反映和考核项目产出质量目标的实现程度。 质量达标率=（质量达标产出数/实际产出数）×100%。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质量达标产出数：一定时期（本年度或项目期）内实际达到既定质量标准的产品或服务数量。既定质量标准是指项目实施单位设立绩效目标时依据计划标准、行业标准、历史标准或其他标准而设定的绩效指标值。</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补贴覆盖率</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产出时效 补贴资金发放及时率 项目实际完成时间与计划完成时间的比较，用以反映和考核项目产出时效目标的实现程度。 实际完成时间：项目实施单位完成该项目实际所耗用的时间。</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计划完成时间：按照项目实施计划或相关规定完成该项目所需的时间。</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产出成本 成本超支率 完成项目计划工作目标的实际节约成本与计划成本的比率，用以反映和考核项目的成本节约程度。</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成本节约率=[（计划成本-实际成本）/计划成本]×100%。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实际成本：项目实施单位如期、保质、保量完成既定工作目标实际所耗费的支出。</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计划成本：项目实施单位为完成工作目标计划安排的支出，一般以项目预算为参考。</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效益 社会效益指标 促进畜牧业生产高质高效发展 项目实施所产生的效益。 项目实施所产生的社会效益、经济效益、生态效益、可持续影响等。可根据项目实际情况有选择地设置和细化。</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生态效益 提升农牧民收入水平  社会公众或服务对象是指因该项目实施而受到影响的部门（单位）、群体或个人。一般采取社会调查的方式。</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满意度指标完成情况分析 满意度指标 农民满意度 社会公众或服务对象对项目实施效果的满意程度。 社会公众或服务对象是指因该项目实施而受到影响的部门（单位）、群体或个人。一般采取社会调查的方式。</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3.评价方法</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《关于印发&lt;项目支出绩效评价管理办法&gt;的通知》（财预〔2020〕10号）文件指出部门评价的方法主要包括成本效益分析法、比较法、因素分析法、最低成本法、公众评判法、标杆管理法等。</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（1）成本效益分析法。是指将投入与产出、效益进行关联性分析的方法。</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（2）比较法。是指将实施情况与绩效目标、历史情况、不同部门和地区同类支出情况进行比较的方法。</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（3）因素分析法。是指综合分析影响绩效目标实现、实施效果的内外部因素的方法。</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（4）最低成本法。是指在绩效目标确定的前提下，成本最小者为优的方法。</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（5）公众评判法。是指通过专家评估、公众问卷及抽样调查等方式进行评判的方法。</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（6）标杆管理法。是指以国内外同行业中较高的绩效水平为标杆进行评判的方法。</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（7）其他评价方法。</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根据本项目（2024年中央农业生态资源保护资金）的特点，本次评价主要采用比较法和公众评判法，对项目总预算和明细预算的内容、标准、计划是否经济合理进行深入分析，以考察实际产出和效益是否达到预期。</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4.评价标准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绩效评价标准主要包括计划标准、行业标准、历史标准等，用于对绩效指标完成情况进行比较。</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（1）计划标准。指以预先制定的目标、计划、预算、定额等作为评价标准。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（2）行业标准。指参照国家公布的行业指标数据制定的评价标准。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在上述评价标准的基础上，本次评价依据以下文件为重要指导和准绳：</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《中共中央国务院关于全面实施预算绩效管理的意见》（中发〔2018〕34号）</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《关于印发&lt;乌鲁木齐市本级部门预算绩效目标管理暂行办法&gt;的通知》（乌财预〔2018〕56号）</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《关于做好2019年部门预算项目支出绩效目标管理有关事宜的通知》（乌财预〔2018〕76号）</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《项目支出绩效评价管理办法》（财预〔2020〕10号）</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乌财农｛2021｝90号关于印发《乌鲁木齐市第三轮草原生态保护补助奖励政策实施方案（2021-2025年）》</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《米东区第三轮草原生态保护补助奖励政策实施方案》</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《米东区农业农村局财务管理办法》</w:t>
      </w:r>
    </w:p>
    <w:p w14:paraId="7385DE8D">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07445DFA">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、材料审核分析、现场核查评价、综合分析评价及报告撰写，评价项目实施情况，展现资金使用效益。</w:t>
      </w:r>
    </w:p>
    <w:p w14:paraId="02BEEF33">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1ABBBED2">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结合项目特点，制定符合项目实际的绩效评价指标体系及评分标准，通过数据采集、问卷调查及访谈等形式，对2024年中央农业生态资源保护资金进行客观评价，最终评分结果为：总分为96.79分，绩效评级为“优” 。</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项目各部分权重和绩效分值如附表所示：</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项目各部分权重和绩效分值</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一级指标 二级指标 三级指标 分值 得分 得分率</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决策 项目立项 立项依据充分性 4 4 100%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立项程序规范性 4 4 100%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绩效目标 绩效目标合理性 3 3 100%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绩效指标明确性 3 3 100%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资金投入 预算编制科学性 3 3 100%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资金分配合理性 3 3 100%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过程 资金管理 资金到位率 5 3.44 68.79%</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预算执行率 5 4.2 84.18%</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资金使用合规性 3 3 100%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组织实施 管理制度健全性 3 3 100%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制度执行有效性 4 4 100%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产出 产出数量 补贴面积 5 4.15 83%</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产出质量 补贴资金使用合规率 5 5 100%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补贴覆盖率 5 5</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产出时效 补贴资金发放及时率 10 10 100%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产出成本 成本超支率 10 10 100%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效益 项目效益 促进畜牧业生产高质高效发展 10 10 100%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提升农牧业收入水平 5 5 100%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满意度指标完成情况分析 满意度指标 农民满意度 10 10 100%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（二）主要绩效</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 xml:space="preserve">    禁牧政策的严格落实使得大量草原得以休养生息，植被覆盖度显著提升。产草量也实现增长，优良牧草比例上升，草原生态系统的自我修复能力逐步增强。同时，土壤侵蚀得到有效遏制，水土流失面积缩小，防风固沙功能增强，降低了沙尘天气发生频率。通过禁牧项目实施，传统放牧模式向舍饲、半舍饲转变。禁牧使草原生态系统服务功能价值提升，水源涵养、土壤保持、气候调节等功能增强。该项目资金区财政及时拨付，单位在此次评价期间内，有序完成设定目标的部分工作任务，柏杨河乡草原奖补禁牧草场面积351.326969万亩、按照6元/亩的标准，总计补贴资金2107.961812万元。2024年度我单位实际完成补贴面积351.326969万亩。补贴资金使用全程合法合规，实现补贴全覆盖，补贴资金发放及时，于2024年11月21日由财政“一卡通”直接打款至柏杨河乡牧民账户中。经过以上指标的实施达到促进畜牧业生产高质高效发展和有效提升农牧业收入水平，农民满意度较好。</w:t>
      </w:r>
    </w:p>
    <w:p w14:paraId="30219C9E">
      <w:pPr>
        <w:spacing w:line="540" w:lineRule="exact"/>
        <w:ind w:firstLine="624" w:firstLineChars="20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514A46FC">
      <w:pPr>
        <w:spacing w:line="540" w:lineRule="exact"/>
        <w:ind w:firstLine="627" w:firstLineChars="200"/>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18A4E9D8">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项目决策指标由3个二级指标和6个三级指标构成，权重为20分，实际得分20分。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1.项目立项</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立项依据充分性：项目立项依据乌财农｛2021｝90号关于印发《乌鲁木齐市第三轮草原生态保护补助奖励政策实施方案（2021-2025年）》米东区第三轮草原生态保护补助奖励政策实施方案;同时，项目与部门职责中农村社会事业推动，统筹推动发展全区农村社会事业、农村公共服务、农村文化、农村基础设施和乡村治理;牵头组织改善农村人居环境;指导全区农村精神文明和优秀农耕文化建设;指导全区农业行业安全生产工作;范围相符，属于部门履职所需。此外，本项目属于公共财政支持范围，符合中央、地方事权支出责任划分原则,没有与相关部门同类项目或部门内部相关项目重复。因此，立项依据充分，得4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立项程序规范性:2024年中央农业生态资源保护资金，通过柏杨河乡人民政府对补助奖励农牧民信息登记造册，将草原禁牧区域落实到具体地块，统计每户禁牧面积，以及发放补助奖励资金数额，报区人民政府审核认定后，牧民明道经公示无异议，再报区农业农村局、区自然资源局、区林草部门备案，并提交区财政部门将资金发放到户。项目依据米东区第三轮草原生态保护补助奖励政策实施方案，符合相关要求，故立项程序规范，得4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综上，该指标满分8分，得分8分。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2.绩效目标</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绩效目标合理性：该项目绩效指标参考2023年柏杨河乡草原奖补补贴项目各项数据来设立，本项目的绩效目标按照产出、效益和满意度构建绩效评价指标，设立的指标具有明确性、可衡量性、可实现性、相关性和时限性等特点，能较为全面地反映本项目的产出和效益，故绩效目标合理性指标得分3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绩效目标明确性：其中，目标已细化为具体的绩效指标7条，可通过数量指标、质量指标、时效指标予以量化，如补贴面积、补贴资金使用合规率、补贴覆盖率、补贴资金发放及时率、促进畜牧业生产高质高效发展、提升农牧业收入水平、农民满意度等具有确切的评价标准，且指标设定均与目标相关。通过柏杨河乡人民政府对补助奖励农牧民信息登记造册，将草原禁牧区域落实到具体地块，统计每户禁牧面积，以及发放补助奖励资金数额，报区人民政府审核认定后，牧民明道经公示无异议，再报区农业农村局、区自然资源局、区林草部门备案，并提交区财政部门将资金发放到户。各项指标均能在现实条件下向柏杨河乡政府收集到相关数据进行佐证，并与当年项目年度计划相对应，故绩效目标明确性指标得分3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综上，该指标满分6分，得分6分。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3.资金投入</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预算编制科学性：本项目预算依据《中华人民共和国草原法》等，明确了草原保护的基本原则、禁牧的法律依据和要求，按照乌财农｛2021｝90号关于印发《乌鲁木齐市第三轮草原生态保护补助奖励政策实施方案（2021-2025年）》米东区第三轮草原生态保护补助奖励政策实施方案，由柏杨河乡人民政府对补助奖励农牧民信息登记造册，将草原禁牧区域落实到具体地块，统计每户禁牧面积，以及发放补助奖励资金数额。故预算编制科学性指标得分3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资金分配合理性：依据米东区第三轮草原生态保护补助奖励政策实施方案，我区主要是一般性禁牧补助，对退化严重的湿性荒漠、高寒荒漠和高寒草原湿性禁牧封育，按照每年每亩6元的标准给予禁牧补助。2024年柏杨河乡草原奖补禁牧草场面积351.326969万亩、按照6元/亩的标准，总计补贴资金2107.961812万元。故资金分配合理性指标得分3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综上，该指标满分6分，得分6分。</w:t>
      </w:r>
      <w:r>
        <w:rPr>
          <w:rStyle w:val="18"/>
          <w:rFonts w:hint="eastAsia" w:eastAsia="楷体"/>
          <w:b w:val="0"/>
          <w:bCs w:val="0"/>
          <w:spacing w:val="-4"/>
          <w:sz w:val="32"/>
          <w:szCs w:val="32"/>
        </w:rPr>
        <w:tab/>
      </w:r>
      <w:r>
        <w:rPr>
          <w:rStyle w:val="18"/>
          <w:rFonts w:hint="eastAsia" w:eastAsia="楷体"/>
          <w:b w:val="0"/>
          <w:bCs w:val="0"/>
          <w:spacing w:val="-4"/>
          <w:sz w:val="32"/>
          <w:szCs w:val="32"/>
        </w:rPr>
        <w:tab/>
      </w:r>
    </w:p>
    <w:p w14:paraId="4AB6CC37">
      <w:pPr>
        <w:spacing w:line="540" w:lineRule="exact"/>
        <w:ind w:firstLine="627" w:firstLineChars="200"/>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604CA041">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项目过程指标由3个二级指标和7个三级指标构成，权重为20分，实际得分17.64分。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1.资金管理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资金到位率：年初预算：3064.18万元，实际到位资金2107.96万元。该项目资金由财政拨付，在2024年11月21日到位，资金由财政一卡通账户直接支付到柏杨河乡农牧民账户。资金到位率：68.8%故资金到位率指标得分3.44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预算执行率：调整后预算数为2,504.17万元，实际执行数为2107.96万元，资金支付在2024年11月21日到位，资金直接支付到柏杨河乡农牧民账户。故预算执行率得分为4.2分。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资金使用合规性：本项目资金的使用符合财务制度和三重一大管理制度以及有关农业农村局资金管理办法的规定。同时，资金的拨付有三重一大审批程序，需要签批手续，符合项目预算批复或合同规定的用途，不存在截留、挤占、挪用、虚列支出等情况。故资金使用合规性得分为3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综上，该指标满分13分，得分10.64分。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2.组织实施</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管理制度健全性：国家和地方出台了一系列相关法律法规，如《中华人民共和国草原法》等，明确了草原保护的基本原则、禁牧的法律依据和要求，为草原禁牧项目提供了坚实的法律基础。建立了严格的资金审批和监管制度，对资金的使用进行全程跟踪和审计，确保资金专款专用，提高资金使用效益，且制度合法、合规、完整，为项目顺利实施提供重要保障。故管理制度健全性得分为3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制度执行有效性：根据评价小组核查情况，我单位严格按照乌财农｛2021｝90号关于印发《乌鲁木齐市第三轮草原生态保护补助奖励政策实施方案（2021-2025年）》米东区第三轮草原生态保护补助奖励政策实施方案、米东区农业农村局财务管理办法相关管理规定，项目调整及支出调整手续完备，整体管理合理有序，项目完成后，及时将会计凭证、补贴发放表等相关资料分类归档，制度执行有效。故制度执行有效性指标得分4分。</w:t>
      </w:r>
    </w:p>
    <w:p w14:paraId="6CECA21F">
      <w:pPr>
        <w:spacing w:line="540" w:lineRule="exact"/>
        <w:ind w:firstLine="627" w:firstLineChars="200"/>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4937A3CF">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项目产出指标由4个二级指标和8个三级指标构成，权重为35分，实际得分27.4分。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1.产出数量</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数量指标“补贴面积”的目标值是≥424.64万亩，2024年度我单位实际完成351.32万亩，根据柏杨河乡政府已向米东区政府提交《关于发放2024年草原生态保护补助奖励款项的请示》按照草原禁牧补贴6元/亩标准,享受补贴471户2728人，实际完成率：83%。未完成原因分析：2024年柏杨河乡开展确权工作，核减了禁牧面积，实际发放补贴面积为351.32万亩，故实际完成率得分为4.15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综上，数量指标得分为4.15分。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2.产出质量</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补贴资金使用合规率：目标值＞=90%，实际完成100%，元。本项目补贴资金经由柏杨河乡将“一卡通”发放平台更新录入，通过畜牧股审核，无异议;经由局党组审议通过，再由柏杨河乡对中央草原奖补平台数据进行录入，待数据录入完成后，畜牧股对数据进行审核，数据无误，再向财政局递交拨付资金申请，涉及金额21079618.12元。补贴资金使用合规率得分为5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补贴覆盖率目标值为大＞=90%，实际业绩值100%，根据柏杨河乡政府提供的草原奖补清册表发放补贴资金，享受补贴471户2728人，实现补贴全覆盖，故补贴覆盖率为100%，得分为5分。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故质量指标得分为10分。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3.产出时效</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补贴资金发放及时率：指标目标值≥90%，实际业绩值100%。指标完成率为111%，偏差原因是项目年初预算为3064.18万元，年中追减956.22万元，资金到位数2107.96万元，于2024年11月21日由财政“一卡通”直接打款至柏杨河乡牧民账户中。故补贴资金发放及时率得分为10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4.产出成本</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成本超支率:项目年初预算3064.18万元，本项目实际支出2107.96万元，无超支情况，得分为5分。</w:t>
      </w:r>
    </w:p>
    <w:p w14:paraId="79D4D310">
      <w:pPr>
        <w:spacing w:line="540" w:lineRule="exact"/>
        <w:ind w:firstLine="627" w:firstLineChars="200"/>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0DDEAD6B">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项目效益指标由1个二级指标和2个三级指标构成，权重为15分，实际得分15分。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经济效益指标：不适用。</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社会效益指标：评价指标“促进畜牧业生产高质高效发展”，指标值：有效促进，实际完成值：达成年度指标。本项目的实施为加快实施乡村振兴战略、建设生态文明、维护民族团结和边疆稳定做出积极贡献。</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社会效益指标：评价指标“提升农牧业收入水平”，指标值：有效提升，实际完成值：达成年度指标。本项目的实施稳步提升农牧业收入水平，为加快实施乡村振兴战略、建设生态文明、维护民族团结和边疆稳定做出积极贡献。</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生态效益指标：不适用。</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综上，该指标满分15分，得分15分。</w:t>
      </w:r>
    </w:p>
    <w:p w14:paraId="0F4CDCE6">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群众满意度：评价指标“农民满意度”，指标值：≥90%，实际完成值：100%。通过设置问卷调查的方式进行考评评价，共计调查样本总量为20个样本，有效调查问卷20份。其中，统计“农民满意度”的平均值为100%。故满意度指标得分为10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综上，该指标满分5分，得分5分。</w:t>
      </w:r>
    </w:p>
    <w:p w14:paraId="153F8EE3">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14:paraId="7F668024">
      <w:pPr>
        <w:spacing w:line="540" w:lineRule="exact"/>
        <w:ind w:firstLine="624" w:firstLineChars="200"/>
        <w:rPr>
          <w:rStyle w:val="18"/>
          <w:rFonts w:eastAsia="楷体"/>
        </w:rPr>
      </w:pPr>
      <w:r>
        <w:rPr>
          <w:rStyle w:val="18"/>
          <w:rFonts w:hint="eastAsia" w:eastAsia="楷体"/>
          <w:b w:val="0"/>
          <w:bCs w:val="0"/>
          <w:spacing w:val="-4"/>
          <w:sz w:val="32"/>
          <w:szCs w:val="32"/>
        </w:rPr>
        <w:t>草原禁牧项目资金发放实际牧民切身利益，关乎草原生态保护成效，需兼顾公平性、规范性与效率性。首先成立由政府分管领导牵头，农业农村、财政、林草、乡镇等多部门组成的专项工作领导小组，明确职责分工，定期展开联席会议，协调解决自己发放中的难点问题。</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 xml:space="preserve">    发放前由村级初审、乡镇审核、县级抽查三级联审，重点核查禁牧面积、牧民资格、银行账户等关键信息，杜绝虚报冒领、重复发放等问题。“一卡通”直补模式，取消不必要的证明材料和中间环节，实现资金从财政专户到牧民账户“一站式”直达，缩短发放周期。通过村务公开、政府网站等渠道，对补贴对象、面积、标准、金额进行多级公示，设立举报电话和信箱，接受社会监督。</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 xml:space="preserve">    此次项目完后还要继续推进后续产业扶持，成整合乡村振兴、产业发展等资金，引导牧民发展特色养殖、生态旅游、草产品加工等替代产业，降低对传统放牧的依赖，实现生态保护与民生改善双赢。</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（二）存在的问题及原因分析</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1.数据精准度与动态管理不足</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部分牧民信息更新不及时导致的错发、漏发；个别牧民因户籍变动、草场流转等情况未及时报备，影响资金发放准确性。</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分析原因是基层数据采集依赖人工统计，缺乏常态化动态监测机制；牧区地广人稀，实地核查成本高、难度大；信息系统功能不完善，部门间数据共享存在壁垒，导致数据更新滞后。</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2.政策宣传与沟通存在盲区</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部分牧民对禁牧政策和资金发放标准理解不透彻，存在误解或质疑。</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分析原因是宣传方式单一，缺乏针对性和灵活性，未能覆盖老年群体、文化程度低的牧民；基层干部对政策解读能力不足，沟通反馈机制不健全，未能及时解答牧民疑问。</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3.后续产业扶持与配套保障不足</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禁牧后，牧民转产转业缺乏技术、资金和政策支持，导致收入下降；补偿标准与牧民实际损失存在差距，影响禁牧积极性。</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分析原因是地方财政配套资金不足，产业扶持政策缺乏系统性和持续性；对牧民技能培训和就业指导不到位，未能有效衔接替代产业发展需求；补偿标准测算缺乏科学依据，未充分考虑不同区域的经济差异。</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4.多方协同管理存在壁垒</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林草、财政、农业农村等部门间职责划分不清晰，存在推诿扯皮现象。</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分析原因是部门间缺乏高效的协调联动机制，信息共享不畅。</w:t>
      </w:r>
    </w:p>
    <w:p w14:paraId="2533E9B6">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14:paraId="5497864C">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1.以土地确权证或者承包经营合同为依据，明确具有禁牧区域草原承包权且履行禁牧责任的农牧民为发放对象。</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2.加强对草原禁牧政策和资金发放政策的宣传，提高农牧民的认知度和配合度。同事，开展相关培训，帮助农牧民了解政策内容和操作流程。</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3.为农牧民提供草原生态保护、舍饲养殖等方面的技术指导，帮助他们更好地适应禁牧后的生产生活方式转变，提高生产效益，弥补因禁牧造成的收入损失。</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4. 林草、财政、农业农村等多部门协同，加强对资金发放全过程的监管，定期检查资金使用情况。</w:t>
      </w:r>
    </w:p>
    <w:p w14:paraId="33976B39">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14:paraId="1A72ACA7">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项目管理机制的系统性构建与严格执行，实现了 "政策设计有依据、执行过程有监控、资金使用有保障、实施效果可衡量" 的目标。后续可进一步探索设备全生命周期绩效管理，将使用效率、维护成本等纳入考核体系，推动项目管理从 "合规性导向" 向 "效益性导向" 深化升级，为疾控体系现代化建设提供更可持续的支撑。</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在项目执行过程中，经全面核查与评估，相关管理机制与实施成效均符合规范要求。首先，项目支出政策设计与实施路径经过科学论证，紧密结合当前深化财政改革的实际需求，通过前期需求调研、专家论证及可行性分析，确保了政策框架的科学性和可操作性。其次，项目安排严格遵循立项规划目标，执行过程中通过动态监测和阶段性评估，未发现偏离项目初衷或资金用途的情况，充分体现了政策执行的精准性和目标导向性。同时，项目申报与审核机制形成闭环管理，建立了涵盖申报材料预审、多部门联合评审、资金分配公示等环节的规范化流程，有效保障了项目准入的公平性和透明度。此外，通过建立资金使用动态监控机制、定期开展专项审计及风险排查，项目实施全周期未发现虚报项目内容、套取财政资金等违规行为，切实维护了财政资金的安全性和使用效益。以上管理措施的系统实施，为项目合规运行和预期目标达成提供了坚实保障。</w:t>
      </w:r>
    </w:p>
    <w:p w14:paraId="32866EB9">
      <w:pPr>
        <w:spacing w:line="540" w:lineRule="exact"/>
        <w:ind w:firstLine="624" w:firstLineChars="200"/>
        <w:rPr>
          <w:rStyle w:val="18"/>
          <w:rFonts w:ascii="仿宋" w:hAnsi="仿宋" w:eastAsia="仿宋"/>
          <w:b w:val="0"/>
          <w:spacing w:val="-4"/>
          <w:sz w:val="32"/>
          <w:szCs w:val="32"/>
        </w:rPr>
      </w:pPr>
    </w:p>
    <w:p w14:paraId="202D7128">
      <w:pPr>
        <w:spacing w:line="540" w:lineRule="exact"/>
        <w:ind w:firstLine="624" w:firstLineChars="200"/>
        <w:rPr>
          <w:rStyle w:val="18"/>
          <w:rFonts w:ascii="仿宋" w:hAnsi="仿宋" w:eastAsia="仿宋"/>
          <w:b w:val="0"/>
          <w:spacing w:val="-4"/>
          <w:sz w:val="32"/>
          <w:szCs w:val="32"/>
        </w:rPr>
      </w:pPr>
    </w:p>
    <w:p w14:paraId="57CF38B6">
      <w:pPr>
        <w:spacing w:line="540" w:lineRule="exact"/>
        <w:ind w:firstLine="624" w:firstLineChars="200"/>
        <w:rPr>
          <w:rStyle w:val="18"/>
          <w:rFonts w:ascii="仿宋" w:hAnsi="仿宋" w:eastAsia="仿宋"/>
          <w:b w:val="0"/>
          <w:spacing w:val="-4"/>
          <w:sz w:val="32"/>
          <w:szCs w:val="32"/>
        </w:rPr>
      </w:pPr>
    </w:p>
    <w:p w14:paraId="30839B4B">
      <w:pPr>
        <w:spacing w:line="540" w:lineRule="exact"/>
        <w:ind w:firstLine="624" w:firstLineChars="200"/>
        <w:rPr>
          <w:rStyle w:val="18"/>
          <w:rFonts w:ascii="仿宋" w:hAnsi="仿宋" w:eastAsia="仿宋"/>
          <w:b w:val="0"/>
          <w:spacing w:val="-4"/>
          <w:sz w:val="32"/>
          <w:szCs w:val="32"/>
        </w:rPr>
      </w:pPr>
    </w:p>
    <w:p w14:paraId="3F16CF8A">
      <w:pPr>
        <w:spacing w:line="540" w:lineRule="exact"/>
        <w:ind w:firstLine="624" w:firstLineChars="200"/>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F85AF76">
        <w:pPr>
          <w:pStyle w:val="12"/>
          <w:jc w:val="center"/>
        </w:pPr>
        <w:r>
          <w:fldChar w:fldCharType="begin"/>
        </w:r>
        <w:r>
          <w:instrText xml:space="preserve">PAGE   \* MERGEFORMAT</w:instrText>
        </w:r>
        <w:r>
          <w:fldChar w:fldCharType="separate"/>
        </w:r>
        <w:r>
          <w:rPr>
            <w:lang w:val="zh-CN"/>
          </w:rPr>
          <w:t>2</w:t>
        </w:r>
        <w:r>
          <w:fldChar w:fldCharType="end"/>
        </w:r>
      </w:p>
    </w:sdtContent>
  </w:sdt>
  <w:p w14:paraId="76F91C76">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048AA"/>
    <w:rsid w:val="00056465"/>
    <w:rsid w:val="000B0B98"/>
    <w:rsid w:val="00102DFF"/>
    <w:rsid w:val="001071A7"/>
    <w:rsid w:val="00121AE4"/>
    <w:rsid w:val="00146AAD"/>
    <w:rsid w:val="001B3A40"/>
    <w:rsid w:val="00291BC0"/>
    <w:rsid w:val="00311DBE"/>
    <w:rsid w:val="003A1721"/>
    <w:rsid w:val="004366A8"/>
    <w:rsid w:val="00491B24"/>
    <w:rsid w:val="00502BA7"/>
    <w:rsid w:val="005162F1"/>
    <w:rsid w:val="00535153"/>
    <w:rsid w:val="00554F82"/>
    <w:rsid w:val="0056390D"/>
    <w:rsid w:val="005719B0"/>
    <w:rsid w:val="005D10D6"/>
    <w:rsid w:val="00603483"/>
    <w:rsid w:val="00687BD3"/>
    <w:rsid w:val="007E3CE9"/>
    <w:rsid w:val="0083370B"/>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4AC5202"/>
    <w:rsid w:val="15392994"/>
    <w:rsid w:val="18F17DE4"/>
    <w:rsid w:val="18FE139B"/>
    <w:rsid w:val="297F67E6"/>
    <w:rsid w:val="29E17ECF"/>
    <w:rsid w:val="2A891760"/>
    <w:rsid w:val="3029612C"/>
    <w:rsid w:val="32A221C5"/>
    <w:rsid w:val="33F20F2A"/>
    <w:rsid w:val="34C44675"/>
    <w:rsid w:val="38C2224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市财政资金综合评价中心</Company>
  <Pages>36</Pages>
  <Words>7917</Words>
  <Characters>8273</Characters>
  <Lines>4</Lines>
  <Paragraphs>1</Paragraphs>
  <TotalTime>1</TotalTime>
  <ScaleCrop>false</ScaleCrop>
  <LinksUpToDate>false</LinksUpToDate>
  <CharactersWithSpaces>8349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2025-04-28T05:31:00Z</dcterms:created>
  <dc:creator>赵 恺（预算处）</dc:creator>
  <cp:lastModifiedBy>谢凤</cp:lastModifiedBy>
  <cp:lastPrinted>2018-12-31T10:56:00Z</cp:lastPrinted>
  <dcterms:modified xsi:type="dcterms:W3CDTF">2025-11-17T07:46:45Z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AC8D1C95289B424182C977C1902B2A2F</vt:lpwstr>
  </property>
  <property fmtid="{D5CDD505-2E9C-101B-9397-08002B2CF9AE}" pid="4" name="KSOTemplateDocerSaveRecord">
    <vt:lpwstr>eyJoZGlkIjoiMWExYjI5YmI4NTg2YzA1MWY0Y2ZkOGYyMDM2NmExMGEiLCJ1c2VySWQiOiIxMTk3MDAxNzMxIn0=</vt:lpwstr>
  </property>
</Properties>
</file>