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F6701" w14:textId="77777777" w:rsidR="00E90086"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3E1F5373" w14:textId="77777777" w:rsidR="00E90086" w:rsidRDefault="00E90086">
      <w:pPr>
        <w:spacing w:line="540" w:lineRule="exact"/>
        <w:jc w:val="center"/>
        <w:rPr>
          <w:rFonts w:ascii="华文中宋" w:eastAsia="华文中宋" w:hAnsi="华文中宋" w:cs="宋体" w:hint="eastAsia"/>
          <w:b/>
          <w:kern w:val="0"/>
          <w:sz w:val="52"/>
          <w:szCs w:val="52"/>
        </w:rPr>
      </w:pPr>
    </w:p>
    <w:p w14:paraId="52D1448F" w14:textId="77777777" w:rsidR="00E90086" w:rsidRDefault="00E90086">
      <w:pPr>
        <w:spacing w:line="540" w:lineRule="exact"/>
        <w:jc w:val="center"/>
        <w:rPr>
          <w:rFonts w:ascii="华文中宋" w:eastAsia="华文中宋" w:hAnsi="华文中宋" w:cs="宋体" w:hint="eastAsia"/>
          <w:b/>
          <w:kern w:val="0"/>
          <w:sz w:val="52"/>
          <w:szCs w:val="52"/>
        </w:rPr>
      </w:pPr>
    </w:p>
    <w:p w14:paraId="4140145D" w14:textId="77777777" w:rsidR="00E90086" w:rsidRDefault="00E90086">
      <w:pPr>
        <w:spacing w:line="540" w:lineRule="exact"/>
        <w:jc w:val="center"/>
        <w:rPr>
          <w:rFonts w:ascii="华文中宋" w:eastAsia="华文中宋" w:hAnsi="华文中宋" w:cs="宋体" w:hint="eastAsia"/>
          <w:b/>
          <w:kern w:val="0"/>
          <w:sz w:val="52"/>
          <w:szCs w:val="52"/>
        </w:rPr>
      </w:pPr>
    </w:p>
    <w:p w14:paraId="525A1BA3" w14:textId="77777777" w:rsidR="00E90086" w:rsidRDefault="00E90086">
      <w:pPr>
        <w:spacing w:line="540" w:lineRule="exact"/>
        <w:jc w:val="center"/>
        <w:rPr>
          <w:rFonts w:ascii="华文中宋" w:eastAsia="华文中宋" w:hAnsi="华文中宋" w:cs="宋体" w:hint="eastAsia"/>
          <w:b/>
          <w:kern w:val="0"/>
          <w:sz w:val="52"/>
          <w:szCs w:val="52"/>
        </w:rPr>
      </w:pPr>
    </w:p>
    <w:p w14:paraId="65E30C9C" w14:textId="77777777" w:rsidR="00E90086" w:rsidRDefault="00E90086">
      <w:pPr>
        <w:spacing w:line="540" w:lineRule="exact"/>
        <w:jc w:val="center"/>
        <w:rPr>
          <w:rFonts w:ascii="华文中宋" w:eastAsia="华文中宋" w:hAnsi="华文中宋" w:cs="宋体" w:hint="eastAsia"/>
          <w:b/>
          <w:kern w:val="0"/>
          <w:sz w:val="52"/>
          <w:szCs w:val="52"/>
        </w:rPr>
      </w:pPr>
    </w:p>
    <w:p w14:paraId="5267B90D" w14:textId="77777777" w:rsidR="00E90086" w:rsidRDefault="00E90086">
      <w:pPr>
        <w:spacing w:line="540" w:lineRule="exact"/>
        <w:jc w:val="center"/>
        <w:rPr>
          <w:rFonts w:ascii="华文中宋" w:eastAsia="华文中宋" w:hAnsi="华文中宋" w:cs="宋体" w:hint="eastAsia"/>
          <w:b/>
          <w:kern w:val="0"/>
          <w:sz w:val="52"/>
          <w:szCs w:val="52"/>
        </w:rPr>
      </w:pPr>
    </w:p>
    <w:p w14:paraId="703315A4" w14:textId="77777777" w:rsidR="00E90086"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72D22052" w14:textId="77777777" w:rsidR="00E90086" w:rsidRPr="004B6160" w:rsidRDefault="00E90086">
      <w:pPr>
        <w:spacing w:line="540" w:lineRule="exact"/>
        <w:jc w:val="center"/>
        <w:rPr>
          <w:rFonts w:ascii="华文中宋" w:eastAsia="华文中宋" w:hAnsi="华文中宋" w:cs="宋体" w:hint="eastAsia"/>
          <w:b/>
          <w:kern w:val="0"/>
          <w:sz w:val="52"/>
          <w:szCs w:val="52"/>
        </w:rPr>
      </w:pPr>
    </w:p>
    <w:p w14:paraId="022EF1CA" w14:textId="77777777" w:rsidR="00E90086"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5DFE7992" w14:textId="77777777" w:rsidR="00E90086" w:rsidRDefault="00E90086">
      <w:pPr>
        <w:spacing w:line="540" w:lineRule="exact"/>
        <w:jc w:val="center"/>
        <w:rPr>
          <w:rFonts w:eastAsia="仿宋_GB2312" w:hAnsi="宋体" w:cs="宋体" w:hint="eastAsia"/>
          <w:kern w:val="0"/>
          <w:sz w:val="30"/>
          <w:szCs w:val="30"/>
        </w:rPr>
      </w:pPr>
    </w:p>
    <w:p w14:paraId="068AAFCF" w14:textId="77777777" w:rsidR="00E90086" w:rsidRDefault="00E90086">
      <w:pPr>
        <w:spacing w:line="540" w:lineRule="exact"/>
        <w:jc w:val="center"/>
        <w:rPr>
          <w:rFonts w:eastAsia="仿宋_GB2312" w:hAnsi="宋体" w:cs="宋体" w:hint="eastAsia"/>
          <w:kern w:val="0"/>
          <w:sz w:val="30"/>
          <w:szCs w:val="30"/>
        </w:rPr>
      </w:pPr>
    </w:p>
    <w:p w14:paraId="1187538C" w14:textId="77777777" w:rsidR="00E90086" w:rsidRDefault="00E90086">
      <w:pPr>
        <w:spacing w:line="540" w:lineRule="exact"/>
        <w:jc w:val="center"/>
        <w:rPr>
          <w:rFonts w:eastAsia="仿宋_GB2312" w:hAnsi="宋体" w:cs="宋体" w:hint="eastAsia"/>
          <w:kern w:val="0"/>
          <w:sz w:val="30"/>
          <w:szCs w:val="30"/>
        </w:rPr>
      </w:pPr>
    </w:p>
    <w:p w14:paraId="0F9CCFF2" w14:textId="77777777" w:rsidR="00E90086" w:rsidRDefault="00E90086">
      <w:pPr>
        <w:spacing w:line="540" w:lineRule="exact"/>
        <w:jc w:val="center"/>
        <w:rPr>
          <w:rFonts w:eastAsia="仿宋_GB2312" w:hAnsi="宋体" w:cs="宋体" w:hint="eastAsia"/>
          <w:kern w:val="0"/>
          <w:sz w:val="30"/>
          <w:szCs w:val="30"/>
        </w:rPr>
      </w:pPr>
    </w:p>
    <w:p w14:paraId="0DE21F3B" w14:textId="77777777" w:rsidR="00E90086" w:rsidRDefault="00E90086">
      <w:pPr>
        <w:spacing w:line="540" w:lineRule="exact"/>
        <w:jc w:val="center"/>
        <w:rPr>
          <w:rFonts w:eastAsia="仿宋_GB2312" w:hAnsi="宋体" w:cs="宋体" w:hint="eastAsia"/>
          <w:kern w:val="0"/>
          <w:sz w:val="30"/>
          <w:szCs w:val="30"/>
        </w:rPr>
      </w:pPr>
    </w:p>
    <w:p w14:paraId="36D4C345" w14:textId="77777777" w:rsidR="00E90086" w:rsidRDefault="00E90086">
      <w:pPr>
        <w:spacing w:line="540" w:lineRule="exact"/>
        <w:jc w:val="center"/>
        <w:rPr>
          <w:rFonts w:eastAsia="仿宋_GB2312" w:hAnsi="宋体" w:cs="宋体" w:hint="eastAsia"/>
          <w:kern w:val="0"/>
          <w:sz w:val="30"/>
          <w:szCs w:val="30"/>
        </w:rPr>
      </w:pPr>
    </w:p>
    <w:p w14:paraId="1B5407AF" w14:textId="77777777" w:rsidR="00E90086" w:rsidRDefault="00E90086">
      <w:pPr>
        <w:spacing w:line="540" w:lineRule="exact"/>
        <w:rPr>
          <w:rFonts w:eastAsia="仿宋_GB2312" w:hAnsi="宋体" w:cs="宋体" w:hint="eastAsia"/>
          <w:kern w:val="0"/>
          <w:sz w:val="30"/>
          <w:szCs w:val="30"/>
        </w:rPr>
      </w:pPr>
    </w:p>
    <w:p w14:paraId="01B78158" w14:textId="77777777" w:rsidR="00E90086"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7E9CC5B" w14:textId="77777777" w:rsidR="00E90086"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乌财社【2023】254号2024年自治区公共卫生服务（地方公共卫生）（自治区直达资金）</w:t>
      </w:r>
    </w:p>
    <w:p w14:paraId="5F51B286" w14:textId="77777777" w:rsidR="00E90086"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乌鲁木齐市米东区卫生计生综合监督执法局</w:t>
      </w:r>
    </w:p>
    <w:p w14:paraId="5C3AAC00" w14:textId="77777777" w:rsidR="00E90086"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乌鲁木齐市米东区卫生计生综合监督执法局</w:t>
      </w:r>
    </w:p>
    <w:p w14:paraId="51E5565D" w14:textId="77777777" w:rsidR="00E90086"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lastRenderedPageBreak/>
        <w:t>项目负责人（签章）：</w:t>
      </w:r>
      <w:r>
        <w:rPr>
          <w:rStyle w:val="ad"/>
          <w:rFonts w:ascii="楷体" w:eastAsia="楷体" w:hAnsi="楷体" w:hint="eastAsia"/>
          <w:spacing w:val="-4"/>
          <w:sz w:val="32"/>
          <w:szCs w:val="32"/>
        </w:rPr>
        <w:t>张双红</w:t>
      </w:r>
    </w:p>
    <w:p w14:paraId="662F09DF" w14:textId="77777777" w:rsidR="00E90086"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13</w:t>
      </w:r>
      <w:r>
        <w:rPr>
          <w:rStyle w:val="ad"/>
          <w:rFonts w:eastAsia="楷体"/>
          <w:spacing w:val="-4"/>
          <w:sz w:val="32"/>
          <w:szCs w:val="32"/>
        </w:rPr>
        <w:t>日</w:t>
      </w:r>
    </w:p>
    <w:p w14:paraId="359A92EB" w14:textId="77777777" w:rsidR="00E90086" w:rsidRDefault="00E90086">
      <w:pPr>
        <w:spacing w:line="700" w:lineRule="exact"/>
        <w:ind w:firstLineChars="236" w:firstLine="708"/>
        <w:jc w:val="left"/>
        <w:rPr>
          <w:rFonts w:eastAsia="仿宋_GB2312" w:hAnsi="宋体" w:cs="宋体" w:hint="eastAsia"/>
          <w:kern w:val="0"/>
          <w:sz w:val="30"/>
          <w:szCs w:val="30"/>
        </w:rPr>
      </w:pPr>
    </w:p>
    <w:p w14:paraId="06031239" w14:textId="77777777" w:rsidR="00E90086" w:rsidRDefault="00E90086">
      <w:pPr>
        <w:spacing w:line="540" w:lineRule="exact"/>
        <w:rPr>
          <w:rStyle w:val="ad"/>
          <w:rFonts w:ascii="黑体" w:eastAsia="黑体" w:hAnsi="黑体" w:hint="eastAsia"/>
          <w:b w:val="0"/>
          <w:spacing w:val="-4"/>
          <w:sz w:val="32"/>
          <w:szCs w:val="32"/>
        </w:rPr>
      </w:pPr>
    </w:p>
    <w:p w14:paraId="3EDEC7CF"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03A42566" w14:textId="77777777" w:rsidR="00E9008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4B3B5B53"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br/>
      </w:r>
      <w:r>
        <w:rPr>
          <w:rStyle w:val="ad"/>
          <w:rFonts w:eastAsia="楷体"/>
          <w:b w:val="0"/>
          <w:bCs w:val="0"/>
          <w:spacing w:val="-4"/>
          <w:sz w:val="32"/>
          <w:szCs w:val="32"/>
        </w:rPr>
        <w:t>该项目实施背景：为进一步加强公共卫生、医疗卫生等监督执法工作，我部门按照《关于印发</w:t>
      </w:r>
      <w:r>
        <w:rPr>
          <w:rStyle w:val="ad"/>
          <w:rFonts w:eastAsia="楷体"/>
          <w:b w:val="0"/>
          <w:bCs w:val="0"/>
          <w:spacing w:val="-4"/>
          <w:sz w:val="32"/>
          <w:szCs w:val="32"/>
        </w:rPr>
        <w:t>2023</w:t>
      </w:r>
      <w:r>
        <w:rPr>
          <w:rStyle w:val="ad"/>
          <w:rFonts w:eastAsia="楷体"/>
          <w:b w:val="0"/>
          <w:bCs w:val="0"/>
          <w:spacing w:val="-4"/>
          <w:sz w:val="32"/>
          <w:szCs w:val="32"/>
        </w:rPr>
        <w:t>年国家随机监督抽查计划的通知》（国疾控综监督二函〔</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56</w:t>
      </w:r>
      <w:r>
        <w:rPr>
          <w:rStyle w:val="ad"/>
          <w:rFonts w:eastAsia="楷体"/>
          <w:b w:val="0"/>
          <w:bCs w:val="0"/>
          <w:spacing w:val="-4"/>
          <w:sz w:val="32"/>
          <w:szCs w:val="32"/>
        </w:rPr>
        <w:t>号）和自治区下发的《关于印发</w:t>
      </w:r>
      <w:r>
        <w:rPr>
          <w:rStyle w:val="ad"/>
          <w:rFonts w:eastAsia="楷体"/>
          <w:b w:val="0"/>
          <w:bCs w:val="0"/>
          <w:spacing w:val="-4"/>
          <w:sz w:val="32"/>
          <w:szCs w:val="32"/>
        </w:rPr>
        <w:t>2023</w:t>
      </w:r>
      <w:r>
        <w:rPr>
          <w:rStyle w:val="ad"/>
          <w:rFonts w:eastAsia="楷体"/>
          <w:b w:val="0"/>
          <w:bCs w:val="0"/>
          <w:spacing w:val="-4"/>
          <w:sz w:val="32"/>
          <w:szCs w:val="32"/>
        </w:rPr>
        <w:t>年度自治区医疗卫生健康领域</w:t>
      </w:r>
      <w:r>
        <w:rPr>
          <w:rStyle w:val="ad"/>
          <w:rFonts w:eastAsia="楷体"/>
          <w:b w:val="0"/>
          <w:bCs w:val="0"/>
          <w:spacing w:val="-4"/>
          <w:sz w:val="32"/>
          <w:szCs w:val="32"/>
        </w:rPr>
        <w:t>“</w:t>
      </w:r>
      <w:r>
        <w:rPr>
          <w:rStyle w:val="ad"/>
          <w:rFonts w:eastAsia="楷体"/>
          <w:b w:val="0"/>
          <w:bCs w:val="0"/>
          <w:spacing w:val="-4"/>
          <w:sz w:val="32"/>
          <w:szCs w:val="32"/>
        </w:rPr>
        <w:t>双随机、一公开</w:t>
      </w:r>
      <w:r>
        <w:rPr>
          <w:rStyle w:val="ad"/>
          <w:rFonts w:eastAsia="楷体"/>
          <w:b w:val="0"/>
          <w:bCs w:val="0"/>
          <w:spacing w:val="-4"/>
          <w:sz w:val="32"/>
          <w:szCs w:val="32"/>
        </w:rPr>
        <w:t>”</w:t>
      </w:r>
      <w:r>
        <w:rPr>
          <w:rStyle w:val="ad"/>
          <w:rFonts w:eastAsia="楷体"/>
          <w:b w:val="0"/>
          <w:bCs w:val="0"/>
          <w:spacing w:val="-4"/>
          <w:sz w:val="32"/>
          <w:szCs w:val="32"/>
        </w:rPr>
        <w:t>抽查工作计划的通知》要求实施开展此项目。</w:t>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进行学校、公共场所、生活饮用水供水单位等场所的双随机检测；</w:t>
      </w:r>
      <w:r>
        <w:rPr>
          <w:rStyle w:val="ad"/>
          <w:rFonts w:eastAsia="楷体"/>
          <w:b w:val="0"/>
          <w:bCs w:val="0"/>
          <w:spacing w:val="-4"/>
          <w:sz w:val="32"/>
          <w:szCs w:val="32"/>
        </w:rPr>
        <w:t>②</w:t>
      </w:r>
      <w:r>
        <w:rPr>
          <w:rStyle w:val="ad"/>
          <w:rFonts w:eastAsia="楷体"/>
          <w:b w:val="0"/>
          <w:bCs w:val="0"/>
          <w:spacing w:val="-4"/>
          <w:sz w:val="32"/>
          <w:szCs w:val="32"/>
        </w:rPr>
        <w:t>对医疗卫生机构预防接种管理、传染病疫情报告和疫情控制、消毒隔离措施落实、医疗废物管理、病原微生物实验室生物安全管理等情况。</w:t>
      </w:r>
      <w:r>
        <w:rPr>
          <w:rStyle w:val="ad"/>
          <w:rFonts w:eastAsia="楷体"/>
          <w:b w:val="0"/>
          <w:bCs w:val="0"/>
          <w:spacing w:val="-4"/>
          <w:sz w:val="32"/>
          <w:szCs w:val="32"/>
        </w:rPr>
        <w:br/>
      </w:r>
      <w:r>
        <w:rPr>
          <w:rStyle w:val="ad"/>
          <w:rFonts w:eastAsia="楷体"/>
          <w:b w:val="0"/>
          <w:bCs w:val="0"/>
          <w:spacing w:val="-4"/>
          <w:sz w:val="32"/>
          <w:szCs w:val="32"/>
        </w:rPr>
        <w:t>实际完成情况为：按期对学校、公共场所、生活饮用水供水单位进行了双随机检测；对医疗卫生机构预防接种管理、传染病疫情报告和疫情控制、消毒隔离措施落实、医疗废物管理、病原微生物实验室生物安全管理等工作也按工作要求如期完成。</w:t>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br/>
      </w:r>
      <w:r>
        <w:rPr>
          <w:rStyle w:val="ad"/>
          <w:rFonts w:eastAsia="楷体"/>
          <w:b w:val="0"/>
          <w:bCs w:val="0"/>
          <w:spacing w:val="-4"/>
          <w:sz w:val="32"/>
          <w:szCs w:val="32"/>
        </w:rPr>
        <w:t>该项目资金投入情况：经乌财社【</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254</w:t>
      </w:r>
      <w:r>
        <w:rPr>
          <w:rStyle w:val="ad"/>
          <w:rFonts w:eastAsia="楷体"/>
          <w:b w:val="0"/>
          <w:bCs w:val="0"/>
          <w:spacing w:val="-4"/>
          <w:sz w:val="32"/>
          <w:szCs w:val="32"/>
        </w:rPr>
        <w:t>号</w:t>
      </w:r>
      <w:r>
        <w:rPr>
          <w:rStyle w:val="ad"/>
          <w:rFonts w:eastAsia="楷体"/>
          <w:b w:val="0"/>
          <w:bCs w:val="0"/>
          <w:spacing w:val="-4"/>
          <w:sz w:val="32"/>
          <w:szCs w:val="32"/>
        </w:rPr>
        <w:t>2024</w:t>
      </w:r>
      <w:r>
        <w:rPr>
          <w:rStyle w:val="ad"/>
          <w:rFonts w:eastAsia="楷体"/>
          <w:b w:val="0"/>
          <w:bCs w:val="0"/>
          <w:spacing w:val="-4"/>
          <w:sz w:val="32"/>
          <w:szCs w:val="32"/>
        </w:rPr>
        <w:t>年自治区公共卫生服务（地方公共卫生）（自治区直达资金）文件批准，项目系</w:t>
      </w:r>
      <w:r>
        <w:rPr>
          <w:rStyle w:val="ad"/>
          <w:rFonts w:eastAsia="楷体"/>
          <w:b w:val="0"/>
          <w:bCs w:val="0"/>
          <w:spacing w:val="-4"/>
          <w:sz w:val="32"/>
          <w:szCs w:val="32"/>
        </w:rPr>
        <w:t>2024</w:t>
      </w:r>
      <w:r>
        <w:rPr>
          <w:rStyle w:val="ad"/>
          <w:rFonts w:eastAsia="楷体"/>
          <w:b w:val="0"/>
          <w:bCs w:val="0"/>
          <w:spacing w:val="-4"/>
          <w:sz w:val="32"/>
          <w:szCs w:val="32"/>
        </w:rPr>
        <w:t>年自治区资金，共安排预算</w:t>
      </w:r>
      <w:r>
        <w:rPr>
          <w:rStyle w:val="ad"/>
          <w:rFonts w:eastAsia="楷体"/>
          <w:b w:val="0"/>
          <w:bCs w:val="0"/>
          <w:spacing w:val="-4"/>
          <w:sz w:val="32"/>
          <w:szCs w:val="32"/>
        </w:rPr>
        <w:t>1.5</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w:t>
      </w:r>
      <w:r>
        <w:rPr>
          <w:rStyle w:val="ad"/>
          <w:rFonts w:eastAsia="楷体"/>
          <w:b w:val="0"/>
          <w:bCs w:val="0"/>
          <w:spacing w:val="-4"/>
          <w:sz w:val="32"/>
          <w:szCs w:val="32"/>
        </w:rPr>
        <w:lastRenderedPageBreak/>
        <w:t>中追加预算批复项目，全年资金无调整情况，年终执行金额</w:t>
      </w:r>
      <w:r>
        <w:rPr>
          <w:rStyle w:val="ad"/>
          <w:rFonts w:eastAsia="楷体"/>
          <w:b w:val="0"/>
          <w:bCs w:val="0"/>
          <w:spacing w:val="-4"/>
          <w:sz w:val="32"/>
          <w:szCs w:val="32"/>
        </w:rPr>
        <w:t>1.5</w:t>
      </w:r>
      <w:r>
        <w:rPr>
          <w:rStyle w:val="ad"/>
          <w:rFonts w:eastAsia="楷体"/>
          <w:b w:val="0"/>
          <w:bCs w:val="0"/>
          <w:spacing w:val="-4"/>
          <w:sz w:val="32"/>
          <w:szCs w:val="32"/>
        </w:rPr>
        <w:t>万元。</w:t>
      </w:r>
      <w:r>
        <w:rPr>
          <w:rStyle w:val="ad"/>
          <w:rFonts w:eastAsia="楷体"/>
          <w:b w:val="0"/>
          <w:bCs w:val="0"/>
          <w:spacing w:val="-4"/>
          <w:sz w:val="32"/>
          <w:szCs w:val="32"/>
        </w:rPr>
        <w:br/>
      </w:r>
      <w:r>
        <w:rPr>
          <w:rStyle w:val="ad"/>
          <w:rFonts w:eastAsia="楷体"/>
          <w:b w:val="0"/>
          <w:bCs w:val="0"/>
          <w:spacing w:val="-4"/>
          <w:sz w:val="32"/>
          <w:szCs w:val="32"/>
        </w:rPr>
        <w:t>该项目资金使用情况：用于支付消毒产品和涉及饮用水卫生检测费</w:t>
      </w:r>
      <w:r>
        <w:rPr>
          <w:rStyle w:val="ad"/>
          <w:rFonts w:eastAsia="楷体"/>
          <w:b w:val="0"/>
          <w:bCs w:val="0"/>
          <w:spacing w:val="-4"/>
          <w:sz w:val="32"/>
          <w:szCs w:val="32"/>
        </w:rPr>
        <w:t>1</w:t>
      </w:r>
      <w:r>
        <w:rPr>
          <w:rStyle w:val="ad"/>
          <w:rFonts w:eastAsia="楷体"/>
          <w:b w:val="0"/>
          <w:bCs w:val="0"/>
          <w:spacing w:val="-4"/>
          <w:sz w:val="32"/>
          <w:szCs w:val="32"/>
        </w:rPr>
        <w:t>批</w:t>
      </w:r>
      <w:r>
        <w:rPr>
          <w:rStyle w:val="ad"/>
          <w:rFonts w:eastAsia="楷体"/>
          <w:b w:val="0"/>
          <w:bCs w:val="0"/>
          <w:spacing w:val="-4"/>
          <w:sz w:val="32"/>
          <w:szCs w:val="32"/>
        </w:rPr>
        <w:t>*1.5</w:t>
      </w:r>
      <w:r>
        <w:rPr>
          <w:rStyle w:val="ad"/>
          <w:rFonts w:eastAsia="楷体"/>
          <w:b w:val="0"/>
          <w:bCs w:val="0"/>
          <w:spacing w:val="-4"/>
          <w:sz w:val="32"/>
          <w:szCs w:val="32"/>
        </w:rPr>
        <w:t>万元，合计</w:t>
      </w:r>
      <w:r>
        <w:rPr>
          <w:rStyle w:val="ad"/>
          <w:rFonts w:eastAsia="楷体"/>
          <w:b w:val="0"/>
          <w:bCs w:val="0"/>
          <w:spacing w:val="-4"/>
          <w:sz w:val="32"/>
          <w:szCs w:val="32"/>
        </w:rPr>
        <w:t>1.5</w:t>
      </w:r>
      <w:r>
        <w:rPr>
          <w:rStyle w:val="ad"/>
          <w:rFonts w:eastAsia="楷体"/>
          <w:b w:val="0"/>
          <w:bCs w:val="0"/>
          <w:spacing w:val="-4"/>
          <w:sz w:val="32"/>
          <w:szCs w:val="32"/>
        </w:rPr>
        <w:t>万元。此项目无年中追加，全年无资金调整，全年执行资金</w:t>
      </w:r>
      <w:r>
        <w:rPr>
          <w:rStyle w:val="ad"/>
          <w:rFonts w:eastAsia="楷体"/>
          <w:b w:val="0"/>
          <w:bCs w:val="0"/>
          <w:spacing w:val="-4"/>
          <w:sz w:val="32"/>
          <w:szCs w:val="32"/>
        </w:rPr>
        <w:t>1.5</w:t>
      </w:r>
      <w:r>
        <w:rPr>
          <w:rStyle w:val="ad"/>
          <w:rFonts w:eastAsia="楷体"/>
          <w:b w:val="0"/>
          <w:bCs w:val="0"/>
          <w:spacing w:val="-4"/>
          <w:sz w:val="32"/>
          <w:szCs w:val="32"/>
        </w:rPr>
        <w:t>万元，执行率</w:t>
      </w:r>
      <w:r>
        <w:rPr>
          <w:rStyle w:val="ad"/>
          <w:rFonts w:eastAsia="楷体"/>
          <w:b w:val="0"/>
          <w:bCs w:val="0"/>
          <w:spacing w:val="-4"/>
          <w:sz w:val="32"/>
          <w:szCs w:val="32"/>
        </w:rPr>
        <w:t>100%</w:t>
      </w:r>
      <w:r>
        <w:rPr>
          <w:rStyle w:val="ad"/>
          <w:rFonts w:eastAsia="楷体"/>
          <w:b w:val="0"/>
          <w:bCs w:val="0"/>
          <w:spacing w:val="-4"/>
          <w:sz w:val="32"/>
          <w:szCs w:val="32"/>
        </w:rPr>
        <w:t>。</w:t>
      </w:r>
    </w:p>
    <w:p w14:paraId="3F2B4B81" w14:textId="77777777" w:rsidR="00E9008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7AFC7138"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br/>
      </w:r>
      <w:r>
        <w:rPr>
          <w:rStyle w:val="ad"/>
          <w:rFonts w:eastAsia="楷体" w:hint="eastAsia"/>
          <w:b w:val="0"/>
          <w:bCs w:val="0"/>
          <w:spacing w:val="-4"/>
          <w:sz w:val="32"/>
          <w:szCs w:val="32"/>
        </w:rPr>
        <w:t>本项目依据《关于印发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年国家随机监督抽查计划的通知》（国疾控综监督二函〔</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号）和自治区下发的《关于印发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度自治区医疗卫生健康领域“双随机、一公开”抽查工作计划的通知》，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该项目总体绩效目标：该项目</w:t>
      </w:r>
      <w:r>
        <w:rPr>
          <w:rStyle w:val="ad"/>
          <w:rFonts w:eastAsia="楷体" w:hint="eastAsia"/>
          <w:b w:val="0"/>
          <w:bCs w:val="0"/>
          <w:spacing w:val="-4"/>
          <w:sz w:val="32"/>
          <w:szCs w:val="32"/>
        </w:rPr>
        <w:t>2024</w:t>
      </w:r>
      <w:r>
        <w:rPr>
          <w:rStyle w:val="ad"/>
          <w:rFonts w:eastAsia="楷体" w:hint="eastAsia"/>
          <w:b w:val="0"/>
          <w:bCs w:val="0"/>
          <w:spacing w:val="-4"/>
          <w:sz w:val="32"/>
          <w:szCs w:val="32"/>
        </w:rPr>
        <w:t>年的总目标为①成学校、公共场所、生活饮用水供水单位等卫生管理及监督监测工作；②完成消毒产品和涉及饮用水卫生安全产品生产卫生管理及监督监测工作。通过加强对学校、公共场所、生活饮用水供水单位等卫生管理及监督监测工作，有效提高饮用水卫生水平。</w:t>
      </w:r>
    </w:p>
    <w:p w14:paraId="41907DFC"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5F3E0423" w14:textId="77777777" w:rsidR="00E9008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69319984"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lastRenderedPageBreak/>
        <w:t>（一）绩效评价目的、对象和范围</w:t>
      </w:r>
      <w:r>
        <w:rPr>
          <w:rStyle w:val="ad"/>
          <w:rFonts w:eastAsia="楷体" w:hint="eastAsia"/>
          <w:b w:val="0"/>
          <w:bCs w:val="0"/>
          <w:spacing w:val="-4"/>
          <w:sz w:val="32"/>
          <w:szCs w:val="32"/>
        </w:rPr>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br/>
      </w:r>
      <w:r>
        <w:rPr>
          <w:rStyle w:val="ad"/>
          <w:rFonts w:eastAsia="楷体" w:hint="eastAsia"/>
          <w:b w:val="0"/>
          <w:bCs w:val="0"/>
          <w:spacing w:val="-4"/>
          <w:sz w:val="32"/>
          <w:szCs w:val="32"/>
        </w:rPr>
        <w:t>首先，该项目乌财社【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是一项经常性项目，通过开展我区学校、公共场所、生活饮用水供水场所的双随机检测，积极保障患者身体健康，提高人民健康生活水平，从而促进我区公共卫生工作健康有序发展，实现健康中国的最终目标。</w:t>
      </w:r>
      <w:r>
        <w:rPr>
          <w:rStyle w:val="ad"/>
          <w:rFonts w:eastAsia="楷体" w:hint="eastAsia"/>
          <w:b w:val="0"/>
          <w:bCs w:val="0"/>
          <w:spacing w:val="-4"/>
          <w:sz w:val="32"/>
          <w:szCs w:val="32"/>
        </w:rPr>
        <w:br/>
      </w:r>
      <w:r>
        <w:rPr>
          <w:rStyle w:val="ad"/>
          <w:rFonts w:eastAsia="楷体" w:hint="eastAsia"/>
          <w:b w:val="0"/>
          <w:bCs w:val="0"/>
          <w:spacing w:val="-4"/>
          <w:sz w:val="32"/>
          <w:szCs w:val="32"/>
        </w:rPr>
        <w:t>其次，在</w:t>
      </w:r>
      <w:r>
        <w:rPr>
          <w:rStyle w:val="ad"/>
          <w:rFonts w:eastAsia="楷体" w:hint="eastAsia"/>
          <w:b w:val="0"/>
          <w:bCs w:val="0"/>
          <w:spacing w:val="-4"/>
          <w:sz w:val="32"/>
          <w:szCs w:val="32"/>
        </w:rPr>
        <w:t>2024</w:t>
      </w:r>
      <w:r>
        <w:rPr>
          <w:rStyle w:val="ad"/>
          <w:rFonts w:eastAsia="楷体" w:hint="eastAsia"/>
          <w:b w:val="0"/>
          <w:bCs w:val="0"/>
          <w:spacing w:val="-4"/>
          <w:sz w:val="32"/>
          <w:szCs w:val="32"/>
        </w:rPr>
        <w:t>年在上级主管部门的指导下，在中心领导的具体安排下，我中心各相关业务科室领导及专业技术人员开展了各项具体业务，如加强宣传培训，提高从业人员的卫生意识；强化公共场所规范化管理、强化公共场所卫生监督监测。在</w:t>
      </w:r>
      <w:r>
        <w:rPr>
          <w:rStyle w:val="ad"/>
          <w:rFonts w:eastAsia="楷体" w:hint="eastAsia"/>
          <w:b w:val="0"/>
          <w:bCs w:val="0"/>
          <w:spacing w:val="-4"/>
          <w:sz w:val="32"/>
          <w:szCs w:val="32"/>
        </w:rPr>
        <w:t>2024</w:t>
      </w:r>
      <w:r>
        <w:rPr>
          <w:rStyle w:val="ad"/>
          <w:rFonts w:eastAsia="楷体" w:hint="eastAsia"/>
          <w:b w:val="0"/>
          <w:bCs w:val="0"/>
          <w:spacing w:val="-4"/>
          <w:sz w:val="32"/>
          <w:szCs w:val="32"/>
        </w:rPr>
        <w:t>年支付了基本工作经费合计</w:t>
      </w:r>
      <w:r>
        <w:rPr>
          <w:rStyle w:val="ad"/>
          <w:rFonts w:eastAsia="楷体" w:hint="eastAsia"/>
          <w:b w:val="0"/>
          <w:bCs w:val="0"/>
          <w:spacing w:val="-4"/>
          <w:sz w:val="32"/>
          <w:szCs w:val="32"/>
        </w:rPr>
        <w:t>1.5</w:t>
      </w:r>
      <w:r>
        <w:rPr>
          <w:rStyle w:val="ad"/>
          <w:rFonts w:eastAsia="楷体" w:hint="eastAsia"/>
          <w:b w:val="0"/>
          <w:bCs w:val="0"/>
          <w:spacing w:val="-4"/>
          <w:sz w:val="32"/>
          <w:szCs w:val="32"/>
        </w:rPr>
        <w:t>万元，最终资金执行率为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最后，在相关文件的支持下，项目资金的使用符合国家财经法律法规和财务管理制度以及有关专项资金管理办法的规定，符合预算批复与合同规定的用途，进一步提高财政资金的使用效率。发挥了业务资金本身的作用，从而完全实现了改项目的预期目标。</w:t>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号）文件精神，全面推进预算绩效管理工作，落实预算执行及绩效管理主体责任。具体而言包括以下两点：</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w:t>
      </w:r>
      <w:r>
        <w:rPr>
          <w:rStyle w:val="ad"/>
          <w:rFonts w:eastAsia="楷体" w:hint="eastAsia"/>
          <w:b w:val="0"/>
          <w:bCs w:val="0"/>
          <w:spacing w:val="-4"/>
          <w:sz w:val="32"/>
          <w:szCs w:val="32"/>
        </w:rPr>
        <w:lastRenderedPageBreak/>
        <w:t>达资金）项目的实施情况，并考察项目实施过程和效果。</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年自治区公共卫生服务（地方公共卫生）（自治区直达资金）项目。</w:t>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w:t>
      </w:r>
      <w:r>
        <w:rPr>
          <w:rStyle w:val="ad"/>
          <w:rFonts w:eastAsia="楷体" w:hint="eastAsia"/>
          <w:b w:val="0"/>
          <w:bCs w:val="0"/>
          <w:spacing w:val="-4"/>
          <w:sz w:val="32"/>
          <w:szCs w:val="32"/>
        </w:rPr>
        <w:br/>
      </w:r>
      <w:r>
        <w:rPr>
          <w:rStyle w:val="ad"/>
          <w:rFonts w:eastAsia="楷体" w:hint="eastAsia"/>
          <w:b w:val="0"/>
          <w:bCs w:val="0"/>
          <w:spacing w:val="-4"/>
          <w:sz w:val="32"/>
          <w:szCs w:val="32"/>
        </w:rPr>
        <w:t>该项目的基本情况：乌财社【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年自治区公共卫生服务（地方公共卫生）（自治区直达资金）项目是一项经常性的工作，为进一步加强公共卫生、医疗卫生等监督执法工作，按照《关于印发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年国家随机监督抽查计划的通知》（国疾控综监督二函〔</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号）和自治区下发的《关于印发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年度自治区医疗卫生健康领域“双随机、一公开”抽查工作计划的通知》要求，开展“双随机”检测任务。</w:t>
      </w:r>
      <w:r>
        <w:rPr>
          <w:rStyle w:val="ad"/>
          <w:rFonts w:eastAsia="楷体" w:hint="eastAsia"/>
          <w:b w:val="0"/>
          <w:bCs w:val="0"/>
          <w:spacing w:val="-4"/>
          <w:sz w:val="32"/>
          <w:szCs w:val="32"/>
        </w:rPr>
        <w:br/>
      </w:r>
      <w:r>
        <w:rPr>
          <w:rStyle w:val="ad"/>
          <w:rFonts w:eastAsia="楷体" w:hint="eastAsia"/>
          <w:b w:val="0"/>
          <w:bCs w:val="0"/>
          <w:spacing w:val="-4"/>
          <w:sz w:val="32"/>
          <w:szCs w:val="32"/>
        </w:rPr>
        <w:t>评价工作的开展情况：主要用于学校、公共场所、生活饮用水供水单位等卫生管理情况；医疗卫生机构预防接种管理、传染病疫情报告和疫情控制、消毒隔离措施落实、医疗废物管理、病原微生物实验室生物安全管理等情况；消毒产品和涉及饮用水卫生的双随机检测费用。</w:t>
      </w:r>
      <w:r>
        <w:rPr>
          <w:rStyle w:val="ad"/>
          <w:rFonts w:eastAsia="楷体" w:hint="eastAsia"/>
          <w:b w:val="0"/>
          <w:bCs w:val="0"/>
          <w:spacing w:val="-4"/>
          <w:sz w:val="32"/>
          <w:szCs w:val="32"/>
        </w:rPr>
        <w:br/>
      </w:r>
      <w:r>
        <w:rPr>
          <w:rStyle w:val="ad"/>
          <w:rFonts w:eastAsia="楷体" w:hint="eastAsia"/>
          <w:b w:val="0"/>
          <w:bCs w:val="0"/>
          <w:spacing w:val="-4"/>
          <w:sz w:val="32"/>
          <w:szCs w:val="32"/>
        </w:rPr>
        <w:t>项目实现的产出情况：有效防止了“任性”检查情况的发生；“双随机”抽查因监管人员与监管对象间较少发生“交集”，破解了属地监管人员因熟悉辖区市场主体。</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取得的效益情况：通过此项工作加强对学校、公共场所、生活饮用水供水单位等卫生管理及监督监测工作，有效提高了我区饮用水卫生水平</w:t>
      </w:r>
      <w:r>
        <w:rPr>
          <w:rStyle w:val="ad"/>
          <w:rFonts w:eastAsia="楷体" w:hint="eastAsia"/>
          <w:b w:val="0"/>
          <w:bCs w:val="0"/>
          <w:spacing w:val="-4"/>
          <w:sz w:val="32"/>
          <w:szCs w:val="32"/>
        </w:rPr>
        <w:br/>
      </w:r>
      <w:r>
        <w:rPr>
          <w:rStyle w:val="ad"/>
          <w:rFonts w:eastAsia="楷体" w:hint="eastAsia"/>
          <w:b w:val="0"/>
          <w:bCs w:val="0"/>
          <w:spacing w:val="-4"/>
          <w:sz w:val="32"/>
          <w:szCs w:val="32"/>
        </w:rPr>
        <w:t>主要的经验及做法：我局一线卫生监督执法人员少、执法力量不足，参加本年度双随机人员共只有</w:t>
      </w:r>
      <w:r>
        <w:rPr>
          <w:rStyle w:val="ad"/>
          <w:rFonts w:eastAsia="楷体" w:hint="eastAsia"/>
          <w:b w:val="0"/>
          <w:bCs w:val="0"/>
          <w:spacing w:val="-4"/>
          <w:sz w:val="32"/>
          <w:szCs w:val="32"/>
        </w:rPr>
        <w:t>5</w:t>
      </w:r>
      <w:r>
        <w:rPr>
          <w:rStyle w:val="ad"/>
          <w:rFonts w:eastAsia="楷体" w:hint="eastAsia"/>
          <w:b w:val="0"/>
          <w:bCs w:val="0"/>
          <w:spacing w:val="-4"/>
          <w:sz w:val="32"/>
          <w:szCs w:val="32"/>
        </w:rPr>
        <w:t>名执法人员，监管着辖区内九百多家被监管对象，每名执法人员肩负着数个专业的执法任务，在随机抽取确定执法人员时难以实现真正的随机、回避制度。</w:t>
      </w:r>
      <w:r>
        <w:rPr>
          <w:rStyle w:val="ad"/>
          <w:rFonts w:eastAsia="楷体" w:hint="eastAsia"/>
          <w:b w:val="0"/>
          <w:bCs w:val="0"/>
          <w:spacing w:val="-4"/>
          <w:sz w:val="32"/>
          <w:szCs w:val="32"/>
        </w:rPr>
        <w:br/>
      </w:r>
      <w:r>
        <w:rPr>
          <w:rStyle w:val="ad"/>
          <w:rFonts w:eastAsia="楷体" w:hint="eastAsia"/>
          <w:b w:val="0"/>
          <w:bCs w:val="0"/>
          <w:spacing w:val="-4"/>
          <w:sz w:val="32"/>
          <w:szCs w:val="32"/>
        </w:rPr>
        <w:t>存在的问题及原因分析：今后工作中，我局将加强卫生监督执法队伍建设，狠抓卫生监督员的业务和相关法律法规知识培训，提高卫生监督队伍的整体素质，提高综合执法水平，加大法制稽查监督力度。加强卫生监督员日常业务能力，及时维护系统“两库”，打造常态化、规范化、制度化的“双随机、一公开”综合监管新模式。</w:t>
      </w:r>
    </w:p>
    <w:p w14:paraId="2EDB3EE3" w14:textId="77777777" w:rsidR="00E9008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2C084D74"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（二）绩效评价原则、指标体系、方法及标准</w:t>
      </w:r>
      <w:r>
        <w:rPr>
          <w:rStyle w:val="ad"/>
          <w:rFonts w:eastAsia="楷体" w:hint="eastAsia"/>
          <w:b w:val="0"/>
          <w:bCs w:val="0"/>
          <w:spacing w:val="-4"/>
          <w:sz w:val="32"/>
          <w:szCs w:val="32"/>
        </w:rPr>
        <w:b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br/>
      </w:r>
      <w:r>
        <w:rPr>
          <w:rStyle w:val="ad"/>
          <w:rFonts w:eastAsia="楷体" w:hint="eastAsia"/>
          <w:b w:val="0"/>
          <w:bCs w:val="0"/>
          <w:spacing w:val="-4"/>
          <w:sz w:val="32"/>
          <w:szCs w:val="32"/>
        </w:rPr>
        <w:t>（一）科学公正。绩效评价应当运用科学合理的方法，按照规范的程序，对项目绩效进行客观、公正的反映。</w:t>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w:t>
      </w:r>
      <w:r>
        <w:rPr>
          <w:rStyle w:val="ad"/>
          <w:rFonts w:eastAsia="楷体" w:hint="eastAsia"/>
          <w:b w:val="0"/>
          <w:bCs w:val="0"/>
          <w:spacing w:val="-4"/>
          <w:sz w:val="32"/>
          <w:szCs w:val="32"/>
        </w:rPr>
        <w:lastRenderedPageBreak/>
        <w:t>管理实质性挂钩，体现奖优罚劣和激励相容导向，有效要安排、低效要压减、无效要问责。</w:t>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指标解释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指标说明</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充分性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br/>
      </w:r>
      <w:r>
        <w:rPr>
          <w:rStyle w:val="ad"/>
          <w:rFonts w:eastAsia="楷体" w:hint="eastAsia"/>
          <w:b w:val="0"/>
          <w:bCs w:val="0"/>
          <w:spacing w:val="-4"/>
          <w:sz w:val="32"/>
          <w:szCs w:val="32"/>
        </w:rPr>
        <w:t>立项程序</w:t>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③事前是否已经过必要的可行性研究、专家论证、风险评估、绩效评估、集体决策。</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绩效指标</w:t>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w:t>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br/>
      </w:r>
      <w:r>
        <w:rPr>
          <w:rStyle w:val="ad"/>
          <w:rFonts w:eastAsia="楷体" w:hint="eastAsia"/>
          <w:b w:val="0"/>
          <w:bCs w:val="0"/>
          <w:spacing w:val="-4"/>
          <w:sz w:val="32"/>
          <w:szCs w:val="32"/>
        </w:rPr>
        <w:t>资金分配</w:t>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项目预算资金分配是否有测算依据，与补助单位或地方实际是否相适应，用以反映和考核项目预算资金分配的科学性、合理性情况。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w:t>
      </w:r>
      <w:r>
        <w:rPr>
          <w:rStyle w:val="ad"/>
          <w:rFonts w:eastAsia="楷体" w:hint="eastAsia"/>
          <w:b w:val="0"/>
          <w:bCs w:val="0"/>
          <w:spacing w:val="-4"/>
          <w:sz w:val="32"/>
          <w:szCs w:val="32"/>
        </w:rPr>
        <w:lastRenderedPageBreak/>
        <w:t>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资金使用</w:t>
      </w:r>
      <w:r>
        <w:rPr>
          <w:rStyle w:val="ad"/>
          <w:rFonts w:eastAsia="楷体" w:hint="eastAsia"/>
          <w:b w:val="0"/>
          <w:bCs w:val="0"/>
          <w:spacing w:val="-4"/>
          <w:sz w:val="32"/>
          <w:szCs w:val="32"/>
        </w:rPr>
        <w:br/>
      </w:r>
      <w:r>
        <w:rPr>
          <w:rStyle w:val="ad"/>
          <w:rFonts w:eastAsia="楷体" w:hint="eastAsia"/>
          <w:b w:val="0"/>
          <w:bCs w:val="0"/>
          <w:spacing w:val="-4"/>
          <w:sz w:val="32"/>
          <w:szCs w:val="32"/>
        </w:rPr>
        <w:t>合规性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w:t>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br/>
      </w:r>
      <w:r>
        <w:rPr>
          <w:rStyle w:val="ad"/>
          <w:rFonts w:eastAsia="楷体" w:hint="eastAsia"/>
          <w:b w:val="0"/>
          <w:bCs w:val="0"/>
          <w:spacing w:val="-4"/>
          <w:sz w:val="32"/>
          <w:szCs w:val="32"/>
        </w:rPr>
        <w:t>制度执行</w:t>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项目实施是否符合相关管理规定，用以反映和考核相关管理制度的有效执行情况。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评价要点：</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①是否遵守相关法律法规和相关管理规定；</w:t>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2024</w:t>
      </w:r>
      <w:r>
        <w:rPr>
          <w:rStyle w:val="ad"/>
          <w:rFonts w:eastAsia="楷体" w:hint="eastAsia"/>
          <w:b w:val="0"/>
          <w:bCs w:val="0"/>
          <w:spacing w:val="-4"/>
          <w:sz w:val="32"/>
          <w:szCs w:val="32"/>
        </w:rPr>
        <w:t>年学校卫生双随机任务</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项目实施的实际产出数与计划产出数的比率，用以反映和考核项目产出数量目标的实现程度。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w:t>
      </w:r>
      <w:r>
        <w:rPr>
          <w:rStyle w:val="ad"/>
          <w:rFonts w:eastAsia="楷体" w:hint="eastAsia"/>
          <w:b w:val="0"/>
          <w:bCs w:val="0"/>
          <w:spacing w:val="-4"/>
          <w:sz w:val="32"/>
          <w:szCs w:val="32"/>
        </w:rPr>
        <w:t>计划产出数）×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计划产出数：项目绩效目标确定的在一定时期（本年度或项目期）内计划产出的产品或提供的服务数量。</w:t>
      </w:r>
      <w:r>
        <w:rPr>
          <w:rStyle w:val="ad"/>
          <w:rFonts w:eastAsia="楷体" w:hint="eastAsia"/>
          <w:b w:val="0"/>
          <w:bCs w:val="0"/>
          <w:spacing w:val="-4"/>
          <w:sz w:val="32"/>
          <w:szCs w:val="32"/>
        </w:rPr>
        <w:br/>
      </w:r>
      <w:r>
        <w:rPr>
          <w:rStyle w:val="ad"/>
          <w:rFonts w:eastAsia="楷体" w:hint="eastAsia"/>
          <w:b w:val="0"/>
          <w:bCs w:val="0"/>
          <w:spacing w:val="-4"/>
          <w:sz w:val="32"/>
          <w:szCs w:val="32"/>
        </w:rPr>
        <w:t>共抽取被监管单位个数</w:t>
      </w:r>
      <w:r>
        <w:rPr>
          <w:rStyle w:val="ad"/>
          <w:rFonts w:eastAsia="楷体" w:hint="eastAsia"/>
          <w:b w:val="0"/>
          <w:bCs w:val="0"/>
          <w:spacing w:val="-4"/>
          <w:sz w:val="32"/>
          <w:szCs w:val="32"/>
        </w:rPr>
        <w:br/>
      </w:r>
      <w:r>
        <w:rPr>
          <w:rStyle w:val="ad"/>
          <w:rFonts w:eastAsia="楷体" w:hint="eastAsia"/>
          <w:b w:val="0"/>
          <w:bCs w:val="0"/>
          <w:spacing w:val="-4"/>
          <w:sz w:val="32"/>
          <w:szCs w:val="32"/>
        </w:rPr>
        <w:t>监督检查被整改的单位个数</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监测计划完成及时率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完成项目计划工作目标的实际节约成本与计划成本的比率，用以反映和考核项目的成本节约程度。</w:t>
      </w:r>
      <w:r>
        <w:rPr>
          <w:rStyle w:val="ad"/>
          <w:rFonts w:eastAsia="楷体" w:hint="eastAsia"/>
          <w:b w:val="0"/>
          <w:bCs w:val="0"/>
          <w:spacing w:val="-4"/>
          <w:sz w:val="32"/>
          <w:szCs w:val="32"/>
        </w:rPr>
        <w:br/>
      </w:r>
      <w:r>
        <w:rPr>
          <w:rStyle w:val="ad"/>
          <w:rFonts w:eastAsia="楷体" w:hint="eastAsia"/>
          <w:b w:val="0"/>
          <w:bCs w:val="0"/>
          <w:spacing w:val="-4"/>
          <w:sz w:val="32"/>
          <w:szCs w:val="32"/>
        </w:rPr>
        <w:t>成本节约率</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实际成本）</w:t>
      </w:r>
      <w:r>
        <w:rPr>
          <w:rStyle w:val="ad"/>
          <w:rFonts w:eastAsia="楷体" w:hint="eastAsia"/>
          <w:b w:val="0"/>
          <w:bCs w:val="0"/>
          <w:spacing w:val="-4"/>
          <w:sz w:val="32"/>
          <w:szCs w:val="32"/>
        </w:rPr>
        <w:t>/</w:t>
      </w:r>
      <w:r>
        <w:rPr>
          <w:rStyle w:val="ad"/>
          <w:rFonts w:eastAsia="楷体" w:hint="eastAsia"/>
          <w:b w:val="0"/>
          <w:bCs w:val="0"/>
          <w:spacing w:val="-4"/>
          <w:sz w:val="32"/>
          <w:szCs w:val="32"/>
        </w:rPr>
        <w:t>计划成本</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实际成本：项目实施单位如期、保质、保量完成既定工作目标实际所耗费的支出。</w:t>
      </w:r>
      <w:r>
        <w:rPr>
          <w:rStyle w:val="ad"/>
          <w:rFonts w:eastAsia="楷体" w:hint="eastAsia"/>
          <w:b w:val="0"/>
          <w:bCs w:val="0"/>
          <w:spacing w:val="-4"/>
          <w:sz w:val="32"/>
          <w:szCs w:val="32"/>
        </w:rPr>
        <w:br/>
      </w:r>
      <w:r>
        <w:rPr>
          <w:rStyle w:val="ad"/>
          <w:rFonts w:eastAsia="楷体" w:hint="eastAsia"/>
          <w:b w:val="0"/>
          <w:bCs w:val="0"/>
          <w:spacing w:val="-4"/>
          <w:sz w:val="32"/>
          <w:szCs w:val="32"/>
        </w:rPr>
        <w:t>计划成本：项目实施单位为完成工作目标计划安排的支出，一般以项目预算为参考。</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保障社会稳定</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项目实施所产生的社会效益、经济效益、生态效益、可持续影响等。可根据项目实际情况有选择地设置和细化。</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社会公众或服务对象对项目实施效果的满意程度。</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社会公众或服务对象是指因该项目实施而受到影响的部门（单位）、群体或个人。一般采取社会调查的方式。</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br/>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项目支出绩效评价管理办法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w:t>
      </w:r>
      <w:r>
        <w:rPr>
          <w:rStyle w:val="ad"/>
          <w:rFonts w:eastAsia="楷体" w:hint="eastAsia"/>
          <w:b w:val="0"/>
          <w:bCs w:val="0"/>
          <w:spacing w:val="-4"/>
          <w:sz w:val="32"/>
          <w:szCs w:val="32"/>
        </w:rPr>
        <w:lastRenderedPageBreak/>
        <w:t>析的方法。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br/>
      </w:r>
      <w:r>
        <w:rPr>
          <w:rStyle w:val="ad"/>
          <w:rFonts w:eastAsia="楷体" w:hint="eastAsia"/>
          <w:b w:val="0"/>
          <w:bCs w:val="0"/>
          <w:spacing w:val="-4"/>
          <w:sz w:val="32"/>
          <w:szCs w:val="32"/>
        </w:rPr>
        <w:t>根据本项目（乌财社【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年自治区公共卫生服务（地方公共卫生）（自治区直达资金）的特点，本次评价主要采用比较法和其他评价方法，对项目总预算和明细预算的内容、标准、计划是否经济合理进行深入分析，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w:t>
      </w:r>
      <w:r>
        <w:rPr>
          <w:rStyle w:val="ad"/>
          <w:rFonts w:eastAsia="楷体" w:hint="eastAsia"/>
          <w:b w:val="0"/>
          <w:bCs w:val="0"/>
          <w:spacing w:val="-4"/>
          <w:sz w:val="32"/>
          <w:szCs w:val="32"/>
        </w:rPr>
        <w:lastRenderedPageBreak/>
        <w:t>改进的原则，在可实现的条件下应当确定相对较高的评价标准。</w:t>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乌鲁木齐市本级部门预算绩效目标管理暂行办法</w:t>
      </w:r>
      <w:r>
        <w:rPr>
          <w:rStyle w:val="ad"/>
          <w:rFonts w:eastAsia="楷体" w:hint="eastAsia"/>
          <w:b w:val="0"/>
          <w:bCs w:val="0"/>
          <w:spacing w:val="-4"/>
          <w:sz w:val="32"/>
          <w:szCs w:val="32"/>
        </w:rPr>
        <w:t>&gt;</w:t>
      </w:r>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br/>
      </w:r>
      <w:r>
        <w:rPr>
          <w:rStyle w:val="ad"/>
          <w:rFonts w:eastAsia="楷体" w:hint="eastAsia"/>
          <w:b w:val="0"/>
          <w:bCs w:val="0"/>
          <w:spacing w:val="-4"/>
          <w:sz w:val="32"/>
          <w:szCs w:val="32"/>
        </w:rPr>
        <w:t>？乌财社【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？《乌鲁木齐市米东区疾病预防控制中心“内控”方案》</w:t>
      </w:r>
      <w:r>
        <w:rPr>
          <w:rStyle w:val="ad"/>
          <w:rFonts w:eastAsia="楷体" w:hint="eastAsia"/>
          <w:b w:val="0"/>
          <w:bCs w:val="0"/>
          <w:spacing w:val="-4"/>
          <w:sz w:val="32"/>
          <w:szCs w:val="32"/>
        </w:rPr>
        <w:br/>
      </w:r>
      <w:r>
        <w:rPr>
          <w:rStyle w:val="ad"/>
          <w:rFonts w:eastAsia="楷体" w:hint="eastAsia"/>
          <w:b w:val="0"/>
          <w:bCs w:val="0"/>
          <w:spacing w:val="-4"/>
          <w:sz w:val="32"/>
          <w:szCs w:val="32"/>
        </w:rPr>
        <w:t>？《乌鲁木齐市米东区疾病预防控制中心财务管理制度》</w:t>
      </w:r>
    </w:p>
    <w:p w14:paraId="55901D74" w14:textId="77777777" w:rsidR="00E90086"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14C6BB77"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（三）绩效评价工作过程</w:t>
      </w:r>
      <w:r>
        <w:rPr>
          <w:rStyle w:val="ad"/>
          <w:rFonts w:eastAsia="楷体" w:hint="eastAsia"/>
          <w:b w:val="0"/>
          <w:bCs w:val="0"/>
          <w:spacing w:val="-4"/>
          <w:sz w:val="32"/>
          <w:szCs w:val="32"/>
        </w:rPr>
        <w:br/>
      </w: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、材料审核分析、现场核查评价、综合分析评价及报告撰写，评价项目实施情况，展现资金使用效益。</w:t>
      </w:r>
    </w:p>
    <w:p w14:paraId="27129348"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0EA8FCD6"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三、综合评价情况及评价结论</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（一）评价结论</w:t>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年自治区公共卫生服务（地方公共卫生）（自治区直达资金）项目</w:t>
      </w:r>
      <w:r>
        <w:rPr>
          <w:rStyle w:val="ad"/>
          <w:rFonts w:eastAsia="楷体" w:hint="eastAsia"/>
          <w:b w:val="0"/>
          <w:bCs w:val="0"/>
          <w:spacing w:val="-4"/>
          <w:sz w:val="32"/>
          <w:szCs w:val="32"/>
        </w:rPr>
        <w:br/>
      </w:r>
      <w:r>
        <w:rPr>
          <w:rStyle w:val="ad"/>
          <w:rFonts w:eastAsia="楷体" w:hint="eastAsia"/>
          <w:b w:val="0"/>
          <w:bCs w:val="0"/>
          <w:spacing w:val="-4"/>
          <w:sz w:val="32"/>
          <w:szCs w:val="32"/>
        </w:rPr>
        <w:t>进行客观评价，最终评分结果为：总分为</w:t>
      </w:r>
      <w:r>
        <w:rPr>
          <w:rStyle w:val="ad"/>
          <w:rFonts w:eastAsia="楷体" w:hint="eastAsia"/>
          <w:b w:val="0"/>
          <w:bCs w:val="0"/>
          <w:spacing w:val="-4"/>
          <w:sz w:val="32"/>
          <w:szCs w:val="32"/>
        </w:rPr>
        <w:t>100</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二级指标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三级指标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分值</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得分率</w:t>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项目立项</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绩效目标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资金投入</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资金管理</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资金到位率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组织实施</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 xml:space="preserve"> 4 4 100%</w:t>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产出数量</w:t>
      </w:r>
      <w:r>
        <w:rPr>
          <w:rStyle w:val="ad"/>
          <w:rFonts w:eastAsia="楷体" w:hint="eastAsia"/>
          <w:b w:val="0"/>
          <w:bCs w:val="0"/>
          <w:spacing w:val="-4"/>
          <w:sz w:val="32"/>
          <w:szCs w:val="32"/>
        </w:rPr>
        <w:t xml:space="preserve"> 2024</w:t>
      </w:r>
      <w:r>
        <w:rPr>
          <w:rStyle w:val="ad"/>
          <w:rFonts w:eastAsia="楷体" w:hint="eastAsia"/>
          <w:b w:val="0"/>
          <w:bCs w:val="0"/>
          <w:spacing w:val="-4"/>
          <w:sz w:val="32"/>
          <w:szCs w:val="32"/>
        </w:rPr>
        <w:t>年学校卫生双随机任务</w:t>
      </w:r>
      <w:r>
        <w:rPr>
          <w:rStyle w:val="ad"/>
          <w:rFonts w:eastAsia="楷体" w:hint="eastAsia"/>
          <w:b w:val="0"/>
          <w:bCs w:val="0"/>
          <w:spacing w:val="-4"/>
          <w:sz w:val="32"/>
          <w:szCs w:val="32"/>
        </w:rPr>
        <w:t xml:space="preserve"> 3 3 100%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共抽取被监管单位个数</w:t>
      </w:r>
      <w:r>
        <w:rPr>
          <w:rStyle w:val="ad"/>
          <w:rFonts w:eastAsia="楷体" w:hint="eastAsia"/>
          <w:b w:val="0"/>
          <w:bCs w:val="0"/>
          <w:spacing w:val="-4"/>
          <w:sz w:val="32"/>
          <w:szCs w:val="32"/>
        </w:rPr>
        <w:t xml:space="preserve"> 3 3</w:t>
      </w:r>
      <w:r>
        <w:rPr>
          <w:rStyle w:val="ad"/>
          <w:rFonts w:eastAsia="楷体" w:hint="eastAsia"/>
          <w:b w:val="0"/>
          <w:bCs w:val="0"/>
          <w:spacing w:val="-4"/>
          <w:sz w:val="32"/>
          <w:szCs w:val="32"/>
        </w:rPr>
        <w:br/>
      </w:r>
      <w:r>
        <w:rPr>
          <w:rStyle w:val="ad"/>
          <w:rFonts w:eastAsia="楷体" w:hint="eastAsia"/>
          <w:b w:val="0"/>
          <w:bCs w:val="0"/>
          <w:spacing w:val="-4"/>
          <w:sz w:val="32"/>
          <w:szCs w:val="32"/>
        </w:rPr>
        <w:t>监督检查被整改的单位个数</w:t>
      </w:r>
      <w:r>
        <w:rPr>
          <w:rStyle w:val="ad"/>
          <w:rFonts w:eastAsia="楷体" w:hint="eastAsia"/>
          <w:b w:val="0"/>
          <w:bCs w:val="0"/>
          <w:spacing w:val="-4"/>
          <w:sz w:val="32"/>
          <w:szCs w:val="32"/>
        </w:rPr>
        <w:t xml:space="preserve"> 4 4</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产出质量</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监测计划完成及时率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产出时效</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产出成本</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成本控制率</w:t>
      </w:r>
      <w:r>
        <w:rPr>
          <w:rStyle w:val="ad"/>
          <w:rFonts w:eastAsia="楷体" w:hint="eastAsia"/>
          <w:b w:val="0"/>
          <w:bCs w:val="0"/>
          <w:spacing w:val="-4"/>
          <w:sz w:val="32"/>
          <w:szCs w:val="32"/>
        </w:rPr>
        <w:t xml:space="preserve"> 10 10 100%</w:t>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项目效益</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保障社会稳定</w:t>
      </w:r>
      <w:r>
        <w:rPr>
          <w:rStyle w:val="ad"/>
          <w:rFonts w:eastAsia="楷体" w:hint="eastAsia"/>
          <w:b w:val="0"/>
          <w:bCs w:val="0"/>
          <w:spacing w:val="-4"/>
          <w:sz w:val="32"/>
          <w:szCs w:val="32"/>
        </w:rPr>
        <w:t xml:space="preserve"> 15 15 100%</w:t>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t xml:space="preserve"> 5 5 100%</w:t>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br/>
      </w:r>
      <w:r>
        <w:rPr>
          <w:rStyle w:val="ad"/>
          <w:rFonts w:eastAsia="楷体" w:hint="eastAsia"/>
          <w:b w:val="0"/>
          <w:bCs w:val="0"/>
          <w:spacing w:val="-4"/>
          <w:sz w:val="32"/>
          <w:szCs w:val="32"/>
        </w:rPr>
        <w:t>该项目资金由区财政及时拨付，单位在此次评价期间内，有序完成设定目标的部分工作任务，在项目工作开展过程中以下指标完成较为优秀。</w:t>
      </w:r>
      <w:r>
        <w:rPr>
          <w:rStyle w:val="ad"/>
          <w:rFonts w:eastAsia="楷体" w:hint="eastAsia"/>
          <w:b w:val="0"/>
          <w:bCs w:val="0"/>
          <w:spacing w:val="-4"/>
          <w:sz w:val="32"/>
          <w:szCs w:val="32"/>
        </w:rPr>
        <w:t>2024</w:t>
      </w:r>
      <w:r>
        <w:rPr>
          <w:rStyle w:val="ad"/>
          <w:rFonts w:eastAsia="楷体" w:hint="eastAsia"/>
          <w:b w:val="0"/>
          <w:bCs w:val="0"/>
          <w:spacing w:val="-4"/>
          <w:sz w:val="32"/>
          <w:szCs w:val="32"/>
        </w:rPr>
        <w:t>对</w:t>
      </w:r>
      <w:r>
        <w:rPr>
          <w:rStyle w:val="ad"/>
          <w:rFonts w:eastAsia="楷体" w:hint="eastAsia"/>
          <w:b w:val="0"/>
          <w:bCs w:val="0"/>
          <w:spacing w:val="-4"/>
          <w:sz w:val="32"/>
          <w:szCs w:val="32"/>
        </w:rPr>
        <w:t>15</w:t>
      </w:r>
      <w:r>
        <w:rPr>
          <w:rStyle w:val="ad"/>
          <w:rFonts w:eastAsia="楷体" w:hint="eastAsia"/>
          <w:b w:val="0"/>
          <w:bCs w:val="0"/>
          <w:spacing w:val="-4"/>
          <w:sz w:val="32"/>
          <w:szCs w:val="32"/>
        </w:rPr>
        <w:t>家以上公共场所进行了实地检查督导，通过随机抽取检测确保所有主体面对监管时机会均等，营造公平竞争的市场环境。同时我单位实际完成抽取被监管单位</w:t>
      </w:r>
      <w:r>
        <w:rPr>
          <w:rStyle w:val="ad"/>
          <w:rFonts w:eastAsia="楷体" w:hint="eastAsia"/>
          <w:b w:val="0"/>
          <w:bCs w:val="0"/>
          <w:spacing w:val="-4"/>
          <w:sz w:val="32"/>
          <w:szCs w:val="32"/>
        </w:rPr>
        <w:t>163</w:t>
      </w:r>
      <w:r>
        <w:rPr>
          <w:rStyle w:val="ad"/>
          <w:rFonts w:eastAsia="楷体" w:hint="eastAsia"/>
          <w:b w:val="0"/>
          <w:bCs w:val="0"/>
          <w:spacing w:val="-4"/>
          <w:sz w:val="32"/>
          <w:szCs w:val="32"/>
        </w:rPr>
        <w:t>家，通过抽取被监管单位，抽查结果公开透明，促使企业加强自我约束，形成“政府监管</w:t>
      </w:r>
      <w:r>
        <w:rPr>
          <w:rStyle w:val="ad"/>
          <w:rFonts w:eastAsia="楷体" w:hint="eastAsia"/>
          <w:b w:val="0"/>
          <w:bCs w:val="0"/>
          <w:spacing w:val="-4"/>
          <w:sz w:val="32"/>
          <w:szCs w:val="32"/>
        </w:rPr>
        <w:t>+</w:t>
      </w:r>
      <w:r>
        <w:rPr>
          <w:rStyle w:val="ad"/>
          <w:rFonts w:eastAsia="楷体" w:hint="eastAsia"/>
          <w:b w:val="0"/>
          <w:bCs w:val="0"/>
          <w:spacing w:val="-4"/>
          <w:sz w:val="32"/>
          <w:szCs w:val="32"/>
        </w:rPr>
        <w:t>社会监督”的共治格局。信用风险分级分类管理进一步强化市场主体的合规意识。我单位实际完成监督检查被整改单位</w:t>
      </w:r>
      <w:r>
        <w:rPr>
          <w:rStyle w:val="ad"/>
          <w:rFonts w:eastAsia="楷体" w:hint="eastAsia"/>
          <w:b w:val="0"/>
          <w:bCs w:val="0"/>
          <w:spacing w:val="-4"/>
          <w:sz w:val="32"/>
          <w:szCs w:val="32"/>
        </w:rPr>
        <w:t>6</w:t>
      </w:r>
      <w:r>
        <w:rPr>
          <w:rStyle w:val="ad"/>
          <w:rFonts w:eastAsia="楷体" w:hint="eastAsia"/>
          <w:b w:val="0"/>
          <w:bCs w:val="0"/>
          <w:spacing w:val="-4"/>
          <w:sz w:val="32"/>
          <w:szCs w:val="32"/>
        </w:rPr>
        <w:t>家，全程留痕的抽查机制要求执法人员依法依规操作，杜绝“人情监管”，同时实现责任可追溯，增强执法公信力。双随机检测是深化“放管服”改革的核心举措，兼具公平性、高效性和透明性，对完善市场监管、优化营商环境具有重要意义。</w:t>
      </w:r>
    </w:p>
    <w:p w14:paraId="03F862C1" w14:textId="77777777" w:rsidR="00E90086"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6AF144C0" w14:textId="77777777" w:rsidR="00E9008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44E77442"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立项依据充分性：项目立项依据《关于下达</w:t>
      </w:r>
      <w:r>
        <w:rPr>
          <w:rStyle w:val="ad"/>
          <w:rFonts w:eastAsia="楷体" w:hint="eastAsia"/>
          <w:b w:val="0"/>
          <w:bCs w:val="0"/>
          <w:spacing w:val="-4"/>
          <w:sz w:val="32"/>
          <w:szCs w:val="32"/>
        </w:rPr>
        <w:t>2024</w:t>
      </w:r>
      <w:r>
        <w:rPr>
          <w:rStyle w:val="ad"/>
          <w:rFonts w:eastAsia="楷体" w:hint="eastAsia"/>
          <w:b w:val="0"/>
          <w:bCs w:val="0"/>
          <w:spacing w:val="-4"/>
          <w:sz w:val="32"/>
          <w:szCs w:val="32"/>
        </w:rPr>
        <w:t>年重大公共卫生服务补助资金预算的通知》（乌财预〔</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249</w:t>
      </w:r>
      <w:r>
        <w:rPr>
          <w:rStyle w:val="ad"/>
          <w:rFonts w:eastAsia="楷体" w:hint="eastAsia"/>
          <w:b w:val="0"/>
          <w:bCs w:val="0"/>
          <w:spacing w:val="-4"/>
          <w:sz w:val="32"/>
          <w:szCs w:val="32"/>
        </w:rPr>
        <w:t>号）符合国家法律法规、政策要求。同时，项目与部门职责范围相符，属于部门履职所需。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w:t>
      </w:r>
      <w:r>
        <w:rPr>
          <w:rStyle w:val="ad"/>
          <w:rFonts w:eastAsia="楷体" w:hint="eastAsia"/>
          <w:b w:val="0"/>
          <w:bCs w:val="0"/>
          <w:spacing w:val="-4"/>
          <w:sz w:val="32"/>
          <w:szCs w:val="32"/>
        </w:rPr>
        <w:t>该项目为经常性项目，该项目支出政策和路径设计科学，符合实际需要；项目安排准确，未发现背离项目立项初衷的情况；项目的申报、审核机制完善；未发现虚假行为和骗取财政资金的问题。项目按照规定的程序申请设立，审批文件、材料符合相关要求，故立项程序规范，得</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成本、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绩效目标明确性：该项目资金主要用主要用于以下场所的双随机检测费用学校、公共场所、生活饮用水供水单位等卫生管理情况；</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医疗卫生机构预防接种管理、传染病疫情报告和疫情控制、消毒隔离措施落实、医疗废物管理、病原微生物实验室生物安全管理等情况；消毒产品和涉及饮用水卫生。其中，目标已细化为具体的绩效指标，可通过数量指标、质量指标、时效指标和满意度指标予以量化，并具有确切的评价标准，且指标设定均与目标相关。</w:t>
      </w:r>
      <w:r>
        <w:rPr>
          <w:rStyle w:val="ad"/>
          <w:rFonts w:eastAsia="楷体" w:hint="eastAsia"/>
          <w:b w:val="0"/>
          <w:bCs w:val="0"/>
          <w:spacing w:val="-4"/>
          <w:sz w:val="32"/>
          <w:szCs w:val="32"/>
        </w:rPr>
        <w:lastRenderedPageBreak/>
        <w:t>在执行过程中有专人按照政府采购流程进行政府采购，在货物验收入库时有明确的验收入库单，资金支付时有明确的支付凭证，各项指标均能在现实条件下收集到相关数据进行佐证，并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项目中的检测费、务费及设备试剂等款都是经过市场价格比对，并与甲方详细洽谈，最终按照合同约定价格执行，按照合同约定金额编制的预算。故预算编制科学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资金分配合理性：乌财社【</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254</w:t>
      </w:r>
      <w:r>
        <w:rPr>
          <w:rStyle w:val="ad"/>
          <w:rFonts w:eastAsia="楷体" w:hint="eastAsia"/>
          <w:b w:val="0"/>
          <w:bCs w:val="0"/>
          <w:spacing w:val="-4"/>
          <w:sz w:val="32"/>
          <w:szCs w:val="32"/>
        </w:rPr>
        <w:t>号</w:t>
      </w:r>
      <w:r>
        <w:rPr>
          <w:rStyle w:val="ad"/>
          <w:rFonts w:eastAsia="楷体" w:hint="eastAsia"/>
          <w:b w:val="0"/>
          <w:bCs w:val="0"/>
          <w:spacing w:val="-4"/>
          <w:sz w:val="32"/>
          <w:szCs w:val="32"/>
        </w:rPr>
        <w:t>2024</w:t>
      </w:r>
      <w:r>
        <w:rPr>
          <w:rStyle w:val="ad"/>
          <w:rFonts w:eastAsia="楷体" w:hint="eastAsia"/>
          <w:b w:val="0"/>
          <w:bCs w:val="0"/>
          <w:spacing w:val="-4"/>
          <w:sz w:val="32"/>
          <w:szCs w:val="32"/>
        </w:rPr>
        <w:t>年自治区公共卫生服务（地方公共卫生）（自治区直达资金）项目检测费、务费及设备试剂款等都是按照合同约定金额执行，实际支付时也按合同约定金额发放；各项目经费均按上级部分资金分配表执行，在执行过程中坚守专款专用的资金使用原则，故资金分配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7E63E136" w14:textId="77777777" w:rsidR="00E90086"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58C3E1A2" w14:textId="57908DA6"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资金到位率：该项目资金由财政拨付，资金预算数为</w:t>
      </w:r>
      <w:r>
        <w:rPr>
          <w:rStyle w:val="ad"/>
          <w:rFonts w:eastAsia="楷体" w:hint="eastAsia"/>
          <w:b w:val="0"/>
          <w:bCs w:val="0"/>
          <w:spacing w:val="-4"/>
          <w:sz w:val="32"/>
          <w:szCs w:val="32"/>
        </w:rPr>
        <w:t>1.5</w:t>
      </w:r>
      <w:r>
        <w:rPr>
          <w:rStyle w:val="ad"/>
          <w:rFonts w:eastAsia="楷体" w:hint="eastAsia"/>
          <w:b w:val="0"/>
          <w:bCs w:val="0"/>
          <w:spacing w:val="-4"/>
          <w:sz w:val="32"/>
          <w:szCs w:val="32"/>
        </w:rPr>
        <w:t>万元，为</w:t>
      </w:r>
      <w:r>
        <w:rPr>
          <w:rStyle w:val="ad"/>
          <w:rFonts w:eastAsia="楷体" w:hint="eastAsia"/>
          <w:b w:val="0"/>
          <w:bCs w:val="0"/>
          <w:spacing w:val="-4"/>
          <w:sz w:val="32"/>
          <w:szCs w:val="32"/>
        </w:rPr>
        <w:t>2024</w:t>
      </w:r>
      <w:r>
        <w:rPr>
          <w:rStyle w:val="ad"/>
          <w:rFonts w:eastAsia="楷体" w:hint="eastAsia"/>
          <w:b w:val="0"/>
          <w:bCs w:val="0"/>
          <w:spacing w:val="-4"/>
          <w:sz w:val="32"/>
          <w:szCs w:val="32"/>
        </w:rPr>
        <w:t>年年中追加项目，全年资金无调整情况，资金到位率为</w:t>
      </w:r>
      <w:r>
        <w:rPr>
          <w:rStyle w:val="ad"/>
          <w:rFonts w:eastAsia="楷体" w:hint="eastAsia"/>
          <w:b w:val="0"/>
          <w:bCs w:val="0"/>
          <w:spacing w:val="-4"/>
          <w:sz w:val="32"/>
          <w:szCs w:val="32"/>
        </w:rPr>
        <w:t>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预算执行率：</w:t>
      </w:r>
      <w:r w:rsidR="004B6160">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日该项目资金</w:t>
      </w:r>
      <w:r>
        <w:rPr>
          <w:rStyle w:val="ad"/>
          <w:rFonts w:eastAsia="楷体" w:hint="eastAsia"/>
          <w:b w:val="0"/>
          <w:bCs w:val="0"/>
          <w:spacing w:val="-4"/>
          <w:sz w:val="32"/>
          <w:szCs w:val="32"/>
        </w:rPr>
        <w:t>1.5</w:t>
      </w:r>
      <w:r>
        <w:rPr>
          <w:rStyle w:val="ad"/>
          <w:rFonts w:eastAsia="楷体" w:hint="eastAsia"/>
          <w:b w:val="0"/>
          <w:bCs w:val="0"/>
          <w:spacing w:val="-4"/>
          <w:sz w:val="32"/>
          <w:szCs w:val="32"/>
        </w:rPr>
        <w:t>万元由我单位通过财政平台拨付汇款至各企业及个人账户支付各业务经费，年终执行金额</w:t>
      </w:r>
      <w:r>
        <w:rPr>
          <w:rStyle w:val="ad"/>
          <w:rFonts w:eastAsia="楷体" w:hint="eastAsia"/>
          <w:b w:val="0"/>
          <w:bCs w:val="0"/>
          <w:spacing w:val="-4"/>
          <w:sz w:val="32"/>
          <w:szCs w:val="32"/>
        </w:rPr>
        <w:t>1.5</w:t>
      </w:r>
      <w:r>
        <w:rPr>
          <w:rStyle w:val="ad"/>
          <w:rFonts w:eastAsia="楷体" w:hint="eastAsia"/>
          <w:b w:val="0"/>
          <w:bCs w:val="0"/>
          <w:spacing w:val="-4"/>
          <w:sz w:val="32"/>
          <w:szCs w:val="32"/>
        </w:rPr>
        <w:t>万元，预算执行率为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b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资金使用合规性：本项目资金的使用符合国家财经法规和《乌鲁木齐市米东区疾病预防控制中心财务管理制度》以及《关于印发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年国家随机监督抽查计划的通知》（国疾控综监督二函〔</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号）和自治区下发的《关于印发</w:t>
      </w:r>
      <w:r>
        <w:rPr>
          <w:rStyle w:val="ad"/>
          <w:rFonts w:eastAsia="楷体" w:hint="eastAsia"/>
          <w:b w:val="0"/>
          <w:bCs w:val="0"/>
          <w:spacing w:val="-4"/>
          <w:sz w:val="32"/>
          <w:szCs w:val="32"/>
        </w:rPr>
        <w:t>2023</w:t>
      </w:r>
      <w:r>
        <w:rPr>
          <w:rStyle w:val="ad"/>
          <w:rFonts w:eastAsia="楷体" w:hint="eastAsia"/>
          <w:b w:val="0"/>
          <w:bCs w:val="0"/>
          <w:spacing w:val="-4"/>
          <w:sz w:val="32"/>
          <w:szCs w:val="32"/>
        </w:rPr>
        <w:t>年度自治区医疗卫生健康领域“双随机、一公开”抽查工作计划的通知》文件的规定。同时，资金的拨付有完整的审批程序和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13</w:t>
      </w:r>
      <w:r>
        <w:rPr>
          <w:rStyle w:val="ad"/>
          <w:rFonts w:eastAsia="楷体" w:hint="eastAsia"/>
          <w:b w:val="0"/>
          <w:bCs w:val="0"/>
          <w:spacing w:val="-4"/>
          <w:sz w:val="32"/>
          <w:szCs w:val="32"/>
        </w:rPr>
        <w:t>分。</w:t>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米东区疾病预防控制中心已制定相应的《乌鲁木齐市米东区疾病预防控制中心财务管理制度》和《乌鲁木齐市米东区疾病预防控制中心“三重一大”方案》，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制度执行有效性：根据评价小组核查情况，第三方检测劳务费及办公费严格遵守相关法律法规和相关管理规定，项目调整及支出</w:t>
      </w:r>
      <w:r>
        <w:rPr>
          <w:rStyle w:val="ad"/>
          <w:rFonts w:eastAsia="楷体" w:hint="eastAsia"/>
          <w:b w:val="0"/>
          <w:bCs w:val="0"/>
          <w:spacing w:val="-4"/>
          <w:sz w:val="32"/>
          <w:szCs w:val="32"/>
        </w:rPr>
        <w:lastRenderedPageBreak/>
        <w:t>调整手续完备，整体管理合理有序，项目完成后，及时将会计凭证、固定资产入库单等相关资料分类归档，制度执行有效。故制度执行有效性指标得分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6DB3D7FE" w14:textId="77777777" w:rsidR="00E9008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27722ACE"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40</w:t>
      </w:r>
      <w:r>
        <w:rPr>
          <w:rStyle w:val="ad"/>
          <w:rFonts w:eastAsia="楷体" w:hint="eastAsia"/>
          <w:b w:val="0"/>
          <w:bCs w:val="0"/>
          <w:spacing w:val="-4"/>
          <w:sz w:val="32"/>
          <w:szCs w:val="32"/>
        </w:rPr>
        <w:t>分。</w:t>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年学校卫生双随机任务”的目标值是</w:t>
      </w:r>
      <w:r>
        <w:rPr>
          <w:rStyle w:val="ad"/>
          <w:rFonts w:eastAsia="楷体" w:hint="eastAsia"/>
          <w:b w:val="0"/>
          <w:bCs w:val="0"/>
          <w:spacing w:val="-4"/>
          <w:sz w:val="32"/>
          <w:szCs w:val="32"/>
        </w:rPr>
        <w:t>15</w:t>
      </w:r>
      <w:r>
        <w:rPr>
          <w:rStyle w:val="ad"/>
          <w:rFonts w:eastAsia="楷体" w:hint="eastAsia"/>
          <w:b w:val="0"/>
          <w:bCs w:val="0"/>
          <w:spacing w:val="-4"/>
          <w:sz w:val="32"/>
          <w:szCs w:val="32"/>
        </w:rPr>
        <w:t>个，</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15</w:t>
      </w:r>
      <w:r>
        <w:rPr>
          <w:rStyle w:val="ad"/>
          <w:rFonts w:eastAsia="楷体" w:hint="eastAsia"/>
          <w:b w:val="0"/>
          <w:bCs w:val="0"/>
          <w:spacing w:val="-4"/>
          <w:sz w:val="32"/>
          <w:szCs w:val="32"/>
        </w:rPr>
        <w:t>个，实际完成率：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w:t>
      </w:r>
      <w:r>
        <w:rPr>
          <w:rStyle w:val="ad"/>
          <w:rFonts w:eastAsia="楷体" w:hint="eastAsia"/>
          <w:b w:val="0"/>
          <w:bCs w:val="0"/>
          <w:spacing w:val="-4"/>
          <w:sz w:val="32"/>
          <w:szCs w:val="32"/>
        </w:rPr>
        <w:t>2024</w:t>
      </w:r>
      <w:r>
        <w:rPr>
          <w:rStyle w:val="ad"/>
          <w:rFonts w:eastAsia="楷体" w:hint="eastAsia"/>
          <w:b w:val="0"/>
          <w:bCs w:val="0"/>
          <w:spacing w:val="-4"/>
          <w:sz w:val="32"/>
          <w:szCs w:val="32"/>
        </w:rPr>
        <w:t>年学校卫生双随机任务得分为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数量指标“共抽取被监管单位个数”的目标值是</w:t>
      </w:r>
      <w:r>
        <w:rPr>
          <w:rStyle w:val="ad"/>
          <w:rFonts w:eastAsia="楷体" w:hint="eastAsia"/>
          <w:b w:val="0"/>
          <w:bCs w:val="0"/>
          <w:spacing w:val="-4"/>
          <w:sz w:val="32"/>
          <w:szCs w:val="32"/>
        </w:rPr>
        <w:t>153</w:t>
      </w:r>
      <w:r>
        <w:rPr>
          <w:rStyle w:val="ad"/>
          <w:rFonts w:eastAsia="楷体" w:hint="eastAsia"/>
          <w:b w:val="0"/>
          <w:bCs w:val="0"/>
          <w:spacing w:val="-4"/>
          <w:sz w:val="32"/>
          <w:szCs w:val="32"/>
        </w:rPr>
        <w:t>家，</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年度我单位“共抽取被监管单位个数”实际完成</w:t>
      </w:r>
      <w:r>
        <w:rPr>
          <w:rStyle w:val="ad"/>
          <w:rFonts w:eastAsia="楷体" w:hint="eastAsia"/>
          <w:b w:val="0"/>
          <w:bCs w:val="0"/>
          <w:spacing w:val="-4"/>
          <w:sz w:val="32"/>
          <w:szCs w:val="32"/>
        </w:rPr>
        <w:t>153</w:t>
      </w:r>
      <w:r>
        <w:rPr>
          <w:rStyle w:val="ad"/>
          <w:rFonts w:eastAsia="楷体" w:hint="eastAsia"/>
          <w:b w:val="0"/>
          <w:bCs w:val="0"/>
          <w:spacing w:val="-4"/>
          <w:sz w:val="32"/>
          <w:szCs w:val="32"/>
        </w:rPr>
        <w:t>家，实际完成率：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数量指标“监督检查被整改的单位个数”的目标值是</w:t>
      </w:r>
      <w:r>
        <w:rPr>
          <w:rStyle w:val="ad"/>
          <w:rFonts w:eastAsia="楷体" w:hint="eastAsia"/>
          <w:b w:val="0"/>
          <w:bCs w:val="0"/>
          <w:spacing w:val="-4"/>
          <w:sz w:val="32"/>
          <w:szCs w:val="32"/>
        </w:rPr>
        <w:t>6</w:t>
      </w:r>
      <w:r>
        <w:rPr>
          <w:rStyle w:val="ad"/>
          <w:rFonts w:eastAsia="楷体" w:hint="eastAsia"/>
          <w:b w:val="0"/>
          <w:bCs w:val="0"/>
          <w:spacing w:val="-4"/>
          <w:sz w:val="32"/>
          <w:szCs w:val="32"/>
        </w:rPr>
        <w:t>家，</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年度我单位实际完成“监督检查被整改的单位个数”</w:t>
      </w:r>
      <w:r>
        <w:rPr>
          <w:rStyle w:val="ad"/>
          <w:rFonts w:eastAsia="楷体" w:hint="eastAsia"/>
          <w:b w:val="0"/>
          <w:bCs w:val="0"/>
          <w:spacing w:val="-4"/>
          <w:sz w:val="32"/>
          <w:szCs w:val="32"/>
        </w:rPr>
        <w:t>6</w:t>
      </w:r>
      <w:r>
        <w:rPr>
          <w:rStyle w:val="ad"/>
          <w:rFonts w:eastAsia="楷体" w:hint="eastAsia"/>
          <w:b w:val="0"/>
          <w:bCs w:val="0"/>
          <w:spacing w:val="-4"/>
          <w:sz w:val="32"/>
          <w:szCs w:val="32"/>
        </w:rPr>
        <w:t>家。</w:t>
      </w:r>
      <w:r>
        <w:rPr>
          <w:rStyle w:val="ad"/>
          <w:rFonts w:eastAsia="楷体" w:hint="eastAsia"/>
          <w:b w:val="0"/>
          <w:bCs w:val="0"/>
          <w:spacing w:val="-4"/>
          <w:sz w:val="32"/>
          <w:szCs w:val="32"/>
        </w:rPr>
        <w:br/>
      </w:r>
      <w:r>
        <w:rPr>
          <w:rStyle w:val="ad"/>
          <w:rFonts w:eastAsia="楷体" w:hint="eastAsia"/>
          <w:b w:val="0"/>
          <w:bCs w:val="0"/>
          <w:spacing w:val="-4"/>
          <w:sz w:val="32"/>
          <w:szCs w:val="32"/>
        </w:rPr>
        <w:t>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，故实际完成率得分为</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 xml:space="preserve">2. </w:t>
      </w:r>
      <w:r>
        <w:rPr>
          <w:rStyle w:val="ad"/>
          <w:rFonts w:eastAsia="楷体" w:hint="eastAsia"/>
          <w:b w:val="0"/>
          <w:bCs w:val="0"/>
          <w:spacing w:val="-4"/>
          <w:sz w:val="32"/>
          <w:szCs w:val="32"/>
        </w:rPr>
        <w:t>产出质量</w:t>
      </w:r>
      <w:r>
        <w:rPr>
          <w:rStyle w:val="ad"/>
          <w:rFonts w:eastAsia="楷体" w:hint="eastAsia"/>
          <w:b w:val="0"/>
          <w:bCs w:val="0"/>
          <w:spacing w:val="-4"/>
          <w:sz w:val="32"/>
          <w:szCs w:val="32"/>
        </w:rPr>
        <w:br/>
      </w:r>
      <w:r>
        <w:rPr>
          <w:rStyle w:val="ad"/>
          <w:rFonts w:eastAsia="楷体" w:hint="eastAsia"/>
          <w:b w:val="0"/>
          <w:bCs w:val="0"/>
          <w:spacing w:val="-4"/>
          <w:sz w:val="32"/>
          <w:szCs w:val="32"/>
        </w:rPr>
        <w:t>质量指标“监测计划完成及时率（</w:t>
      </w:r>
      <w:r>
        <w:rPr>
          <w:rStyle w:val="ad"/>
          <w:rFonts w:eastAsia="楷体" w:hint="eastAsia"/>
          <w:b w:val="0"/>
          <w:bCs w:val="0"/>
          <w:spacing w:val="-4"/>
          <w:sz w:val="32"/>
          <w:szCs w:val="32"/>
        </w:rPr>
        <w:t>%</w:t>
      </w:r>
      <w:r>
        <w:rPr>
          <w:rStyle w:val="ad"/>
          <w:rFonts w:eastAsia="楷体" w:hint="eastAsia"/>
          <w:b w:val="0"/>
          <w:bCs w:val="0"/>
          <w:spacing w:val="-4"/>
          <w:sz w:val="32"/>
          <w:szCs w:val="32"/>
        </w:rPr>
        <w:t>）”的目标值是</w:t>
      </w:r>
      <w:r>
        <w:rPr>
          <w:rStyle w:val="ad"/>
          <w:rFonts w:eastAsia="楷体" w:hint="eastAsia"/>
          <w:b w:val="0"/>
          <w:bCs w:val="0"/>
          <w:spacing w:val="-4"/>
          <w:sz w:val="32"/>
          <w:szCs w:val="32"/>
        </w:rPr>
        <w:t>&gt;=100%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年度我单位监测计划完成及时率的实际完成指为</w:t>
      </w:r>
      <w:r>
        <w:rPr>
          <w:rStyle w:val="ad"/>
          <w:rFonts w:eastAsia="楷体" w:hint="eastAsia"/>
          <w:b w:val="0"/>
          <w:bCs w:val="0"/>
          <w:spacing w:val="-4"/>
          <w:sz w:val="32"/>
          <w:szCs w:val="32"/>
        </w:rPr>
        <w:t>100%</w:t>
      </w:r>
      <w:r>
        <w:rPr>
          <w:rStyle w:val="ad"/>
          <w:rFonts w:eastAsia="楷体" w:hint="eastAsia"/>
          <w:b w:val="0"/>
          <w:bCs w:val="0"/>
          <w:spacing w:val="-4"/>
          <w:sz w:val="32"/>
          <w:szCs w:val="32"/>
        </w:rPr>
        <w:t>。按照监测方案，抽取符合监测的公共场所，按规定完成监测任务，指标完成率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。故监测计划完成及时率指标得分为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时效指标“项目完成时间”的目标值是≤</w:t>
      </w:r>
      <w:r>
        <w:rPr>
          <w:rStyle w:val="ad"/>
          <w:rFonts w:eastAsia="楷体" w:hint="eastAsia"/>
          <w:b w:val="0"/>
          <w:bCs w:val="0"/>
          <w:spacing w:val="-4"/>
          <w:sz w:val="32"/>
          <w:szCs w:val="32"/>
        </w:rPr>
        <w:t>5</w:t>
      </w:r>
      <w:r>
        <w:rPr>
          <w:rStyle w:val="ad"/>
          <w:rFonts w:eastAsia="楷体" w:hint="eastAsia"/>
          <w:b w:val="0"/>
          <w:bCs w:val="0"/>
          <w:spacing w:val="-4"/>
          <w:sz w:val="32"/>
          <w:szCs w:val="32"/>
        </w:rPr>
        <w:t>个月，</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年度我单位项目完成时间为</w:t>
      </w:r>
      <w:r>
        <w:rPr>
          <w:rStyle w:val="ad"/>
          <w:rFonts w:eastAsia="楷体" w:hint="eastAsia"/>
          <w:b w:val="0"/>
          <w:bCs w:val="0"/>
          <w:spacing w:val="-4"/>
          <w:sz w:val="32"/>
          <w:szCs w:val="32"/>
        </w:rPr>
        <w:t>5</w:t>
      </w:r>
      <w:r>
        <w:rPr>
          <w:rStyle w:val="ad"/>
          <w:rFonts w:eastAsia="楷体" w:hint="eastAsia"/>
          <w:b w:val="0"/>
          <w:bCs w:val="0"/>
          <w:spacing w:val="-4"/>
          <w:sz w:val="32"/>
          <w:szCs w:val="32"/>
        </w:rPr>
        <w:t>个月。故项目完成时间指标得分为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br/>
      </w:r>
      <w:r>
        <w:rPr>
          <w:rStyle w:val="ad"/>
          <w:rFonts w:eastAsia="楷体" w:hint="eastAsia"/>
          <w:b w:val="0"/>
          <w:bCs w:val="0"/>
          <w:spacing w:val="-4"/>
          <w:sz w:val="32"/>
          <w:szCs w:val="32"/>
        </w:rPr>
        <w:t>项目预算控制率：本项目实际支出</w:t>
      </w:r>
      <w:r>
        <w:rPr>
          <w:rStyle w:val="ad"/>
          <w:rFonts w:eastAsia="楷体" w:hint="eastAsia"/>
          <w:b w:val="0"/>
          <w:bCs w:val="0"/>
          <w:spacing w:val="-4"/>
          <w:sz w:val="32"/>
          <w:szCs w:val="32"/>
        </w:rPr>
        <w:t xml:space="preserve"> 1.5</w:t>
      </w:r>
      <w:r>
        <w:rPr>
          <w:rStyle w:val="ad"/>
          <w:rFonts w:eastAsia="楷体" w:hint="eastAsia"/>
          <w:b w:val="0"/>
          <w:bCs w:val="0"/>
          <w:spacing w:val="-4"/>
          <w:sz w:val="32"/>
          <w:szCs w:val="32"/>
        </w:rPr>
        <w:t>万元，无超支情况，项目资金全部完成，得分为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61E0DA4E" w14:textId="77777777" w:rsidR="00E90086"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0A23C864"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br/>
      </w:r>
      <w:r>
        <w:rPr>
          <w:rStyle w:val="ad"/>
          <w:rFonts w:eastAsia="楷体" w:hint="eastAsia"/>
          <w:b w:val="0"/>
          <w:bCs w:val="0"/>
          <w:spacing w:val="-4"/>
          <w:sz w:val="32"/>
          <w:szCs w:val="32"/>
        </w:rPr>
        <w:t>四）项目效益</w:t>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保障社会稳定”，指标值：有效保障，实际完成值：完全达到预期。公共场所行业多，各单位卫生制度及卫生管理方法各不相同，为强化公共场所规范化卫生管理，我局印制了《公共场所卫生管理手册》，免费发放给公共场所经营者，从而规范、强化了各类公共场所经营者自身管理，使公共场所卫生状况明显改善。通过完成学校、公共场所、生活饮用水供水单位等卫生管理及监督监测工作，完成消毒产品和涉及饮用水卫生安全产品生产卫生管理及监督监测工作，强化了公共场所规范化管理。</w:t>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15</w:t>
      </w:r>
      <w:r>
        <w:rPr>
          <w:rStyle w:val="ad"/>
          <w:rFonts w:eastAsia="楷体" w:hint="eastAsia"/>
          <w:b w:val="0"/>
          <w:bCs w:val="0"/>
          <w:spacing w:val="-4"/>
          <w:sz w:val="32"/>
          <w:szCs w:val="32"/>
        </w:rPr>
        <w:t>分，得分</w:t>
      </w:r>
      <w:r>
        <w:rPr>
          <w:rStyle w:val="ad"/>
          <w:rFonts w:eastAsia="楷体" w:hint="eastAsia"/>
          <w:b w:val="0"/>
          <w:bCs w:val="0"/>
          <w:spacing w:val="-4"/>
          <w:sz w:val="32"/>
          <w:szCs w:val="32"/>
        </w:rPr>
        <w:t>15</w:t>
      </w:r>
      <w:r>
        <w:rPr>
          <w:rStyle w:val="ad"/>
          <w:rFonts w:eastAsia="楷体" w:hint="eastAsia"/>
          <w:b w:val="0"/>
          <w:bCs w:val="0"/>
          <w:spacing w:val="-4"/>
          <w:sz w:val="32"/>
          <w:szCs w:val="32"/>
        </w:rPr>
        <w:t>分。</w:t>
      </w:r>
    </w:p>
    <w:p w14:paraId="19CB66F1"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群众满意度：评价指标“服务对象满意度（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。其原因为：工作人员在开展过程中服务态度较以往更加友好，企业及各产所人员感受更满意。通过设置问卷调查的方式进行考评评价，共计调查样本总量为</w:t>
      </w:r>
      <w:r>
        <w:rPr>
          <w:rStyle w:val="ad"/>
          <w:rFonts w:eastAsia="楷体" w:hint="eastAsia"/>
          <w:b w:val="0"/>
          <w:bCs w:val="0"/>
          <w:spacing w:val="-4"/>
          <w:sz w:val="32"/>
          <w:szCs w:val="32"/>
        </w:rPr>
        <w:t>20</w:t>
      </w:r>
      <w:r>
        <w:rPr>
          <w:rStyle w:val="ad"/>
          <w:rFonts w:eastAsia="楷体" w:hint="eastAsia"/>
          <w:b w:val="0"/>
          <w:bCs w:val="0"/>
          <w:spacing w:val="-4"/>
          <w:sz w:val="32"/>
          <w:szCs w:val="32"/>
        </w:rPr>
        <w:t>个样本，有效调查问卷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份。其中，统计“服务对象满意度（</w:t>
      </w:r>
      <w:r>
        <w:rPr>
          <w:rStyle w:val="ad"/>
          <w:rFonts w:eastAsia="楷体" w:hint="eastAsia"/>
          <w:b w:val="0"/>
          <w:bCs w:val="0"/>
          <w:spacing w:val="-4"/>
          <w:sz w:val="32"/>
          <w:szCs w:val="32"/>
        </w:rPr>
        <w:t>%</w:t>
      </w:r>
      <w:r>
        <w:rPr>
          <w:rStyle w:val="ad"/>
          <w:rFonts w:eastAsia="楷体" w:hint="eastAsia"/>
          <w:b w:val="0"/>
          <w:bCs w:val="0"/>
          <w:spacing w:val="-4"/>
          <w:sz w:val="32"/>
          <w:szCs w:val="32"/>
        </w:rPr>
        <w:t>）”的平均值为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。故满意度指标得分为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2B38F163"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2912188" w14:textId="77777777" w:rsidR="00E90086"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br/>
        <w:t>1</w:t>
      </w:r>
      <w:r>
        <w:rPr>
          <w:rStyle w:val="ad"/>
          <w:rFonts w:eastAsia="楷体" w:hint="eastAsia"/>
          <w:b w:val="0"/>
          <w:bCs w:val="0"/>
          <w:spacing w:val="-4"/>
          <w:sz w:val="32"/>
          <w:szCs w:val="32"/>
        </w:rPr>
        <w:t>、加强宣传培训，提高从业人员的卫生意识。重点做好宣传工作，认真贯彻国家法律法规和有关行业标准，分行业开展培训，每年组织公共场所负责人及从业人员认真学习公共场所相关法律法规、行业标准和相关卫生知识。在常规培训的基础上，深入企业内部开展专项学习培训，扎实有效地提高了从业人员综合素质。</w:t>
      </w:r>
      <w:r>
        <w:rPr>
          <w:rStyle w:val="ad"/>
          <w:rFonts w:eastAsia="楷体" w:hint="eastAsia"/>
          <w:b w:val="0"/>
          <w:bCs w:val="0"/>
          <w:spacing w:val="-4"/>
          <w:sz w:val="32"/>
          <w:szCs w:val="32"/>
        </w:rPr>
        <w:br/>
        <w:t>2</w:t>
      </w:r>
      <w:r>
        <w:rPr>
          <w:rStyle w:val="ad"/>
          <w:rFonts w:eastAsia="楷体" w:hint="eastAsia"/>
          <w:b w:val="0"/>
          <w:bCs w:val="0"/>
          <w:spacing w:val="-4"/>
          <w:sz w:val="32"/>
          <w:szCs w:val="32"/>
        </w:rPr>
        <w:t>、强化公共场所规范化管理。公共场所行业多，各单位卫生制度及卫生管理方法各不相同，为强化公共场所规范化卫生管理，我局印制了《公共场所卫生管理手册》，免费发放给公共场所经营者，从而规范、强化了各类公共场所经营者自身管理，使公共场所卫生状况明显改善。</w:t>
      </w:r>
      <w:r>
        <w:rPr>
          <w:rStyle w:val="ad"/>
          <w:rFonts w:eastAsia="楷体" w:hint="eastAsia"/>
          <w:b w:val="0"/>
          <w:bCs w:val="0"/>
          <w:spacing w:val="-4"/>
          <w:sz w:val="32"/>
          <w:szCs w:val="32"/>
        </w:rPr>
        <w:br/>
        <w:t>3</w:t>
      </w:r>
      <w:r>
        <w:rPr>
          <w:rStyle w:val="ad"/>
          <w:rFonts w:eastAsia="楷体" w:hint="eastAsia"/>
          <w:b w:val="0"/>
          <w:bCs w:val="0"/>
          <w:spacing w:val="-4"/>
          <w:sz w:val="32"/>
          <w:szCs w:val="32"/>
        </w:rPr>
        <w:t>、强化公共场所卫生监督监测。我局结合公共场所卫生许可审批要求，重点把好卫生许可准入关和从业人员健康体检关，对日常监督发现年度监测漏检的单位，及时提醒并告知监督单位进行补检。同时严格按照卫生部制定的卫生监测标准和规关，对日常监督发现年度监测漏检的单位，及时提醒并告知监督单位进行补</w:t>
      </w:r>
      <w:r>
        <w:rPr>
          <w:rStyle w:val="ad"/>
          <w:rFonts w:eastAsia="楷体" w:hint="eastAsia"/>
          <w:b w:val="0"/>
          <w:bCs w:val="0"/>
          <w:spacing w:val="-4"/>
          <w:sz w:val="32"/>
          <w:szCs w:val="32"/>
        </w:rPr>
        <w:lastRenderedPageBreak/>
        <w:t>检。同时严格按照卫生部制定的卫生监测标准和规对持证单位监测监督覆盖率达</w:t>
      </w:r>
      <w:r>
        <w:rPr>
          <w:rStyle w:val="ad"/>
          <w:rFonts w:eastAsia="楷体" w:hint="eastAsia"/>
          <w:b w:val="0"/>
          <w:bCs w:val="0"/>
          <w:spacing w:val="-4"/>
          <w:sz w:val="32"/>
          <w:szCs w:val="32"/>
        </w:rPr>
        <w:t>100%</w:t>
      </w:r>
      <w:r>
        <w:rPr>
          <w:rStyle w:val="ad"/>
          <w:rFonts w:eastAsia="楷体" w:hint="eastAsia"/>
          <w:b w:val="0"/>
          <w:bCs w:val="0"/>
          <w:spacing w:val="-4"/>
          <w:sz w:val="32"/>
          <w:szCs w:val="32"/>
        </w:rPr>
        <w:t>，使各类公共场所的卫生质量达到了国家卫生标准和要求，保证了各类公共场所的《卫生许可证》持有率达</w:t>
      </w:r>
      <w:r>
        <w:rPr>
          <w:rStyle w:val="ad"/>
          <w:rFonts w:eastAsia="楷体" w:hint="eastAsia"/>
          <w:b w:val="0"/>
          <w:bCs w:val="0"/>
          <w:spacing w:val="-4"/>
          <w:sz w:val="32"/>
          <w:szCs w:val="32"/>
        </w:rPr>
        <w:t>90%</w:t>
      </w:r>
      <w:r>
        <w:rPr>
          <w:rStyle w:val="ad"/>
          <w:rFonts w:eastAsia="楷体" w:hint="eastAsia"/>
          <w:b w:val="0"/>
          <w:bCs w:val="0"/>
          <w:spacing w:val="-4"/>
          <w:sz w:val="32"/>
          <w:szCs w:val="32"/>
        </w:rPr>
        <w:t>以上。</w:t>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br/>
        <w:t>1.</w:t>
      </w:r>
      <w:r>
        <w:rPr>
          <w:rStyle w:val="ad"/>
          <w:rFonts w:eastAsia="楷体" w:hint="eastAsia"/>
          <w:b w:val="0"/>
          <w:bCs w:val="0"/>
          <w:spacing w:val="-4"/>
          <w:sz w:val="32"/>
          <w:szCs w:val="32"/>
        </w:rPr>
        <w:t>执法人员少，难以实现执法人员随机抽取。目前，我局一线卫生监督执法人员少、执法力量不足，参加本年度双随机人员共只有</w:t>
      </w:r>
      <w:r>
        <w:rPr>
          <w:rStyle w:val="ad"/>
          <w:rFonts w:eastAsia="楷体" w:hint="eastAsia"/>
          <w:b w:val="0"/>
          <w:bCs w:val="0"/>
          <w:spacing w:val="-4"/>
          <w:sz w:val="32"/>
          <w:szCs w:val="32"/>
        </w:rPr>
        <w:t>5</w:t>
      </w:r>
      <w:r>
        <w:rPr>
          <w:rStyle w:val="ad"/>
          <w:rFonts w:eastAsia="楷体" w:hint="eastAsia"/>
          <w:b w:val="0"/>
          <w:bCs w:val="0"/>
          <w:spacing w:val="-4"/>
          <w:sz w:val="32"/>
          <w:szCs w:val="32"/>
        </w:rPr>
        <w:t>名执法人员，监管着辖区内九百多家被监管对象，每名执法人员肩负着数个专业的执法任务，在随机抽取确定执法人员时难以实现真正的随机、回避制度。</w:t>
      </w:r>
      <w:r>
        <w:rPr>
          <w:rStyle w:val="ad"/>
          <w:rFonts w:eastAsia="楷体" w:hint="eastAsia"/>
          <w:b w:val="0"/>
          <w:bCs w:val="0"/>
          <w:spacing w:val="-4"/>
          <w:sz w:val="32"/>
          <w:szCs w:val="32"/>
        </w:rPr>
        <w:br/>
        <w:t>2.</w:t>
      </w:r>
      <w:r>
        <w:rPr>
          <w:rStyle w:val="ad"/>
          <w:rFonts w:eastAsia="楷体" w:hint="eastAsia"/>
          <w:b w:val="0"/>
          <w:bCs w:val="0"/>
          <w:spacing w:val="-4"/>
          <w:sz w:val="32"/>
          <w:szCs w:val="32"/>
        </w:rPr>
        <w:t>被检查对象信息更新不及时。因卫生计生综合监督各专业类别被检查对象基数大，实时变动较大、较快，而在卫生监督信息报告系统中，未对其进行实时更新维护，将会导致被吊销、注销或自行停业的单位仍然在信息库中可能被抽取到。</w:t>
      </w:r>
    </w:p>
    <w:p w14:paraId="54C02B95"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6B54D06A"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六、有关建议</w:t>
      </w:r>
      <w:r>
        <w:rPr>
          <w:rStyle w:val="ad"/>
          <w:rFonts w:eastAsia="楷体" w:hint="eastAsia"/>
          <w:b w:val="0"/>
          <w:bCs w:val="0"/>
          <w:spacing w:val="-4"/>
          <w:sz w:val="32"/>
          <w:szCs w:val="32"/>
        </w:rPr>
        <w:br/>
        <w:t>1.</w:t>
      </w:r>
      <w:r>
        <w:rPr>
          <w:rStyle w:val="ad"/>
          <w:rFonts w:eastAsia="楷体" w:hint="eastAsia"/>
          <w:b w:val="0"/>
          <w:bCs w:val="0"/>
          <w:spacing w:val="-4"/>
          <w:sz w:val="32"/>
          <w:szCs w:val="32"/>
        </w:rPr>
        <w:t>对项目决策的建议</w:t>
      </w:r>
      <w:r>
        <w:rPr>
          <w:rStyle w:val="ad"/>
          <w:rFonts w:eastAsia="楷体" w:hint="eastAsia"/>
          <w:b w:val="0"/>
          <w:bCs w:val="0"/>
          <w:spacing w:val="-4"/>
          <w:sz w:val="32"/>
          <w:szCs w:val="32"/>
        </w:rPr>
        <w:t>:</w:t>
      </w:r>
      <w:r>
        <w:rPr>
          <w:rStyle w:val="ad"/>
          <w:rFonts w:eastAsia="楷体" w:hint="eastAsia"/>
          <w:b w:val="0"/>
          <w:bCs w:val="0"/>
          <w:spacing w:val="-4"/>
          <w:sz w:val="32"/>
          <w:szCs w:val="32"/>
        </w:rPr>
        <w:t>为进一步加强我区公共卫生、医疗卫生、传染病防控等卫生监督执法工作，按照《关于印发</w:t>
      </w:r>
      <w:r>
        <w:rPr>
          <w:rStyle w:val="ad"/>
          <w:rFonts w:eastAsia="楷体" w:hint="eastAsia"/>
          <w:b w:val="0"/>
          <w:bCs w:val="0"/>
          <w:spacing w:val="-4"/>
          <w:sz w:val="32"/>
          <w:szCs w:val="32"/>
        </w:rPr>
        <w:t>2024</w:t>
      </w:r>
      <w:r>
        <w:rPr>
          <w:rStyle w:val="ad"/>
          <w:rFonts w:eastAsia="楷体" w:hint="eastAsia"/>
          <w:b w:val="0"/>
          <w:bCs w:val="0"/>
          <w:spacing w:val="-4"/>
          <w:sz w:val="32"/>
          <w:szCs w:val="32"/>
        </w:rPr>
        <w:t>年国家随机监督抽查计划的通知》（国疾控综监督二函〔</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83</w:t>
      </w:r>
      <w:r>
        <w:rPr>
          <w:rStyle w:val="ad"/>
          <w:rFonts w:eastAsia="楷体" w:hint="eastAsia"/>
          <w:b w:val="0"/>
          <w:bCs w:val="0"/>
          <w:spacing w:val="-4"/>
          <w:sz w:val="32"/>
          <w:szCs w:val="32"/>
        </w:rPr>
        <w:t>号）和自治区下发的《关于印发</w:t>
      </w:r>
      <w:r>
        <w:rPr>
          <w:rStyle w:val="ad"/>
          <w:rFonts w:eastAsia="楷体" w:hint="eastAsia"/>
          <w:b w:val="0"/>
          <w:bCs w:val="0"/>
          <w:spacing w:val="-4"/>
          <w:sz w:val="32"/>
          <w:szCs w:val="32"/>
        </w:rPr>
        <w:t>2024</w:t>
      </w:r>
      <w:r>
        <w:rPr>
          <w:rStyle w:val="ad"/>
          <w:rFonts w:eastAsia="楷体" w:hint="eastAsia"/>
          <w:b w:val="0"/>
          <w:bCs w:val="0"/>
          <w:spacing w:val="-4"/>
          <w:sz w:val="32"/>
          <w:szCs w:val="32"/>
        </w:rPr>
        <w:t>年度自治区医疗卫生健康领域“双随机、一公开”抽查工作计划的通知》要求，结合</w:t>
      </w:r>
      <w:r>
        <w:rPr>
          <w:rStyle w:val="ad"/>
          <w:rFonts w:eastAsia="楷体" w:hint="eastAsia"/>
          <w:b w:val="0"/>
          <w:bCs w:val="0"/>
          <w:spacing w:val="-4"/>
          <w:sz w:val="32"/>
          <w:szCs w:val="32"/>
        </w:rPr>
        <w:t>2024</w:t>
      </w:r>
      <w:r>
        <w:rPr>
          <w:rStyle w:val="ad"/>
          <w:rFonts w:eastAsia="楷体" w:hint="eastAsia"/>
          <w:b w:val="0"/>
          <w:bCs w:val="0"/>
          <w:spacing w:val="-4"/>
          <w:sz w:val="32"/>
          <w:szCs w:val="32"/>
        </w:rPr>
        <w:t>年乌鲁木齐市米东区卫生健康重点工作要求，建议国家和自治区双随机抽查工作任务能够合并开展。</w:t>
      </w:r>
      <w:r>
        <w:rPr>
          <w:rStyle w:val="ad"/>
          <w:rFonts w:eastAsia="楷体" w:hint="eastAsia"/>
          <w:b w:val="0"/>
          <w:bCs w:val="0"/>
          <w:spacing w:val="-4"/>
          <w:sz w:val="32"/>
          <w:szCs w:val="32"/>
        </w:rPr>
        <w:br/>
        <w:t>2.</w:t>
      </w:r>
      <w:r>
        <w:rPr>
          <w:rStyle w:val="ad"/>
          <w:rFonts w:eastAsia="楷体" w:hint="eastAsia"/>
          <w:b w:val="0"/>
          <w:bCs w:val="0"/>
          <w:spacing w:val="-4"/>
          <w:sz w:val="32"/>
          <w:szCs w:val="32"/>
        </w:rPr>
        <w:t>对预算安排与执行的建议</w:t>
      </w:r>
      <w:r>
        <w:rPr>
          <w:rStyle w:val="ad"/>
          <w:rFonts w:eastAsia="楷体" w:hint="eastAsia"/>
          <w:b w:val="0"/>
          <w:bCs w:val="0"/>
          <w:spacing w:val="-4"/>
          <w:sz w:val="32"/>
          <w:szCs w:val="32"/>
        </w:rPr>
        <w:t>:</w:t>
      </w:r>
      <w:r>
        <w:rPr>
          <w:rStyle w:val="ad"/>
          <w:rFonts w:eastAsia="楷体" w:hint="eastAsia"/>
          <w:b w:val="0"/>
          <w:bCs w:val="0"/>
          <w:spacing w:val="-4"/>
          <w:sz w:val="32"/>
          <w:szCs w:val="32"/>
        </w:rPr>
        <w:t>严格执行《预算法》等有关法律法规，加强绩效管理与预算管理紧密结合，按照绩效监控节点，结合项</w:t>
      </w:r>
      <w:r>
        <w:rPr>
          <w:rStyle w:val="ad"/>
          <w:rFonts w:eastAsia="楷体" w:hint="eastAsia"/>
          <w:b w:val="0"/>
          <w:bCs w:val="0"/>
          <w:spacing w:val="-4"/>
          <w:sz w:val="32"/>
          <w:szCs w:val="32"/>
        </w:rPr>
        <w:lastRenderedPageBreak/>
        <w:t>目执行情况，计算预算执行进度，同时为保证资金在使用过程中使用性质正确、不超支，严格按照预算规定的资金性质，分享标准执行，建议预算财政资金能够及时到位，有序保障和推进各项工作的进展进度。</w:t>
      </w:r>
      <w:r>
        <w:rPr>
          <w:rStyle w:val="ad"/>
          <w:rFonts w:eastAsia="楷体" w:hint="eastAsia"/>
          <w:b w:val="0"/>
          <w:bCs w:val="0"/>
          <w:spacing w:val="-4"/>
          <w:sz w:val="32"/>
          <w:szCs w:val="32"/>
        </w:rPr>
        <w:br/>
        <w:t>3.</w:t>
      </w:r>
      <w:r>
        <w:rPr>
          <w:rStyle w:val="ad"/>
          <w:rFonts w:eastAsia="楷体" w:hint="eastAsia"/>
          <w:b w:val="0"/>
          <w:bCs w:val="0"/>
          <w:spacing w:val="-4"/>
          <w:sz w:val="32"/>
          <w:szCs w:val="32"/>
        </w:rPr>
        <w:t>对资金管理的建议：项目资金的使用符合国家财经法律法规和财务管理制度以及有关专项资金管理办法的规定，符合预算批复与合同规定的用途，进一步提高财政资金的使用效率。</w:t>
      </w:r>
      <w:r>
        <w:rPr>
          <w:rStyle w:val="ad"/>
          <w:rFonts w:eastAsia="楷体" w:hint="eastAsia"/>
          <w:b w:val="0"/>
          <w:bCs w:val="0"/>
          <w:spacing w:val="-4"/>
          <w:sz w:val="32"/>
          <w:szCs w:val="32"/>
        </w:rPr>
        <w:br/>
        <w:t>4.</w:t>
      </w:r>
      <w:r>
        <w:rPr>
          <w:rStyle w:val="ad"/>
          <w:rFonts w:eastAsia="楷体" w:hint="eastAsia"/>
          <w:b w:val="0"/>
          <w:bCs w:val="0"/>
          <w:spacing w:val="-4"/>
          <w:sz w:val="32"/>
          <w:szCs w:val="32"/>
        </w:rPr>
        <w:t>项目管理的建议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今后工作中，我局将加强卫生监督执法队伍建设，狠抓卫生监督员的业务和相关法律法规知识培训，提高卫生监督队伍的整体素质，提高综合执法水平，加大法制稽查监督力度。加强卫生监督员日常业务能力，及时维护系统“两库”，打造常态化、规范化、制度化的“双随机、一公开”综合监管新模式。</w:t>
      </w:r>
    </w:p>
    <w:p w14:paraId="2FCC51D1" w14:textId="77777777" w:rsidR="00E90086"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4C6B9A90" w14:textId="77777777" w:rsidR="00E90086"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七、其他需要说明的问题</w:t>
      </w:r>
      <w:r>
        <w:rPr>
          <w:rStyle w:val="ad"/>
          <w:rFonts w:eastAsia="楷体" w:hint="eastAsia"/>
          <w:b w:val="0"/>
          <w:bCs w:val="0"/>
          <w:spacing w:val="-4"/>
          <w:sz w:val="32"/>
          <w:szCs w:val="32"/>
        </w:rPr>
        <w:br/>
      </w:r>
      <w:r>
        <w:rPr>
          <w:rStyle w:val="ad"/>
          <w:rFonts w:eastAsia="楷体" w:hint="eastAsia"/>
          <w:b w:val="0"/>
          <w:bCs w:val="0"/>
          <w:spacing w:val="-4"/>
          <w:sz w:val="32"/>
          <w:szCs w:val="32"/>
        </w:rPr>
        <w:t>项目支出政策和路径设计科学，符合实际需要；项目安排准确，未发现背离项目立项初衷的情况；项目的申报、审核机制完善；未发现虚假行为和骗取财政资金的问题。</w:t>
      </w:r>
    </w:p>
    <w:p w14:paraId="571565C5" w14:textId="77777777" w:rsidR="00E90086" w:rsidRDefault="00E90086">
      <w:pPr>
        <w:spacing w:line="540" w:lineRule="exact"/>
        <w:ind w:firstLineChars="200" w:firstLine="624"/>
        <w:rPr>
          <w:rStyle w:val="ad"/>
          <w:rFonts w:ascii="仿宋" w:eastAsia="仿宋" w:hAnsi="仿宋" w:hint="eastAsia"/>
          <w:b w:val="0"/>
          <w:spacing w:val="-4"/>
          <w:sz w:val="32"/>
          <w:szCs w:val="32"/>
        </w:rPr>
      </w:pPr>
    </w:p>
    <w:p w14:paraId="6AEE2023" w14:textId="77777777" w:rsidR="00E90086" w:rsidRDefault="00E90086">
      <w:pPr>
        <w:spacing w:line="540" w:lineRule="exact"/>
        <w:ind w:firstLineChars="200" w:firstLine="624"/>
        <w:rPr>
          <w:rStyle w:val="ad"/>
          <w:rFonts w:ascii="仿宋" w:eastAsia="仿宋" w:hAnsi="仿宋" w:hint="eastAsia"/>
          <w:b w:val="0"/>
          <w:spacing w:val="-4"/>
          <w:sz w:val="32"/>
          <w:szCs w:val="32"/>
        </w:rPr>
      </w:pPr>
    </w:p>
    <w:p w14:paraId="4C53DC4B" w14:textId="77777777" w:rsidR="00E90086" w:rsidRDefault="00E90086">
      <w:pPr>
        <w:spacing w:line="540" w:lineRule="exact"/>
        <w:ind w:firstLineChars="200" w:firstLine="624"/>
        <w:rPr>
          <w:rStyle w:val="ad"/>
          <w:rFonts w:ascii="仿宋" w:eastAsia="仿宋" w:hAnsi="仿宋" w:hint="eastAsia"/>
          <w:b w:val="0"/>
          <w:spacing w:val="-4"/>
          <w:sz w:val="32"/>
          <w:szCs w:val="32"/>
        </w:rPr>
      </w:pPr>
    </w:p>
    <w:p w14:paraId="48371392" w14:textId="77777777" w:rsidR="00E90086" w:rsidRDefault="00E90086">
      <w:pPr>
        <w:spacing w:line="540" w:lineRule="exact"/>
        <w:ind w:firstLineChars="200" w:firstLine="624"/>
        <w:rPr>
          <w:rStyle w:val="ad"/>
          <w:rFonts w:ascii="仿宋" w:eastAsia="仿宋" w:hAnsi="仿宋" w:hint="eastAsia"/>
          <w:b w:val="0"/>
          <w:spacing w:val="-4"/>
          <w:sz w:val="32"/>
          <w:szCs w:val="32"/>
        </w:rPr>
      </w:pPr>
    </w:p>
    <w:p w14:paraId="03F69837" w14:textId="77777777" w:rsidR="00E90086" w:rsidRDefault="00E90086">
      <w:pPr>
        <w:spacing w:line="540" w:lineRule="exact"/>
        <w:ind w:firstLineChars="200" w:firstLine="624"/>
        <w:rPr>
          <w:rStyle w:val="ad"/>
          <w:rFonts w:ascii="仿宋" w:eastAsia="仿宋" w:hAnsi="仿宋" w:hint="eastAsia"/>
          <w:b w:val="0"/>
          <w:spacing w:val="-4"/>
          <w:sz w:val="32"/>
          <w:szCs w:val="32"/>
        </w:rPr>
      </w:pPr>
    </w:p>
    <w:sectPr w:rsidR="00E90086">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BEA88" w14:textId="77777777" w:rsidR="00365BF1" w:rsidRDefault="00365BF1">
      <w:r>
        <w:separator/>
      </w:r>
    </w:p>
  </w:endnote>
  <w:endnote w:type="continuationSeparator" w:id="0">
    <w:p w14:paraId="675FA9BF" w14:textId="77777777" w:rsidR="00365BF1" w:rsidRDefault="00365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3B5E75E0" w14:textId="77777777" w:rsidR="00E90086" w:rsidRDefault="00000000">
        <w:pPr>
          <w:pStyle w:val="a5"/>
          <w:jc w:val="center"/>
        </w:pPr>
        <w:r>
          <w:fldChar w:fldCharType="begin"/>
        </w:r>
        <w:r>
          <w:instrText>PAGE   \* MERGEFORMAT</w:instrText>
        </w:r>
        <w:r>
          <w:fldChar w:fldCharType="separate"/>
        </w:r>
        <w:r>
          <w:rPr>
            <w:lang w:val="zh-CN"/>
          </w:rPr>
          <w:t>2</w:t>
        </w:r>
        <w:r>
          <w:fldChar w:fldCharType="end"/>
        </w:r>
      </w:p>
    </w:sdtContent>
  </w:sdt>
  <w:p w14:paraId="31DCE027" w14:textId="77777777" w:rsidR="00E90086" w:rsidRDefault="00E9008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6812A" w14:textId="77777777" w:rsidR="00365BF1" w:rsidRDefault="00365BF1">
      <w:r>
        <w:separator/>
      </w:r>
    </w:p>
  </w:footnote>
  <w:footnote w:type="continuationSeparator" w:id="0">
    <w:p w14:paraId="3B16FA00" w14:textId="77777777" w:rsidR="00365BF1" w:rsidRDefault="00365B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65BF1"/>
    <w:rsid w:val="003A1721"/>
    <w:rsid w:val="004366A8"/>
    <w:rsid w:val="00452046"/>
    <w:rsid w:val="00491B24"/>
    <w:rsid w:val="004B6160"/>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90086"/>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16F01"/>
  <w15:docId w15:val="{57B7F2FA-AAA1-4D6C-9462-B6C7800C3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6195</Words>
  <Characters>6382</Characters>
  <Application>Microsoft Office Word</Application>
  <DocSecurity>0</DocSecurity>
  <Lines>319</Lines>
  <Paragraphs>39</Paragraphs>
  <ScaleCrop>false</ScaleCrop>
  <Company>市财政资金综合评价中心</Company>
  <LinksUpToDate>false</LinksUpToDate>
  <CharactersWithSpaces>12538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