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BA9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24"/>
        </w:rPr>
      </w:pPr>
      <w:r>
        <w:rPr>
          <w:rFonts w:hint="default" w:ascii="Times New Roman" w:hAnsi="Times New Roman" w:eastAsia="方正小标宋简体" w:cs="Times New Roman"/>
          <w:sz w:val="44"/>
          <w:lang w:eastAsia="zh-CN"/>
        </w:rPr>
        <w:t>关于米东地磅呼图壁县大丰镇赵前军运输中心“4·16”一般车辆伤害事故</w:t>
      </w:r>
      <w:r>
        <w:rPr>
          <w:rFonts w:hint="default" w:ascii="Times New Roman" w:hAnsi="Times New Roman" w:eastAsia="方正小标宋简体" w:cs="Times New Roman"/>
          <w:sz w:val="44"/>
          <w:szCs w:val="24"/>
          <w:lang w:eastAsia="zh-CN"/>
        </w:rPr>
        <w:t>防范</w:t>
      </w:r>
      <w:r>
        <w:rPr>
          <w:rFonts w:hint="default" w:ascii="Times New Roman" w:hAnsi="Times New Roman" w:eastAsia="方正小标宋简体" w:cs="Times New Roman"/>
          <w:sz w:val="44"/>
          <w:szCs w:val="24"/>
        </w:rPr>
        <w:t>整改措施</w:t>
      </w:r>
    </w:p>
    <w:p w14:paraId="3BCD471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24"/>
        </w:rPr>
      </w:pPr>
      <w:r>
        <w:rPr>
          <w:rFonts w:hint="eastAsia" w:ascii="Times New Roman" w:hAnsi="Times New Roman" w:eastAsia="方正小标宋简体" w:cs="Times New Roman"/>
          <w:sz w:val="44"/>
          <w:szCs w:val="24"/>
          <w:lang w:val="en-US" w:eastAsia="zh-CN"/>
        </w:rPr>
        <w:t>和责任追究</w:t>
      </w:r>
      <w:r>
        <w:rPr>
          <w:rFonts w:hint="default" w:ascii="Times New Roman" w:hAnsi="Times New Roman" w:eastAsia="方正小标宋简体" w:cs="Times New Roman"/>
          <w:sz w:val="44"/>
          <w:szCs w:val="24"/>
        </w:rPr>
        <w:t>落实情况评估</w:t>
      </w:r>
      <w:r>
        <w:rPr>
          <w:rFonts w:hint="default" w:ascii="Times New Roman" w:hAnsi="Times New Roman" w:eastAsia="方正小标宋简体" w:cs="Times New Roman"/>
          <w:color w:val="auto"/>
          <w:kern w:val="0"/>
          <w:sz w:val="44"/>
          <w:szCs w:val="44"/>
          <w:highlight w:val="none"/>
          <w:lang w:val="en-US" w:eastAsia="zh-CN"/>
        </w:rPr>
        <w:t>报告</w:t>
      </w:r>
    </w:p>
    <w:p w14:paraId="0713702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2"/>
          <w:szCs w:val="32"/>
          <w:lang w:val="en-US" w:eastAsia="zh-CN"/>
        </w:rPr>
      </w:pPr>
    </w:p>
    <w:p w14:paraId="19B1842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2025年4月16日00时55分许, 位干乌鲁木齐市米东区新建煤矿职业病医技住院楼项目工程总承包项目工地大门南侧的人行道路上发生一起车辆伤害事故，造成1人受伤</w:t>
      </w:r>
      <w:r>
        <w:rPr>
          <w:rFonts w:hint="eastAsia" w:ascii="Times New Roman" w:hAnsi="Times New Roman" w:eastAsia="方正仿宋_GBK" w:cs="Times New Roman"/>
          <w:sz w:val="32"/>
          <w:szCs w:val="32"/>
          <w:lang w:val="en-US" w:eastAsia="zh-CN"/>
        </w:rPr>
        <w:t>。</w:t>
      </w:r>
    </w:p>
    <w:p w14:paraId="40DD100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根据《生产安全事故防范和整改措施落实情况评估办法》规定要求，区安减委办组织对关于米东地磅呼图壁县大丰镇赵前军运输中心“4·16”一般车辆伤害事故防范和整改措施落实情况进行评估。现将评估情况报告如下</w:t>
      </w:r>
      <w:r>
        <w:rPr>
          <w:rFonts w:hint="default" w:ascii="Times New Roman" w:hAnsi="Times New Roman" w:eastAsia="仿宋_GB2312" w:cs="Times New Roman"/>
          <w:color w:val="auto"/>
          <w:sz w:val="32"/>
          <w:szCs w:val="32"/>
          <w:highlight w:val="none"/>
          <w:lang w:val="en-US" w:eastAsia="zh-CN"/>
        </w:rPr>
        <w:t>：</w:t>
      </w:r>
    </w:p>
    <w:p w14:paraId="1321D1A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b w:val="0"/>
          <w:bCs w:val="0"/>
          <w:color w:val="auto"/>
          <w:sz w:val="32"/>
          <w:szCs w:val="32"/>
          <w:highlight w:val="none"/>
          <w:lang w:val="en-US" w:eastAsia="zh-CN"/>
        </w:rPr>
      </w:pPr>
      <w:r>
        <w:rPr>
          <w:rFonts w:hint="default" w:ascii="Times New Roman" w:hAnsi="Times New Roman" w:eastAsia="黑体" w:cs="Times New Roman"/>
          <w:b w:val="0"/>
          <w:bCs w:val="0"/>
          <w:color w:val="auto"/>
          <w:sz w:val="32"/>
          <w:szCs w:val="32"/>
          <w:highlight w:val="none"/>
          <w:lang w:val="en-US" w:eastAsia="zh-CN"/>
        </w:rPr>
        <w:t>一、评估工作组织及开展情况</w:t>
      </w:r>
    </w:p>
    <w:p w14:paraId="4C819D3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1"/>
          <w:szCs w:val="31"/>
          <w:highlight w:val="none"/>
          <w:lang w:val="en-US" w:eastAsia="zh-CN"/>
        </w:rPr>
      </w:pPr>
      <w:r>
        <w:rPr>
          <w:rFonts w:hint="default" w:ascii="Times New Roman" w:hAnsi="Times New Roman" w:eastAsia="方正仿宋_GBK" w:cs="Times New Roman"/>
          <w:sz w:val="32"/>
          <w:szCs w:val="32"/>
          <w:highlight w:val="none"/>
          <w:lang w:val="en-US" w:eastAsia="zh-CN"/>
        </w:rPr>
        <w:t>区安减委办成立了由区纪委监委、</w:t>
      </w:r>
      <w:r>
        <w:rPr>
          <w:rFonts w:hint="eastAsia" w:ascii="Times New Roman" w:hAnsi="Times New Roman" w:eastAsia="方正仿宋_GBK" w:cs="Times New Roman"/>
          <w:sz w:val="32"/>
          <w:szCs w:val="32"/>
          <w:highlight w:val="none"/>
          <w:lang w:val="en-US" w:eastAsia="zh-CN"/>
        </w:rPr>
        <w:t>区建设局</w:t>
      </w:r>
      <w:r>
        <w:rPr>
          <w:rFonts w:hint="default" w:ascii="Times New Roman" w:hAnsi="Times New Roman" w:eastAsia="方正仿宋_GBK" w:cs="Times New Roman"/>
          <w:sz w:val="32"/>
          <w:szCs w:val="32"/>
          <w:highlight w:val="none"/>
          <w:lang w:val="en-US" w:eastAsia="zh-CN"/>
        </w:rPr>
        <w:t>、市公安局米东区分局、区应急管理局、</w:t>
      </w:r>
      <w:r>
        <w:rPr>
          <w:rFonts w:hint="eastAsia" w:ascii="Times New Roman" w:hAnsi="Times New Roman" w:eastAsia="方正仿宋_GBK" w:cs="Times New Roman"/>
          <w:sz w:val="32"/>
          <w:szCs w:val="32"/>
          <w:highlight w:val="none"/>
          <w:lang w:val="en-US" w:eastAsia="zh-CN"/>
        </w:rPr>
        <w:t>市交通运输综合行政执法局米东分局、区市监局、</w:t>
      </w:r>
      <w:r>
        <w:rPr>
          <w:rFonts w:hint="default" w:ascii="Times New Roman" w:hAnsi="Times New Roman" w:eastAsia="方正仿宋_GBK" w:cs="Times New Roman"/>
          <w:sz w:val="32"/>
          <w:szCs w:val="32"/>
          <w:highlight w:val="none"/>
          <w:lang w:val="en-US" w:eastAsia="zh-CN"/>
        </w:rPr>
        <w:t>区人社局、区司法局、区总工会</w:t>
      </w:r>
      <w:r>
        <w:rPr>
          <w:rFonts w:hint="eastAsia" w:ascii="Times New Roman" w:hAnsi="Times New Roman" w:eastAsia="方正仿宋_GBK" w:cs="Times New Roman"/>
          <w:sz w:val="32"/>
          <w:szCs w:val="32"/>
          <w:highlight w:val="none"/>
          <w:lang w:val="en-US" w:eastAsia="zh-CN"/>
        </w:rPr>
        <w:t>、地磅街道办事处</w:t>
      </w:r>
      <w:r>
        <w:rPr>
          <w:rFonts w:hint="default" w:ascii="Times New Roman" w:hAnsi="Times New Roman" w:eastAsia="方正仿宋_GBK" w:cs="Times New Roman"/>
          <w:sz w:val="32"/>
          <w:szCs w:val="32"/>
          <w:highlight w:val="none"/>
          <w:lang w:val="en-US" w:eastAsia="zh-CN"/>
        </w:rPr>
        <w:t>等</w:t>
      </w:r>
      <w:r>
        <w:rPr>
          <w:rFonts w:hint="default" w:ascii="Times New Roman" w:hAnsi="Times New Roman" w:eastAsia="方正仿宋_GBK" w:cs="Times New Roman"/>
          <w:color w:val="auto"/>
          <w:sz w:val="32"/>
          <w:szCs w:val="32"/>
          <w:highlight w:val="none"/>
          <w:lang w:val="en-US" w:eastAsia="zh-CN"/>
        </w:rPr>
        <w:t>组成的评估组。评估组</w:t>
      </w:r>
      <w:r>
        <w:rPr>
          <w:rFonts w:hint="default" w:ascii="Times New Roman" w:hAnsi="Times New Roman" w:eastAsia="方正仿宋_GBK" w:cs="Times New Roman"/>
          <w:sz w:val="32"/>
          <w:szCs w:val="32"/>
          <w:highlight w:val="none"/>
          <w:lang w:val="en-US" w:eastAsia="zh-CN"/>
        </w:rPr>
        <w:t>依据《</w:t>
      </w:r>
      <w:r>
        <w:rPr>
          <w:rFonts w:hint="default" w:ascii="Times New Roman" w:hAnsi="Times New Roman" w:eastAsia="方正仿宋_GBK" w:cs="Times New Roman"/>
          <w:color w:val="auto"/>
          <w:sz w:val="32"/>
          <w:szCs w:val="32"/>
          <w:highlight w:val="none"/>
          <w:lang w:val="en-US" w:eastAsia="zh-CN"/>
        </w:rPr>
        <w:t>米东地磅呼图壁县大丰镇赵前军运输中心“4·16”一般车辆伤害事故</w:t>
      </w:r>
      <w:r>
        <w:rPr>
          <w:rFonts w:hint="default" w:ascii="Times New Roman" w:hAnsi="Times New Roman" w:eastAsia="方正仿宋_GBK" w:cs="Times New Roman"/>
          <w:sz w:val="32"/>
          <w:szCs w:val="32"/>
          <w:highlight w:val="none"/>
          <w:lang w:val="en-US" w:eastAsia="zh-CN"/>
        </w:rPr>
        <w:t>调查报告的批复》（米政函〔2025〕</w:t>
      </w:r>
      <w:r>
        <w:rPr>
          <w:rFonts w:hint="eastAsia" w:ascii="Times New Roman" w:hAnsi="Times New Roman" w:eastAsia="方正仿宋_GBK" w:cs="Times New Roman"/>
          <w:sz w:val="32"/>
          <w:szCs w:val="32"/>
          <w:highlight w:val="none"/>
          <w:lang w:val="en-US" w:eastAsia="zh-CN"/>
        </w:rPr>
        <w:t>826</w:t>
      </w:r>
      <w:r>
        <w:rPr>
          <w:rFonts w:hint="default" w:ascii="Times New Roman" w:hAnsi="Times New Roman" w:eastAsia="方正仿宋_GBK" w:cs="Times New Roman"/>
          <w:sz w:val="32"/>
          <w:szCs w:val="32"/>
          <w:highlight w:val="none"/>
          <w:lang w:val="en-US" w:eastAsia="zh-CN"/>
        </w:rPr>
        <w:t>号），采取调阅事故档案和查阅相关文件材料等方式，对事故防范整改措施、</w:t>
      </w:r>
      <w:r>
        <w:rPr>
          <w:rFonts w:hint="default" w:ascii="Times New Roman" w:hAnsi="Times New Roman" w:eastAsia="方正仿宋_GBK" w:cs="Times New Roman"/>
          <w:color w:val="auto"/>
          <w:sz w:val="32"/>
          <w:szCs w:val="32"/>
          <w:highlight w:val="none"/>
          <w:lang w:val="en-US" w:eastAsia="zh-CN"/>
        </w:rPr>
        <w:t>责任追究落实情况开展了评估工作，形成了事故防范整改措施和责任追究落实情况评估报告。</w:t>
      </w:r>
    </w:p>
    <w:p w14:paraId="051C89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val="0"/>
          <w:color w:val="auto"/>
          <w:sz w:val="32"/>
          <w:szCs w:val="32"/>
          <w:highlight w:val="none"/>
          <w:lang w:val="en-US" w:eastAsia="zh-CN"/>
        </w:rPr>
      </w:pPr>
      <w:r>
        <w:rPr>
          <w:rFonts w:hint="eastAsia" w:ascii="Times New Roman" w:hAnsi="Times New Roman" w:eastAsia="方正黑体_GBK" w:cs="Times New Roman"/>
          <w:b w:val="0"/>
          <w:bCs w:val="0"/>
          <w:color w:val="auto"/>
          <w:sz w:val="32"/>
          <w:szCs w:val="32"/>
          <w:highlight w:val="none"/>
          <w:lang w:val="en-US" w:eastAsia="zh-CN"/>
        </w:rPr>
        <w:t>二、</w:t>
      </w:r>
      <w:r>
        <w:rPr>
          <w:rFonts w:hint="default" w:ascii="Times New Roman" w:hAnsi="Times New Roman" w:eastAsia="方正黑体_GBK" w:cs="Times New Roman"/>
          <w:b w:val="0"/>
          <w:bCs w:val="0"/>
          <w:color w:val="auto"/>
          <w:sz w:val="32"/>
          <w:szCs w:val="32"/>
          <w:highlight w:val="none"/>
          <w:lang w:val="en-US" w:eastAsia="zh-CN"/>
        </w:rPr>
        <w:t>事</w:t>
      </w:r>
      <w:r>
        <w:rPr>
          <w:rFonts w:hint="default" w:ascii="Times New Roman" w:hAnsi="Times New Roman" w:eastAsia="方正黑体_GBK" w:cs="Times New Roman"/>
          <w:b w:val="0"/>
          <w:bCs w:val="0"/>
          <w:color w:val="auto"/>
          <w:sz w:val="32"/>
          <w:szCs w:val="32"/>
          <w:highlight w:val="none"/>
        </w:rPr>
        <w:t>故</w:t>
      </w:r>
      <w:r>
        <w:rPr>
          <w:rFonts w:hint="eastAsia" w:ascii="Times New Roman" w:hAnsi="Times New Roman" w:eastAsia="方正黑体_GBK" w:cs="Times New Roman"/>
          <w:b w:val="0"/>
          <w:bCs w:val="0"/>
          <w:color w:val="auto"/>
          <w:sz w:val="32"/>
          <w:szCs w:val="32"/>
          <w:highlight w:val="none"/>
          <w:lang w:val="en-US" w:eastAsia="zh-CN"/>
        </w:rPr>
        <w:t>防范和整改</w:t>
      </w:r>
      <w:r>
        <w:rPr>
          <w:rFonts w:hint="default" w:ascii="Times New Roman" w:hAnsi="Times New Roman" w:eastAsia="方正黑体_GBK" w:cs="Times New Roman"/>
          <w:b w:val="0"/>
          <w:bCs w:val="0"/>
          <w:color w:val="auto"/>
          <w:sz w:val="32"/>
          <w:szCs w:val="32"/>
          <w:highlight w:val="none"/>
        </w:rPr>
        <w:t>措施落实情况</w:t>
      </w:r>
      <w:r>
        <w:rPr>
          <w:rFonts w:hint="default" w:ascii="Times New Roman" w:hAnsi="Times New Roman" w:eastAsia="方正黑体_GBK" w:cs="Times New Roman"/>
          <w:b w:val="0"/>
          <w:bCs w:val="0"/>
          <w:color w:val="auto"/>
          <w:sz w:val="32"/>
          <w:szCs w:val="32"/>
          <w:highlight w:val="none"/>
          <w:lang w:val="en-US" w:eastAsia="zh-CN"/>
        </w:rPr>
        <w:t xml:space="preserve">  </w:t>
      </w:r>
    </w:p>
    <w:p w14:paraId="39359F03">
      <w:pPr>
        <w:pStyle w:val="11"/>
        <w:keepNext w:val="0"/>
        <w:keepLines w:val="0"/>
        <w:pageBreakBefore w:val="0"/>
        <w:widowControl/>
        <w:suppressLineNumbers w:val="0"/>
        <w:kinsoku/>
        <w:wordWrap/>
        <w:overflowPunct/>
        <w:topLinePunct w:val="0"/>
        <w:autoSpaceDE/>
        <w:autoSpaceDN/>
        <w:bidi w:val="0"/>
        <w:adjustRightInd/>
        <w:snapToGrid/>
        <w:spacing w:line="560" w:lineRule="exact"/>
        <w:ind w:left="0" w:firstLine="640"/>
        <w:jc w:val="both"/>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（一）</w:t>
      </w:r>
      <w:r>
        <w:rPr>
          <w:rFonts w:hint="eastAsia" w:ascii="Times New Roman" w:hAnsi="Times New Roman" w:eastAsia="方正楷体_GBK" w:cs="Times New Roman"/>
          <w:color w:val="auto"/>
          <w:kern w:val="0"/>
          <w:sz w:val="32"/>
          <w:szCs w:val="32"/>
          <w:highlight w:val="none"/>
          <w:lang w:val="en-US" w:eastAsia="zh-CN" w:bidi="ar"/>
        </w:rPr>
        <w:t>米东区地磅街道办事处</w:t>
      </w:r>
      <w:r>
        <w:rPr>
          <w:rFonts w:hint="default" w:ascii="Times New Roman" w:hAnsi="Times New Roman" w:eastAsia="方正楷体_GBK" w:cs="Times New Roman"/>
          <w:color w:val="auto"/>
          <w:kern w:val="0"/>
          <w:sz w:val="32"/>
          <w:szCs w:val="32"/>
          <w:highlight w:val="none"/>
          <w:lang w:val="en-US" w:eastAsia="zh-CN" w:bidi="ar"/>
        </w:rPr>
        <w:t xml:space="preserve"> </w:t>
      </w:r>
    </w:p>
    <w:p w14:paraId="0052E2E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sz w:val="32"/>
          <w:szCs w:val="32"/>
          <w:highlight w:val="none"/>
          <w:lang w:val="en-US" w:eastAsia="zh-CN"/>
        </w:rPr>
        <w:t>事故调查报告要求：</w:t>
      </w:r>
      <w:r>
        <w:rPr>
          <w:rFonts w:hint="default" w:ascii="Times New Roman" w:hAnsi="Times New Roman" w:eastAsia="方正仿宋_GBK" w:cs="Times New Roman"/>
          <w:color w:val="auto"/>
          <w:kern w:val="2"/>
          <w:sz w:val="32"/>
          <w:szCs w:val="32"/>
          <w:highlight w:val="none"/>
          <w:lang w:val="en-US" w:eastAsia="zh-CN" w:bidi="ar-SA"/>
        </w:rPr>
        <w:t>米东区地磅街道办事处要进一步加大辖区施工单位安全生产教育培训、特种作业和特种设备操作持证上岗及落实企业内部隐患排查治理举报奖励机制等内容的宣传教育。</w:t>
      </w:r>
    </w:p>
    <w:p w14:paraId="53707953">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落实情况：一是多形式强化宣传教育。地磅街道累计召开安全生产及消防安全会议3次、安全生产工作会议2次、安全警示教育会1次</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开展早派工、晚研判会议7次</w:t>
      </w:r>
      <w:r>
        <w:rPr>
          <w:rFonts w:hint="eastAsia" w:ascii="Times New Roman" w:hAnsi="Times New Roman" w:eastAsia="方正仿宋_GBK" w:cs="Times New Roman"/>
          <w:color w:val="auto"/>
          <w:kern w:val="2"/>
          <w:sz w:val="32"/>
          <w:szCs w:val="32"/>
          <w:highlight w:val="none"/>
          <w:lang w:val="en-US" w:eastAsia="zh-CN" w:bidi="ar-SA"/>
        </w:rPr>
        <w:t>，各社区安全专干、在建项目负责人共199人次参加，</w:t>
      </w:r>
      <w:r>
        <w:rPr>
          <w:rFonts w:hint="default" w:ascii="Times New Roman" w:hAnsi="Times New Roman" w:eastAsia="方正仿宋_GBK" w:cs="Times New Roman"/>
          <w:color w:val="auto"/>
          <w:kern w:val="2"/>
          <w:sz w:val="32"/>
          <w:szCs w:val="32"/>
          <w:highlight w:val="none"/>
          <w:lang w:val="en-US" w:eastAsia="zh-CN" w:bidi="ar-SA"/>
        </w:rPr>
        <w:t>将特种作业持证上岗、内部隐患举报奖励等内容</w:t>
      </w:r>
      <w:r>
        <w:rPr>
          <w:rFonts w:hint="eastAsia" w:ascii="Times New Roman" w:hAnsi="Times New Roman" w:eastAsia="方正仿宋_GBK" w:cs="Times New Roman"/>
          <w:color w:val="auto"/>
          <w:kern w:val="2"/>
          <w:sz w:val="32"/>
          <w:szCs w:val="32"/>
          <w:highlight w:val="none"/>
          <w:lang w:val="en-US" w:eastAsia="zh-CN" w:bidi="ar-SA"/>
        </w:rPr>
        <w:t>重点强调；</w:t>
      </w:r>
      <w:r>
        <w:rPr>
          <w:rFonts w:hint="default" w:ascii="Times New Roman" w:hAnsi="Times New Roman" w:eastAsia="方正仿宋_GBK" w:cs="Times New Roman"/>
          <w:color w:val="auto"/>
          <w:kern w:val="2"/>
          <w:sz w:val="32"/>
          <w:szCs w:val="32"/>
          <w:highlight w:val="none"/>
          <w:lang w:val="en-US" w:eastAsia="zh-CN" w:bidi="ar-SA"/>
        </w:rPr>
        <w:t>下发安全生产工作告知书3份、提醒函5份，督促施工单位落实特种设备操作持证上岗及落实企业内部隐患排查治理举报奖励机制。二是加大</w:t>
      </w:r>
      <w:r>
        <w:rPr>
          <w:rFonts w:hint="eastAsia" w:ascii="Times New Roman" w:hAnsi="Times New Roman" w:eastAsia="方正仿宋_GBK" w:cs="Times New Roman"/>
          <w:color w:val="auto"/>
          <w:kern w:val="2"/>
          <w:sz w:val="32"/>
          <w:szCs w:val="32"/>
          <w:highlight w:val="none"/>
          <w:lang w:val="en-US" w:eastAsia="zh-CN" w:bidi="ar-SA"/>
        </w:rPr>
        <w:t>安全巡查检查</w:t>
      </w:r>
      <w:r>
        <w:rPr>
          <w:rFonts w:hint="default" w:ascii="Times New Roman" w:hAnsi="Times New Roman" w:eastAsia="方正仿宋_GBK" w:cs="Times New Roman"/>
          <w:color w:val="auto"/>
          <w:kern w:val="2"/>
          <w:sz w:val="32"/>
          <w:szCs w:val="32"/>
          <w:highlight w:val="none"/>
          <w:lang w:val="en-US" w:eastAsia="zh-CN" w:bidi="ar-SA"/>
        </w:rPr>
        <w:t>力度</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对事故</w:t>
      </w:r>
      <w:r>
        <w:rPr>
          <w:rFonts w:hint="eastAsia" w:ascii="Times New Roman" w:hAnsi="Times New Roman" w:eastAsia="方正仿宋_GBK" w:cs="Times New Roman"/>
          <w:color w:val="auto"/>
          <w:kern w:val="2"/>
          <w:sz w:val="32"/>
          <w:szCs w:val="32"/>
          <w:highlight w:val="none"/>
          <w:lang w:val="en-US" w:eastAsia="zh-CN" w:bidi="ar-SA"/>
        </w:rPr>
        <w:t>相关</w:t>
      </w:r>
      <w:r>
        <w:rPr>
          <w:rFonts w:hint="default" w:ascii="Times New Roman" w:hAnsi="Times New Roman" w:eastAsia="方正仿宋_GBK" w:cs="Times New Roman"/>
          <w:color w:val="auto"/>
          <w:kern w:val="2"/>
          <w:sz w:val="32"/>
          <w:szCs w:val="32"/>
          <w:highlight w:val="none"/>
          <w:lang w:val="en-US" w:eastAsia="zh-CN" w:bidi="ar-SA"/>
        </w:rPr>
        <w:t>项目（矿业医院）开展综合检查2次，发现</w:t>
      </w:r>
      <w:r>
        <w:rPr>
          <w:rFonts w:hint="eastAsia" w:ascii="Times New Roman" w:hAnsi="Times New Roman" w:eastAsia="方正仿宋_GBK" w:cs="Times New Roman"/>
          <w:color w:val="auto"/>
          <w:kern w:val="2"/>
          <w:sz w:val="32"/>
          <w:szCs w:val="32"/>
          <w:highlight w:val="none"/>
          <w:lang w:val="en-US" w:eastAsia="zh-CN" w:bidi="ar-SA"/>
        </w:rPr>
        <w:t>7</w:t>
      </w:r>
      <w:r>
        <w:rPr>
          <w:rFonts w:hint="default" w:ascii="Times New Roman" w:hAnsi="Times New Roman" w:eastAsia="方正仿宋_GBK" w:cs="Times New Roman"/>
          <w:color w:val="auto"/>
          <w:kern w:val="2"/>
          <w:sz w:val="32"/>
          <w:szCs w:val="32"/>
          <w:highlight w:val="none"/>
          <w:lang w:val="en-US" w:eastAsia="zh-CN" w:bidi="ar-SA"/>
        </w:rPr>
        <w:t>项</w:t>
      </w:r>
      <w:r>
        <w:rPr>
          <w:rFonts w:hint="eastAsia" w:ascii="Times New Roman" w:hAnsi="Times New Roman" w:eastAsia="方正仿宋_GBK" w:cs="Times New Roman"/>
          <w:color w:val="auto"/>
          <w:kern w:val="2"/>
          <w:sz w:val="32"/>
          <w:szCs w:val="32"/>
          <w:highlight w:val="none"/>
          <w:lang w:val="en-US" w:eastAsia="zh-CN" w:bidi="ar-SA"/>
        </w:rPr>
        <w:t>隐患，已督促整改完毕</w:t>
      </w:r>
      <w:r>
        <w:rPr>
          <w:rFonts w:hint="default" w:ascii="Times New Roman" w:hAnsi="Times New Roman" w:eastAsia="方正仿宋_GBK" w:cs="Times New Roman"/>
          <w:color w:val="auto"/>
          <w:kern w:val="2"/>
          <w:sz w:val="32"/>
          <w:szCs w:val="32"/>
          <w:highlight w:val="none"/>
          <w:lang w:val="en-US" w:eastAsia="zh-CN" w:bidi="ar-SA"/>
        </w:rPr>
        <w:t>；开展安全隐患全链条整治</w:t>
      </w:r>
      <w:r>
        <w:rPr>
          <w:rFonts w:hint="eastAsia" w:ascii="Times New Roman" w:hAnsi="Times New Roman" w:eastAsia="方正仿宋_GBK" w:cs="Times New Roman"/>
          <w:color w:val="auto"/>
          <w:kern w:val="2"/>
          <w:sz w:val="32"/>
          <w:szCs w:val="32"/>
          <w:highlight w:val="none"/>
          <w:lang w:val="en-US" w:eastAsia="zh-CN" w:bidi="ar-SA"/>
        </w:rPr>
        <w:t>行动</w:t>
      </w:r>
      <w:r>
        <w:rPr>
          <w:rFonts w:hint="default" w:ascii="Times New Roman" w:hAnsi="Times New Roman" w:eastAsia="方正仿宋_GBK" w:cs="Times New Roman"/>
          <w:color w:val="auto"/>
          <w:kern w:val="2"/>
          <w:sz w:val="32"/>
          <w:szCs w:val="32"/>
          <w:highlight w:val="none"/>
          <w:lang w:val="en-US" w:eastAsia="zh-CN" w:bidi="ar-SA"/>
        </w:rPr>
        <w:t>3次，编制事故复盘分析报告1份，完成安全生产月工作总结1次，推动辖区施工单位提升</w:t>
      </w:r>
      <w:r>
        <w:rPr>
          <w:rFonts w:hint="eastAsia" w:ascii="Times New Roman" w:hAnsi="Times New Roman" w:eastAsia="方正仿宋_GBK" w:cs="Times New Roman"/>
          <w:color w:val="auto"/>
          <w:kern w:val="2"/>
          <w:sz w:val="32"/>
          <w:szCs w:val="32"/>
          <w:highlight w:val="none"/>
          <w:lang w:val="en-US" w:eastAsia="zh-CN" w:bidi="ar-SA"/>
        </w:rPr>
        <w:t>从业人员</w:t>
      </w:r>
      <w:r>
        <w:rPr>
          <w:rFonts w:hint="default" w:ascii="Times New Roman" w:hAnsi="Times New Roman" w:eastAsia="方正仿宋_GBK" w:cs="Times New Roman"/>
          <w:color w:val="auto"/>
          <w:kern w:val="2"/>
          <w:sz w:val="32"/>
          <w:szCs w:val="32"/>
          <w:highlight w:val="none"/>
          <w:lang w:val="en-US" w:eastAsia="zh-CN" w:bidi="ar-SA"/>
        </w:rPr>
        <w:t>安全意识和隐患自查自纠能力。</w:t>
      </w:r>
    </w:p>
    <w:p w14:paraId="2E16AFC0">
      <w:pPr>
        <w:pStyle w:val="2"/>
        <w:keepNext w:val="0"/>
        <w:keepLines w:val="0"/>
        <w:pageBreakBefore w:val="0"/>
        <w:widowControl w:val="0"/>
        <w:numPr>
          <w:ilvl w:val="0"/>
          <w:numId w:val="1"/>
        </w:numPr>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楷体_GBK" w:cs="Times New Roman"/>
          <w:i w:val="0"/>
          <w:color w:val="auto"/>
          <w:kern w:val="0"/>
          <w:sz w:val="32"/>
          <w:szCs w:val="32"/>
          <w:highlight w:val="none"/>
          <w:lang w:val="en-US" w:eastAsia="zh-CN" w:bidi="ar"/>
        </w:rPr>
        <w:t>米东区建设局(交通局)</w:t>
      </w:r>
    </w:p>
    <w:p w14:paraId="6D33EBA6">
      <w:pPr>
        <w:pStyle w:val="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事故调查报告要求：米东区建设局(交通局)要进一步加大对施工单位的安全生产检查力度，督促施工、外包外协单位开展隐患排查治理工作，认真落实特种作业持证上岗的要求。</w:t>
      </w:r>
    </w:p>
    <w:p w14:paraId="250F71A4">
      <w:pPr>
        <w:pStyle w:val="10"/>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落实情况：一是加大检查力度</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先后下发中小型机械、车辆机械、叉车安全管理等9份专项通知，将特种作业持证上岗</w:t>
      </w:r>
      <w:r>
        <w:rPr>
          <w:rFonts w:hint="eastAsia" w:ascii="Times New Roman" w:hAnsi="Times New Roman" w:eastAsia="方正仿宋_GBK" w:cs="Times New Roman"/>
          <w:color w:val="auto"/>
          <w:kern w:val="2"/>
          <w:sz w:val="32"/>
          <w:szCs w:val="32"/>
          <w:highlight w:val="none"/>
          <w:lang w:val="en-US" w:eastAsia="zh-CN" w:bidi="ar-SA"/>
        </w:rPr>
        <w:t>情况</w:t>
      </w:r>
      <w:r>
        <w:rPr>
          <w:rFonts w:hint="default" w:ascii="Times New Roman" w:hAnsi="Times New Roman" w:eastAsia="方正仿宋_GBK" w:cs="Times New Roman"/>
          <w:color w:val="auto"/>
          <w:kern w:val="2"/>
          <w:sz w:val="32"/>
          <w:szCs w:val="32"/>
          <w:highlight w:val="none"/>
          <w:lang w:val="en-US" w:eastAsia="zh-CN" w:bidi="ar-SA"/>
        </w:rPr>
        <w:t>列为必查项</w:t>
      </w:r>
      <w:r>
        <w:rPr>
          <w:rFonts w:hint="eastAsia" w:ascii="Times New Roman" w:hAnsi="Times New Roman" w:eastAsia="方正仿宋_GBK" w:cs="Times New Roman"/>
          <w:color w:val="auto"/>
          <w:kern w:val="2"/>
          <w:sz w:val="32"/>
          <w:szCs w:val="32"/>
          <w:highlight w:val="none"/>
          <w:lang w:val="en-US" w:eastAsia="zh-CN" w:bidi="ar-SA"/>
        </w:rPr>
        <w:t>，要求</w:t>
      </w:r>
      <w:r>
        <w:rPr>
          <w:rFonts w:hint="default" w:ascii="Times New Roman" w:hAnsi="Times New Roman" w:eastAsia="方正仿宋_GBK" w:cs="Times New Roman"/>
          <w:color w:val="auto"/>
          <w:kern w:val="2"/>
          <w:sz w:val="32"/>
          <w:szCs w:val="32"/>
          <w:highlight w:val="none"/>
          <w:lang w:val="en-US" w:eastAsia="zh-CN" w:bidi="ar-SA"/>
        </w:rPr>
        <w:t>对主体责任不落实、人员履职不到位、隐患整改不力的项目，采取约谈、扣除企业诚信分、通报、行政处罚等措施。2025年对辖区在建房屋市政工程</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施工、外包外协单位开展常态化检查514次，发现一般隐患1922项，已</w:t>
      </w:r>
      <w:r>
        <w:rPr>
          <w:rFonts w:hint="eastAsia" w:ascii="Times New Roman" w:hAnsi="Times New Roman" w:eastAsia="方正仿宋_GBK" w:cs="Times New Roman"/>
          <w:color w:val="auto"/>
          <w:kern w:val="2"/>
          <w:sz w:val="32"/>
          <w:szCs w:val="32"/>
          <w:highlight w:val="none"/>
          <w:lang w:val="en-US" w:eastAsia="zh-CN" w:bidi="ar-SA"/>
        </w:rPr>
        <w:t>督促</w:t>
      </w:r>
      <w:r>
        <w:rPr>
          <w:rFonts w:hint="default" w:ascii="Times New Roman" w:hAnsi="Times New Roman" w:eastAsia="方正仿宋_GBK" w:cs="Times New Roman"/>
          <w:color w:val="auto"/>
          <w:kern w:val="2"/>
          <w:sz w:val="32"/>
          <w:szCs w:val="32"/>
          <w:highlight w:val="none"/>
          <w:lang w:val="en-US" w:eastAsia="zh-CN" w:bidi="ar-SA"/>
        </w:rPr>
        <w:t>全部整改</w:t>
      </w:r>
      <w:r>
        <w:rPr>
          <w:rFonts w:hint="eastAsia" w:ascii="Times New Roman" w:hAnsi="Times New Roman" w:eastAsia="方正仿宋_GBK" w:cs="Times New Roman"/>
          <w:color w:val="auto"/>
          <w:kern w:val="2"/>
          <w:sz w:val="32"/>
          <w:szCs w:val="32"/>
          <w:highlight w:val="none"/>
          <w:lang w:val="en-US" w:eastAsia="zh-CN" w:bidi="ar-SA"/>
        </w:rPr>
        <w:t>完成。二</w:t>
      </w:r>
      <w:r>
        <w:rPr>
          <w:rFonts w:hint="default" w:ascii="Times New Roman" w:hAnsi="Times New Roman" w:eastAsia="方正仿宋_GBK" w:cs="Times New Roman"/>
          <w:color w:val="auto"/>
          <w:kern w:val="2"/>
          <w:sz w:val="32"/>
          <w:szCs w:val="32"/>
          <w:highlight w:val="none"/>
          <w:lang w:val="en-US" w:eastAsia="zh-CN" w:bidi="ar-SA"/>
        </w:rPr>
        <w:t>是开展</w:t>
      </w:r>
      <w:r>
        <w:rPr>
          <w:rFonts w:hint="eastAsia" w:ascii="Times New Roman" w:hAnsi="Times New Roman" w:eastAsia="方正仿宋_GBK" w:cs="Times New Roman"/>
          <w:color w:val="auto"/>
          <w:kern w:val="2"/>
          <w:sz w:val="32"/>
          <w:szCs w:val="32"/>
          <w:highlight w:val="none"/>
          <w:lang w:val="en-US" w:eastAsia="zh-CN" w:bidi="ar-SA"/>
        </w:rPr>
        <w:t>安全生产相关会议</w:t>
      </w:r>
      <w:r>
        <w:rPr>
          <w:rFonts w:hint="default" w:ascii="Times New Roman" w:hAnsi="Times New Roman" w:eastAsia="方正仿宋_GBK" w:cs="Times New Roman"/>
          <w:color w:val="auto"/>
          <w:kern w:val="2"/>
          <w:sz w:val="32"/>
          <w:szCs w:val="32"/>
          <w:highlight w:val="none"/>
          <w:lang w:val="en-US" w:eastAsia="zh-CN" w:bidi="ar-SA"/>
        </w:rPr>
        <w:t>，全年累计组织召开安全生产和复工复产工作会议</w:t>
      </w:r>
      <w:r>
        <w:rPr>
          <w:rFonts w:hint="eastAsia" w:ascii="Times New Roman" w:hAnsi="Times New Roman" w:eastAsia="方正仿宋_GBK" w:cs="Times New Roman"/>
          <w:color w:val="auto"/>
          <w:kern w:val="2"/>
          <w:sz w:val="32"/>
          <w:szCs w:val="32"/>
          <w:highlight w:val="none"/>
          <w:lang w:val="en-US" w:eastAsia="zh-CN" w:bidi="ar-SA"/>
        </w:rPr>
        <w:t>、</w:t>
      </w:r>
      <w:r>
        <w:rPr>
          <w:rFonts w:hint="default" w:ascii="Times New Roman" w:hAnsi="Times New Roman" w:eastAsia="方正仿宋_GBK" w:cs="Times New Roman"/>
          <w:color w:val="auto"/>
          <w:kern w:val="2"/>
          <w:sz w:val="32"/>
          <w:szCs w:val="32"/>
          <w:highlight w:val="none"/>
          <w:lang w:val="en-US" w:eastAsia="zh-CN" w:bidi="ar-SA"/>
        </w:rPr>
        <w:t>安全生产月观摩会、</w:t>
      </w:r>
      <w:r>
        <w:rPr>
          <w:rFonts w:hint="eastAsia" w:ascii="Times New Roman" w:hAnsi="Times New Roman" w:eastAsia="方正仿宋_GBK" w:cs="Times New Roman"/>
          <w:color w:val="auto"/>
          <w:kern w:val="2"/>
          <w:sz w:val="32"/>
          <w:szCs w:val="32"/>
          <w:highlight w:val="none"/>
          <w:lang w:val="en-US" w:eastAsia="zh-CN" w:bidi="ar-SA"/>
        </w:rPr>
        <w:t>安全教育</w:t>
      </w:r>
      <w:r>
        <w:rPr>
          <w:rFonts w:hint="default" w:ascii="Times New Roman" w:hAnsi="Times New Roman" w:eastAsia="方正仿宋_GBK" w:cs="Times New Roman"/>
          <w:color w:val="auto"/>
          <w:kern w:val="2"/>
          <w:sz w:val="32"/>
          <w:szCs w:val="32"/>
          <w:highlight w:val="none"/>
          <w:lang w:val="en-US" w:eastAsia="zh-CN" w:bidi="ar-SA"/>
        </w:rPr>
        <w:t>视频会、现场警示教育会共6次</w:t>
      </w:r>
      <w:r>
        <w:rPr>
          <w:rFonts w:hint="eastAsia" w:ascii="Times New Roman" w:hAnsi="Times New Roman" w:eastAsia="方正仿宋_GBK" w:cs="Times New Roman"/>
          <w:color w:val="auto"/>
          <w:kern w:val="2"/>
          <w:sz w:val="32"/>
          <w:szCs w:val="32"/>
          <w:highlight w:val="none"/>
          <w:lang w:val="en-US" w:eastAsia="zh-CN" w:bidi="ar-SA"/>
        </w:rPr>
        <w:t>，共700余人次参加，进一步督促施工单位</w:t>
      </w:r>
      <w:r>
        <w:rPr>
          <w:rFonts w:hint="default" w:ascii="Times New Roman" w:hAnsi="Times New Roman" w:eastAsia="方正仿宋_GBK" w:cs="Times New Roman"/>
          <w:color w:val="auto"/>
          <w:kern w:val="2"/>
          <w:sz w:val="32"/>
          <w:szCs w:val="32"/>
          <w:highlight w:val="none"/>
          <w:lang w:val="en-US" w:eastAsia="zh-CN" w:bidi="ar-SA"/>
        </w:rPr>
        <w:t>落实项目经理每周带队排查</w:t>
      </w:r>
      <w:r>
        <w:rPr>
          <w:rFonts w:hint="eastAsia" w:ascii="Times New Roman" w:hAnsi="Times New Roman" w:eastAsia="方正仿宋_GBK" w:cs="Times New Roman"/>
          <w:color w:val="auto"/>
          <w:kern w:val="2"/>
          <w:sz w:val="32"/>
          <w:szCs w:val="32"/>
          <w:highlight w:val="none"/>
          <w:lang w:val="en-US" w:eastAsia="zh-CN" w:bidi="ar-SA"/>
        </w:rPr>
        <w:t>、特种作业人员持证上岗、</w:t>
      </w:r>
      <w:r>
        <w:rPr>
          <w:rFonts w:hint="default" w:ascii="Times New Roman" w:hAnsi="Times New Roman" w:eastAsia="方正仿宋_GBK" w:cs="Times New Roman"/>
          <w:color w:val="auto"/>
          <w:kern w:val="2"/>
          <w:sz w:val="32"/>
          <w:szCs w:val="32"/>
          <w:highlight w:val="none"/>
          <w:lang w:val="en-US" w:eastAsia="zh-CN" w:bidi="ar-SA"/>
        </w:rPr>
        <w:t>工人三级安全教育、入场体检及超龄人员禁入等制度。</w:t>
      </w:r>
    </w:p>
    <w:p w14:paraId="2994DF5C">
      <w:pPr>
        <w:pStyle w:val="10"/>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w:t>
      </w:r>
      <w:r>
        <w:rPr>
          <w:rFonts w:hint="eastAsia" w:ascii="Times New Roman" w:hAnsi="Times New Roman" w:eastAsia="方正楷体_GBK" w:cs="Times New Roman"/>
          <w:color w:val="auto"/>
          <w:kern w:val="0"/>
          <w:sz w:val="32"/>
          <w:szCs w:val="32"/>
          <w:highlight w:val="none"/>
          <w:lang w:val="en-US" w:eastAsia="zh-CN" w:bidi="ar"/>
        </w:rPr>
        <w:t>三</w:t>
      </w:r>
      <w:r>
        <w:rPr>
          <w:rFonts w:hint="default" w:ascii="Times New Roman" w:hAnsi="Times New Roman" w:eastAsia="方正楷体_GBK" w:cs="Times New Roman"/>
          <w:color w:val="auto"/>
          <w:kern w:val="0"/>
          <w:sz w:val="32"/>
          <w:szCs w:val="32"/>
          <w:highlight w:val="none"/>
          <w:lang w:val="en-US" w:eastAsia="zh-CN" w:bidi="ar"/>
        </w:rPr>
        <w:t>）米东区市场监督管理局</w:t>
      </w:r>
    </w:p>
    <w:p w14:paraId="63EC83B7">
      <w:pPr>
        <w:pStyle w:val="6"/>
        <w:keepNext w:val="0"/>
        <w:keepLines w:val="0"/>
        <w:pageBreakBefore w:val="0"/>
        <w:kinsoku/>
        <w:wordWrap/>
        <w:overflowPunct/>
        <w:topLinePunct w:val="0"/>
        <w:autoSpaceDE/>
        <w:autoSpaceDN/>
        <w:bidi w:val="0"/>
        <w:adjustRightInd/>
        <w:spacing w:line="560" w:lineRule="exact"/>
        <w:ind w:left="0" w:leftChars="0"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事故调查报告要求：</w:t>
      </w:r>
      <w:r>
        <w:rPr>
          <w:rFonts w:hint="default" w:ascii="Times New Roman" w:hAnsi="Times New Roman" w:eastAsia="方正仿宋_GBK" w:cs="Times New Roman"/>
          <w:sz w:val="32"/>
          <w:szCs w:val="32"/>
          <w:lang w:val="en-US" w:eastAsia="zh-CN"/>
        </w:rPr>
        <w:t>米东区市场监督管理局举一反三要加大对特种设备的安全管理工作，进一步加大特种设备操作人员持证上岗的监管力度。</w:t>
      </w:r>
    </w:p>
    <w:p w14:paraId="59FA5AF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落实情况：一是重点领域专项整治</w:t>
      </w:r>
      <w:r>
        <w:rPr>
          <w:rFonts w:hint="eastAsia" w:ascii="Times New Roman" w:hAnsi="Times New Roman" w:eastAsia="方正仿宋_GBK" w:cs="Times New Roman"/>
          <w:color w:val="auto"/>
          <w:sz w:val="32"/>
          <w:szCs w:val="32"/>
          <w:highlight w:val="none"/>
          <w:lang w:val="en-US" w:eastAsia="zh-CN"/>
        </w:rPr>
        <w:t>方面，</w:t>
      </w:r>
      <w:r>
        <w:rPr>
          <w:rFonts w:hint="default" w:ascii="Times New Roman" w:hAnsi="Times New Roman" w:eastAsia="方正仿宋_GBK" w:cs="Times New Roman"/>
          <w:sz w:val="32"/>
          <w:szCs w:val="32"/>
          <w:lang w:val="en-US" w:eastAsia="zh-CN"/>
        </w:rPr>
        <w:t>区市</w:t>
      </w:r>
      <w:r>
        <w:rPr>
          <w:rFonts w:hint="eastAsia" w:ascii="Times New Roman" w:hAnsi="Times New Roman" w:eastAsia="方正仿宋_GBK" w:cs="Times New Roman"/>
          <w:sz w:val="32"/>
          <w:szCs w:val="32"/>
          <w:lang w:val="en-US" w:eastAsia="zh-CN"/>
        </w:rPr>
        <w:t>监</w:t>
      </w:r>
      <w:r>
        <w:rPr>
          <w:rFonts w:hint="default" w:ascii="Times New Roman" w:hAnsi="Times New Roman" w:eastAsia="方正仿宋_GBK" w:cs="Times New Roman"/>
          <w:sz w:val="32"/>
          <w:szCs w:val="32"/>
          <w:lang w:val="en-US" w:eastAsia="zh-CN"/>
        </w:rPr>
        <w:t>局</w:t>
      </w:r>
      <w:r>
        <w:rPr>
          <w:rFonts w:hint="default" w:ascii="Times New Roman" w:hAnsi="Times New Roman" w:eastAsia="方正仿宋_GBK" w:cs="Times New Roman"/>
          <w:color w:val="auto"/>
          <w:sz w:val="32"/>
          <w:szCs w:val="32"/>
          <w:highlight w:val="none"/>
          <w:lang w:val="en-US" w:eastAsia="zh-CN"/>
        </w:rPr>
        <w:t>制定化工工业园区特种设备专项检查方案，组织8个检查组对771家使用单位全覆盖排查，</w:t>
      </w:r>
      <w:r>
        <w:rPr>
          <w:rFonts w:hint="eastAsia" w:ascii="Times New Roman" w:hAnsi="Times New Roman" w:eastAsia="方正仿宋_GBK" w:cs="Times New Roman"/>
          <w:color w:val="auto"/>
          <w:sz w:val="32"/>
          <w:szCs w:val="32"/>
          <w:highlight w:val="none"/>
          <w:lang w:val="en-US" w:eastAsia="zh-CN"/>
        </w:rPr>
        <w:t>针对特种设备隐患共发现并督促企业</w:t>
      </w:r>
      <w:r>
        <w:rPr>
          <w:rFonts w:hint="default" w:ascii="Times New Roman" w:hAnsi="Times New Roman" w:eastAsia="方正仿宋_GBK" w:cs="Times New Roman"/>
          <w:color w:val="auto"/>
          <w:sz w:val="32"/>
          <w:szCs w:val="32"/>
          <w:highlight w:val="none"/>
          <w:lang w:val="en-US" w:eastAsia="zh-CN"/>
        </w:rPr>
        <w:t>整改隐患1530条；配合自治区督导组检查化工园企业967家，</w:t>
      </w:r>
      <w:r>
        <w:rPr>
          <w:rFonts w:hint="eastAsia" w:ascii="Times New Roman" w:hAnsi="Times New Roman" w:eastAsia="方正仿宋_GBK" w:cs="Times New Roman"/>
          <w:color w:val="auto"/>
          <w:sz w:val="32"/>
          <w:szCs w:val="32"/>
          <w:highlight w:val="none"/>
          <w:lang w:val="en-US" w:eastAsia="zh-CN"/>
        </w:rPr>
        <w:t>针对特种设备隐患共发现并督促企业完成</w:t>
      </w:r>
      <w:r>
        <w:rPr>
          <w:rFonts w:hint="default" w:ascii="Times New Roman" w:hAnsi="Times New Roman" w:eastAsia="方正仿宋_GBK" w:cs="Times New Roman"/>
          <w:color w:val="auto"/>
          <w:sz w:val="32"/>
          <w:szCs w:val="32"/>
          <w:highlight w:val="none"/>
          <w:lang w:val="en-US" w:eastAsia="zh-CN"/>
        </w:rPr>
        <w:t>整改827条。聚焦新华凌市场叉车流动性强、持证率低等问题，检查设备763台次，下达监察指令书31份，立案16起，现场协调检验、办理使用登记，并帮助无证作业人员参加取证考试，推动操作人员持证上岗。二是从严行政执法</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sz w:val="32"/>
          <w:szCs w:val="32"/>
          <w:lang w:val="en-US" w:eastAsia="zh-CN"/>
        </w:rPr>
        <w:t>区市</w:t>
      </w:r>
      <w:r>
        <w:rPr>
          <w:rFonts w:hint="eastAsia" w:ascii="Times New Roman" w:hAnsi="Times New Roman" w:eastAsia="方正仿宋_GBK" w:cs="Times New Roman"/>
          <w:sz w:val="32"/>
          <w:szCs w:val="32"/>
          <w:lang w:val="en-US" w:eastAsia="zh-CN"/>
        </w:rPr>
        <w:t>监</w:t>
      </w:r>
      <w:r>
        <w:rPr>
          <w:rFonts w:hint="default" w:ascii="Times New Roman" w:hAnsi="Times New Roman" w:eastAsia="方正仿宋_GBK" w:cs="Times New Roman"/>
          <w:sz w:val="32"/>
          <w:szCs w:val="32"/>
          <w:lang w:val="en-US" w:eastAsia="zh-CN"/>
        </w:rPr>
        <w:t>局</w:t>
      </w:r>
      <w:r>
        <w:rPr>
          <w:rFonts w:hint="default" w:ascii="Times New Roman" w:hAnsi="Times New Roman" w:eastAsia="方正仿宋_GBK" w:cs="Times New Roman"/>
          <w:color w:val="auto"/>
          <w:sz w:val="32"/>
          <w:szCs w:val="32"/>
          <w:highlight w:val="none"/>
          <w:lang w:val="en-US" w:eastAsia="zh-CN"/>
        </w:rPr>
        <w:t>依据《中华人民共和国特种设备安全法》，严厉查处违法违规行为，2025年至今立案查处特种设备案件37起，处罚款28.9万元，规范设备使用和人员持证秩序。三是宣传培训与警示教育</w:t>
      </w:r>
      <w:r>
        <w:rPr>
          <w:rFonts w:hint="eastAsia" w:ascii="Times New Roman" w:hAnsi="Times New Roman" w:eastAsia="方正仿宋_GBK" w:cs="Times New Roman"/>
          <w:color w:val="auto"/>
          <w:sz w:val="32"/>
          <w:szCs w:val="32"/>
          <w:highlight w:val="none"/>
          <w:lang w:val="en-US" w:eastAsia="zh-CN"/>
        </w:rPr>
        <w:t>方面，</w:t>
      </w:r>
      <w:r>
        <w:rPr>
          <w:rFonts w:hint="default" w:ascii="Times New Roman" w:hAnsi="Times New Roman" w:eastAsia="方正仿宋_GBK" w:cs="Times New Roman"/>
          <w:sz w:val="32"/>
          <w:szCs w:val="32"/>
          <w:lang w:val="en-US" w:eastAsia="zh-CN"/>
        </w:rPr>
        <w:t>区市</w:t>
      </w:r>
      <w:r>
        <w:rPr>
          <w:rFonts w:hint="eastAsia" w:ascii="Times New Roman" w:hAnsi="Times New Roman" w:eastAsia="方正仿宋_GBK" w:cs="Times New Roman"/>
          <w:sz w:val="32"/>
          <w:szCs w:val="32"/>
          <w:lang w:val="en-US" w:eastAsia="zh-CN"/>
        </w:rPr>
        <w:t>监</w:t>
      </w:r>
      <w:r>
        <w:rPr>
          <w:rFonts w:hint="default" w:ascii="Times New Roman" w:hAnsi="Times New Roman" w:eastAsia="方正仿宋_GBK" w:cs="Times New Roman"/>
          <w:sz w:val="32"/>
          <w:szCs w:val="32"/>
          <w:lang w:val="en-US" w:eastAsia="zh-CN"/>
        </w:rPr>
        <w:t>局</w:t>
      </w:r>
      <w:r>
        <w:rPr>
          <w:rFonts w:hint="default" w:ascii="Times New Roman" w:hAnsi="Times New Roman" w:eastAsia="方正仿宋_GBK" w:cs="Times New Roman"/>
          <w:color w:val="auto"/>
          <w:sz w:val="32"/>
          <w:szCs w:val="32"/>
          <w:highlight w:val="none"/>
          <w:lang w:val="en-US" w:eastAsia="zh-CN"/>
        </w:rPr>
        <w:t>结合复工复产、“安全生产月”等节点，联合属地街道社区开展集中培训8场次，组织全区特种设备安全专项培训会，对安全专干、使用单位及作业人员培训。</w:t>
      </w:r>
    </w:p>
    <w:p w14:paraId="15438A0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color w:val="auto"/>
          <w:kern w:val="0"/>
          <w:sz w:val="32"/>
          <w:szCs w:val="32"/>
          <w:highlight w:val="none"/>
          <w:lang w:val="en-US" w:eastAsia="zh-CN"/>
        </w:rPr>
      </w:pPr>
      <w:r>
        <w:rPr>
          <w:rFonts w:hint="default" w:ascii="Times New Roman" w:hAnsi="Times New Roman" w:eastAsia="方正黑体_GBK" w:cs="Times New Roman"/>
          <w:b w:val="0"/>
          <w:bCs/>
          <w:color w:val="auto"/>
          <w:kern w:val="0"/>
          <w:sz w:val="32"/>
          <w:szCs w:val="32"/>
          <w:highlight w:val="none"/>
          <w:lang w:val="en-US" w:eastAsia="zh-CN"/>
        </w:rPr>
        <w:t>四</w:t>
      </w:r>
      <w:r>
        <w:rPr>
          <w:rFonts w:hint="default" w:ascii="Times New Roman" w:hAnsi="Times New Roman" w:eastAsia="方正黑体_GBK" w:cs="Times New Roman"/>
          <w:b w:val="0"/>
          <w:bCs/>
          <w:color w:val="auto"/>
          <w:kern w:val="0"/>
          <w:sz w:val="32"/>
          <w:szCs w:val="32"/>
          <w:highlight w:val="none"/>
        </w:rPr>
        <w:t>、</w:t>
      </w:r>
      <w:r>
        <w:rPr>
          <w:rFonts w:hint="default" w:ascii="Times New Roman" w:hAnsi="Times New Roman" w:eastAsia="方正黑体_GBK" w:cs="Times New Roman"/>
          <w:b w:val="0"/>
          <w:bCs/>
          <w:color w:val="auto"/>
          <w:kern w:val="0"/>
          <w:sz w:val="32"/>
          <w:szCs w:val="32"/>
          <w:highlight w:val="none"/>
          <w:lang w:val="en-US" w:eastAsia="zh-CN"/>
        </w:rPr>
        <w:t>总体</w:t>
      </w:r>
      <w:r>
        <w:rPr>
          <w:rFonts w:hint="default" w:ascii="Times New Roman" w:hAnsi="Times New Roman" w:eastAsia="方正黑体_GBK" w:cs="Times New Roman"/>
          <w:b w:val="0"/>
          <w:bCs/>
          <w:color w:val="auto"/>
          <w:kern w:val="0"/>
          <w:sz w:val="32"/>
          <w:szCs w:val="32"/>
          <w:highlight w:val="none"/>
        </w:rPr>
        <w:t>评估意见</w:t>
      </w:r>
    </w:p>
    <w:p w14:paraId="3DCE092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评估组</w:t>
      </w:r>
      <w:r>
        <w:rPr>
          <w:rFonts w:hint="default" w:ascii="Times New Roman" w:hAnsi="Times New Roman" w:eastAsia="方正仿宋_GBK" w:cs="Times New Roman"/>
          <w:kern w:val="2"/>
          <w:sz w:val="32"/>
          <w:szCs w:val="32"/>
          <w:lang w:val="en-US" w:eastAsia="zh-CN" w:bidi="ar-SA"/>
        </w:rPr>
        <w:t>对</w:t>
      </w:r>
      <w:r>
        <w:rPr>
          <w:rFonts w:hint="default" w:ascii="Times New Roman" w:hAnsi="Times New Roman" w:eastAsia="方正仿宋_GBK" w:cs="Times New Roman"/>
          <w:color w:val="auto"/>
          <w:sz w:val="32"/>
          <w:szCs w:val="32"/>
          <w:highlight w:val="none"/>
          <w:lang w:val="en-US" w:eastAsia="zh-CN"/>
        </w:rPr>
        <w:t>米东地磅呼图壁县大丰镇赵前军运输中心“4·16”一般车辆伤害事故</w:t>
      </w:r>
      <w:r>
        <w:rPr>
          <w:rFonts w:hint="default" w:ascii="Times New Roman" w:hAnsi="Times New Roman" w:eastAsia="方正仿宋_GBK" w:cs="Times New Roman"/>
          <w:kern w:val="2"/>
          <w:sz w:val="32"/>
          <w:szCs w:val="32"/>
          <w:lang w:val="en-US" w:eastAsia="zh-CN" w:bidi="ar-SA"/>
        </w:rPr>
        <w:t>防范与整</w:t>
      </w:r>
      <w:r>
        <w:rPr>
          <w:rFonts w:hint="default" w:ascii="Times New Roman" w:hAnsi="Times New Roman" w:eastAsia="方正仿宋_GBK" w:cs="Times New Roman"/>
          <w:color w:val="auto"/>
          <w:sz w:val="32"/>
          <w:szCs w:val="32"/>
          <w:highlight w:val="none"/>
          <w:lang w:val="en-US" w:eastAsia="zh-CN"/>
        </w:rPr>
        <w:t>改措施落实情况进行评估。评估组查阅了相关资料，检查整改落实情况，对</w:t>
      </w:r>
      <w:r>
        <w:rPr>
          <w:rFonts w:hint="eastAsia" w:ascii="Times New Roman" w:hAnsi="Times New Roman" w:eastAsia="方正仿宋_GBK" w:cs="Times New Roman"/>
          <w:color w:val="auto"/>
          <w:sz w:val="32"/>
          <w:szCs w:val="32"/>
          <w:highlight w:val="none"/>
          <w:lang w:val="en-US" w:eastAsia="zh-CN"/>
        </w:rPr>
        <w:t>相关</w:t>
      </w:r>
      <w:r>
        <w:rPr>
          <w:rFonts w:hint="default" w:ascii="Times New Roman" w:hAnsi="Times New Roman" w:eastAsia="方正仿宋_GBK" w:cs="Times New Roman"/>
          <w:color w:val="auto"/>
          <w:sz w:val="32"/>
          <w:szCs w:val="32"/>
          <w:highlight w:val="none"/>
          <w:lang w:val="en-US" w:eastAsia="zh-CN"/>
        </w:rPr>
        <w:t>单位的</w:t>
      </w:r>
      <w:r>
        <w:rPr>
          <w:rFonts w:hint="eastAsia" w:ascii="Times New Roman" w:hAnsi="Times New Roman" w:eastAsia="方正仿宋_GBK" w:cs="Times New Roman"/>
          <w:color w:val="auto"/>
          <w:sz w:val="32"/>
          <w:szCs w:val="32"/>
          <w:highlight w:val="none"/>
          <w:lang w:val="en-US" w:eastAsia="zh-CN"/>
        </w:rPr>
        <w:t>事故防范和整改措施</w:t>
      </w:r>
      <w:r>
        <w:rPr>
          <w:rFonts w:hint="default" w:ascii="Times New Roman" w:hAnsi="Times New Roman" w:eastAsia="方正仿宋_GBK" w:cs="Times New Roman"/>
          <w:color w:val="auto"/>
          <w:sz w:val="32"/>
          <w:szCs w:val="32"/>
          <w:highlight w:val="none"/>
          <w:lang w:val="en-US" w:eastAsia="zh-CN"/>
        </w:rPr>
        <w:t>等方面情况进行核查。</w:t>
      </w:r>
      <w:r>
        <w:rPr>
          <w:rFonts w:hint="eastAsia" w:ascii="Times New Roman" w:hAnsi="Times New Roman" w:eastAsia="方正仿宋_GBK" w:cs="Times New Roman"/>
          <w:color w:val="auto"/>
          <w:sz w:val="32"/>
          <w:szCs w:val="32"/>
          <w:highlight w:val="none"/>
          <w:lang w:val="en-US" w:eastAsia="zh-CN"/>
        </w:rPr>
        <w:t>相关单位</w:t>
      </w:r>
      <w:r>
        <w:rPr>
          <w:rFonts w:hint="default" w:ascii="Times New Roman" w:hAnsi="Times New Roman" w:eastAsia="方正仿宋_GBK" w:cs="Times New Roman"/>
          <w:color w:val="auto"/>
          <w:sz w:val="32"/>
          <w:szCs w:val="32"/>
          <w:highlight w:val="none"/>
          <w:lang w:val="en-US" w:eastAsia="zh-CN"/>
        </w:rPr>
        <w:t>能够按照事故批复要求，对照事故调查报告指出的主要问题和措施建议整改落实到位。</w:t>
      </w:r>
    </w:p>
    <w:p w14:paraId="444803D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黑体_GBK" w:cs="Times New Roman"/>
          <w:b w:val="0"/>
          <w:bCs/>
          <w:color w:val="auto"/>
          <w:kern w:val="0"/>
          <w:sz w:val="32"/>
          <w:szCs w:val="32"/>
          <w:highlight w:val="none"/>
          <w:lang w:val="en-US" w:eastAsia="zh-CN"/>
        </w:rPr>
      </w:pPr>
      <w:r>
        <w:rPr>
          <w:rFonts w:hint="default" w:ascii="Times New Roman" w:hAnsi="Times New Roman" w:eastAsia="方正黑体_GBK" w:cs="Times New Roman"/>
          <w:b w:val="0"/>
          <w:bCs/>
          <w:color w:val="auto"/>
          <w:kern w:val="0"/>
          <w:sz w:val="32"/>
          <w:szCs w:val="32"/>
          <w:highlight w:val="none"/>
          <w:lang w:val="en-US" w:eastAsia="zh-CN"/>
        </w:rPr>
        <w:t xml:space="preserve">五、工作建议      </w:t>
      </w:r>
    </w:p>
    <w:p w14:paraId="05266C6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建议呼图壁县大丰镇赵前军运输中心深刻汲取事故教训，筑牢现场作业安全防线，夯实主体责任。</w:t>
      </w:r>
    </w:p>
    <w:p w14:paraId="61927DCA">
      <w:pPr>
        <w:pStyle w:val="8"/>
        <w:keepNext w:val="0"/>
        <w:keepLines w:val="0"/>
        <w:pageBreakBefore w:val="0"/>
        <w:overflowPunct/>
        <w:topLinePunct w:val="0"/>
        <w:bidi w:val="0"/>
        <w:spacing w:after="0" w:line="560" w:lineRule="exact"/>
        <w:rPr>
          <w:rFonts w:hint="default" w:ascii="Times New Roman" w:hAnsi="Times New Roman" w:eastAsia="方正仿宋_GBK" w:cs="Times New Roman"/>
          <w:color w:val="auto"/>
          <w:sz w:val="32"/>
          <w:szCs w:val="32"/>
          <w:highlight w:val="none"/>
          <w:lang w:val="en-US" w:eastAsia="zh-CN"/>
        </w:rPr>
      </w:pPr>
    </w:p>
    <w:p w14:paraId="38F5316A">
      <w:pPr>
        <w:pStyle w:val="7"/>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附件：1.</w:t>
      </w:r>
      <w:r>
        <w:rPr>
          <w:rFonts w:hint="default" w:ascii="Times New Roman" w:hAnsi="Times New Roman" w:eastAsia="方正仿宋_GBK" w:cs="Times New Roman"/>
          <w:color w:val="auto"/>
          <w:sz w:val="32"/>
          <w:szCs w:val="32"/>
          <w:highlight w:val="none"/>
          <w:lang w:val="en-US" w:eastAsia="zh-CN"/>
        </w:rPr>
        <w:t>米东地磅呼图壁县大丰镇赵前军运输中心“4·16”一般车辆伤害事故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防范整改措施和责任追究落实情况问题清单</w:t>
      </w:r>
    </w:p>
    <w:p w14:paraId="3BE706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2.</w:t>
      </w:r>
      <w:r>
        <w:rPr>
          <w:rFonts w:hint="default" w:ascii="Times New Roman" w:hAnsi="Times New Roman" w:eastAsia="方正仿宋_GBK" w:cs="Times New Roman"/>
          <w:color w:val="auto"/>
          <w:sz w:val="32"/>
          <w:szCs w:val="32"/>
          <w:highlight w:val="none"/>
          <w:lang w:val="en-US" w:eastAsia="zh-CN"/>
        </w:rPr>
        <w:t>米东地磅呼图壁县大丰镇赵前军运输中心“4·16”一般车辆伤害事故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防范整改措施和责任追究落实情况评估工作建议清单</w:t>
      </w:r>
    </w:p>
    <w:p w14:paraId="27BA32B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3.</w:t>
      </w:r>
      <w:r>
        <w:rPr>
          <w:rFonts w:hint="default" w:ascii="Times New Roman" w:hAnsi="Times New Roman" w:eastAsia="方正仿宋_GBK" w:cs="Times New Roman"/>
          <w:color w:val="auto"/>
          <w:sz w:val="32"/>
          <w:szCs w:val="32"/>
          <w:highlight w:val="none"/>
          <w:lang w:val="en-US" w:eastAsia="zh-CN"/>
        </w:rPr>
        <w:t>米东地磅呼图壁县大丰镇赵前军运输中心“4·16”一般车辆伤害事故</w:t>
      </w:r>
      <w:r>
        <w:rPr>
          <w:rFonts w:hint="default" w:ascii="Times New Roman" w:hAnsi="Times New Roman" w:eastAsia="方正仿宋_GBK" w:cs="Times New Roman"/>
          <w:color w:val="auto"/>
          <w:kern w:val="2"/>
          <w:sz w:val="32"/>
          <w:szCs w:val="32"/>
          <w:highlight w:val="none"/>
          <w:lang w:val="en-US" w:eastAsia="zh-CN" w:bidi="ar-SA"/>
        </w:rPr>
        <w:t>防范整改措施和责任追究落实情况评估经验做法清单</w:t>
      </w:r>
    </w:p>
    <w:p w14:paraId="5DC631BE">
      <w:pPr>
        <w:pStyle w:val="7"/>
        <w:rPr>
          <w:rFonts w:hint="default" w:ascii="Times New Roman" w:hAnsi="Times New Roman" w:eastAsia="方正仿宋_GBK" w:cs="Times New Roman"/>
          <w:color w:val="auto"/>
          <w:sz w:val="32"/>
          <w:szCs w:val="32"/>
          <w:highlight w:val="none"/>
          <w:lang w:val="en-US" w:eastAsia="zh-CN"/>
        </w:rPr>
      </w:pPr>
    </w:p>
    <w:p w14:paraId="569C9E28">
      <w:pPr>
        <w:rPr>
          <w:rFonts w:hint="default"/>
          <w:lang w:val="en-US" w:eastAsia="zh-CN"/>
        </w:rPr>
      </w:pPr>
    </w:p>
    <w:p w14:paraId="059AEDB4">
      <w:pPr>
        <w:pStyle w:val="2"/>
        <w:rPr>
          <w:rFonts w:hint="default"/>
          <w:lang w:val="en-US" w:eastAsia="zh-CN"/>
        </w:rPr>
      </w:pPr>
    </w:p>
    <w:p w14:paraId="1D81091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3194" w:leftChars="1216" w:hanging="640" w:hangingChars="200"/>
        <w:jc w:val="left"/>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color w:val="auto"/>
          <w:sz w:val="32"/>
          <w:szCs w:val="32"/>
          <w:highlight w:val="none"/>
          <w:lang w:val="en-US" w:eastAsia="zh-CN"/>
        </w:rPr>
        <w:t>米东地磅呼图壁县大丰镇赵前军运输中心“4·16”一般车辆伤害事故</w:t>
      </w:r>
      <w:r>
        <w:rPr>
          <w:rFonts w:hint="default" w:ascii="Times New Roman" w:hAnsi="Times New Roman" w:eastAsia="方正仿宋_GBK" w:cs="Times New Roman"/>
          <w:color w:val="auto"/>
          <w:kern w:val="0"/>
          <w:sz w:val="32"/>
          <w:szCs w:val="32"/>
          <w:highlight w:val="none"/>
          <w:lang w:val="en-US" w:eastAsia="zh-CN" w:bidi="ar"/>
        </w:rPr>
        <w:t>防范整改</w:t>
      </w:r>
    </w:p>
    <w:p w14:paraId="24F850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3192" w:leftChars="1520" w:firstLine="0" w:firstLineChars="0"/>
        <w:jc w:val="left"/>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color w:val="auto"/>
          <w:kern w:val="0"/>
          <w:sz w:val="32"/>
          <w:szCs w:val="32"/>
          <w:highlight w:val="none"/>
          <w:lang w:val="en-US" w:eastAsia="zh-CN" w:bidi="ar"/>
        </w:rPr>
        <w:t>措施</w:t>
      </w:r>
      <w:r>
        <w:rPr>
          <w:rFonts w:hint="eastAsia" w:ascii="Times New Roman" w:hAnsi="Times New Roman" w:eastAsia="方正仿宋_GBK" w:cs="Times New Roman"/>
          <w:color w:val="auto"/>
          <w:kern w:val="0"/>
          <w:sz w:val="32"/>
          <w:szCs w:val="32"/>
          <w:highlight w:val="none"/>
          <w:lang w:val="en-US" w:eastAsia="zh-CN" w:bidi="ar"/>
        </w:rPr>
        <w:t>和责任追究</w:t>
      </w:r>
      <w:r>
        <w:rPr>
          <w:rFonts w:hint="default" w:ascii="Times New Roman" w:hAnsi="Times New Roman" w:eastAsia="方正仿宋_GBK" w:cs="Times New Roman"/>
          <w:color w:val="auto"/>
          <w:kern w:val="0"/>
          <w:sz w:val="32"/>
          <w:szCs w:val="32"/>
          <w:highlight w:val="none"/>
          <w:lang w:val="en-US" w:eastAsia="zh-CN" w:bidi="ar"/>
        </w:rPr>
        <w:t>落实情况评估组</w:t>
      </w:r>
    </w:p>
    <w:p w14:paraId="016F4C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480" w:firstLineChars="1400"/>
        <w:jc w:val="both"/>
        <w:textAlignment w:val="auto"/>
        <w:rPr>
          <w:rFonts w:hint="default" w:ascii="Times New Roman" w:hAnsi="Times New Roman" w:eastAsia="方正仿宋_GBK" w:cs="Times New Roman"/>
          <w:color w:val="auto"/>
          <w:kern w:val="0"/>
          <w:sz w:val="32"/>
          <w:szCs w:val="32"/>
          <w:highlight w:val="none"/>
          <w:lang w:val="en-US" w:eastAsia="zh-CN" w:bidi="ar"/>
        </w:rPr>
      </w:pPr>
      <w:r>
        <w:rPr>
          <w:rFonts w:hint="default" w:ascii="Times New Roman" w:hAnsi="Times New Roman" w:eastAsia="方正仿宋_GBK" w:cs="Times New Roman"/>
          <w:color w:val="auto"/>
          <w:kern w:val="0"/>
          <w:sz w:val="32"/>
          <w:szCs w:val="32"/>
          <w:highlight w:val="none"/>
          <w:lang w:val="en-US" w:eastAsia="zh-CN" w:bidi="ar"/>
        </w:rPr>
        <w:t>2026年</w:t>
      </w:r>
      <w:r>
        <w:rPr>
          <w:rFonts w:hint="eastAsia" w:ascii="Times New Roman" w:hAnsi="Times New Roman" w:eastAsia="方正仿宋_GBK" w:cs="Times New Roman"/>
          <w:color w:val="auto"/>
          <w:kern w:val="0"/>
          <w:sz w:val="32"/>
          <w:szCs w:val="32"/>
          <w:highlight w:val="none"/>
          <w:lang w:val="en-US" w:eastAsia="zh-CN" w:bidi="ar"/>
        </w:rPr>
        <w:t>8</w:t>
      </w:r>
      <w:r>
        <w:rPr>
          <w:rFonts w:hint="default" w:ascii="Times New Roman" w:hAnsi="Times New Roman" w:eastAsia="方正仿宋_GBK" w:cs="Times New Roman"/>
          <w:color w:val="auto"/>
          <w:kern w:val="0"/>
          <w:sz w:val="32"/>
          <w:szCs w:val="32"/>
          <w:highlight w:val="none"/>
          <w:lang w:val="en-US" w:eastAsia="zh-CN" w:bidi="ar"/>
        </w:rPr>
        <w:t>月</w:t>
      </w:r>
      <w:r>
        <w:rPr>
          <w:rFonts w:hint="eastAsia" w:ascii="Times New Roman" w:hAnsi="Times New Roman" w:eastAsia="方正仿宋_GBK" w:cs="Times New Roman"/>
          <w:color w:val="auto"/>
          <w:kern w:val="0"/>
          <w:sz w:val="32"/>
          <w:szCs w:val="32"/>
          <w:highlight w:val="none"/>
          <w:lang w:val="en-US" w:eastAsia="zh-CN" w:bidi="ar"/>
        </w:rPr>
        <w:t>15</w:t>
      </w:r>
      <w:bookmarkStart w:id="0" w:name="_GoBack"/>
      <w:bookmarkEnd w:id="0"/>
      <w:r>
        <w:rPr>
          <w:rFonts w:hint="default" w:ascii="Times New Roman" w:hAnsi="Times New Roman" w:eastAsia="方正仿宋_GBK" w:cs="Times New Roman"/>
          <w:color w:val="auto"/>
          <w:kern w:val="0"/>
          <w:sz w:val="32"/>
          <w:szCs w:val="32"/>
          <w:highlight w:val="none"/>
          <w:lang w:val="en-US" w:eastAsia="zh-CN" w:bidi="ar"/>
        </w:rPr>
        <w:t>日</w:t>
      </w:r>
    </w:p>
    <w:p w14:paraId="4862C74E">
      <w:pPr>
        <w:keepNext w:val="0"/>
        <w:keepLines w:val="0"/>
        <w:pageBreakBefore w:val="0"/>
        <w:wordWrap/>
        <w:overflowPunct/>
        <w:topLinePunct w:val="0"/>
        <w:bidi w:val="0"/>
        <w:spacing w:line="560" w:lineRule="exact"/>
        <w:rPr>
          <w:rFonts w:hint="default" w:ascii="Times New Roman" w:hAnsi="Times New Roman" w:eastAsia="黑体" w:cs="Times New Roman"/>
          <w:sz w:val="32"/>
          <w:szCs w:val="32"/>
          <w:lang w:val="en-US" w:eastAsia="zh-CN"/>
        </w:rPr>
      </w:pPr>
    </w:p>
    <w:p w14:paraId="333B1967">
      <w:pPr>
        <w:pStyle w:val="2"/>
        <w:rPr>
          <w:rFonts w:hint="default" w:ascii="Times New Roman" w:hAnsi="Times New Roman" w:eastAsia="黑体" w:cs="Times New Roman"/>
          <w:sz w:val="32"/>
          <w:szCs w:val="32"/>
          <w:lang w:val="en-US" w:eastAsia="zh-CN"/>
        </w:rPr>
      </w:pPr>
    </w:p>
    <w:p w14:paraId="123A37BB">
      <w:pPr>
        <w:pStyle w:val="5"/>
        <w:rPr>
          <w:rFonts w:hint="default" w:ascii="Times New Roman" w:hAnsi="Times New Roman" w:eastAsia="黑体" w:cs="Times New Roman"/>
          <w:sz w:val="32"/>
          <w:szCs w:val="32"/>
          <w:lang w:val="en-US" w:eastAsia="zh-CN"/>
        </w:rPr>
      </w:pPr>
    </w:p>
    <w:p w14:paraId="463A7D6E">
      <w:pPr>
        <w:rPr>
          <w:rFonts w:hint="default" w:ascii="Times New Roman" w:hAnsi="Times New Roman" w:eastAsia="黑体" w:cs="Times New Roman"/>
          <w:sz w:val="32"/>
          <w:szCs w:val="32"/>
          <w:lang w:val="en-US" w:eastAsia="zh-CN"/>
        </w:rPr>
      </w:pPr>
    </w:p>
    <w:p w14:paraId="5A0009D7">
      <w:pPr>
        <w:pStyle w:val="2"/>
        <w:rPr>
          <w:rFonts w:hint="default" w:ascii="Times New Roman" w:hAnsi="Times New Roman" w:eastAsia="黑体" w:cs="Times New Roman"/>
          <w:sz w:val="32"/>
          <w:szCs w:val="32"/>
          <w:lang w:val="en-US" w:eastAsia="zh-CN"/>
        </w:rPr>
      </w:pPr>
    </w:p>
    <w:p w14:paraId="4F64BB7E">
      <w:pPr>
        <w:pStyle w:val="5"/>
        <w:rPr>
          <w:rFonts w:hint="default" w:ascii="Times New Roman" w:hAnsi="Times New Roman" w:eastAsia="黑体" w:cs="Times New Roman"/>
          <w:sz w:val="32"/>
          <w:szCs w:val="32"/>
          <w:lang w:val="en-US" w:eastAsia="zh-CN"/>
        </w:rPr>
      </w:pPr>
    </w:p>
    <w:p w14:paraId="370F4B7F">
      <w:pPr>
        <w:rPr>
          <w:rFonts w:hint="default" w:ascii="Times New Roman" w:hAnsi="Times New Roman" w:eastAsia="黑体" w:cs="Times New Roman"/>
          <w:sz w:val="32"/>
          <w:szCs w:val="32"/>
          <w:lang w:val="en-US" w:eastAsia="zh-CN"/>
        </w:rPr>
      </w:pPr>
    </w:p>
    <w:p w14:paraId="3E9F6A7B">
      <w:pPr>
        <w:pStyle w:val="2"/>
        <w:rPr>
          <w:rFonts w:hint="default" w:ascii="Times New Roman" w:hAnsi="Times New Roman" w:eastAsia="黑体" w:cs="Times New Roman"/>
          <w:sz w:val="32"/>
          <w:szCs w:val="32"/>
          <w:lang w:val="en-US" w:eastAsia="zh-CN"/>
        </w:rPr>
      </w:pPr>
    </w:p>
    <w:p w14:paraId="7EF2A67C">
      <w:pPr>
        <w:pStyle w:val="5"/>
        <w:rPr>
          <w:rFonts w:hint="default" w:ascii="Times New Roman" w:hAnsi="Times New Roman" w:eastAsia="黑体" w:cs="Times New Roman"/>
          <w:sz w:val="32"/>
          <w:szCs w:val="32"/>
          <w:lang w:val="en-US" w:eastAsia="zh-CN"/>
        </w:rPr>
      </w:pPr>
    </w:p>
    <w:p w14:paraId="417F6D00">
      <w:pPr>
        <w:rPr>
          <w:rFonts w:hint="default" w:ascii="Times New Roman" w:hAnsi="Times New Roman" w:eastAsia="黑体" w:cs="Times New Roman"/>
          <w:sz w:val="32"/>
          <w:szCs w:val="32"/>
          <w:lang w:val="en-US" w:eastAsia="zh-CN"/>
        </w:rPr>
      </w:pPr>
    </w:p>
    <w:p w14:paraId="00E1A262">
      <w:pPr>
        <w:pStyle w:val="2"/>
        <w:rPr>
          <w:rFonts w:hint="default" w:ascii="Times New Roman" w:hAnsi="Times New Roman" w:eastAsia="黑体" w:cs="Times New Roman"/>
          <w:sz w:val="32"/>
          <w:szCs w:val="32"/>
          <w:lang w:val="en-US" w:eastAsia="zh-CN"/>
        </w:rPr>
      </w:pPr>
    </w:p>
    <w:p w14:paraId="19158050">
      <w:pPr>
        <w:pStyle w:val="5"/>
        <w:rPr>
          <w:rFonts w:hint="default" w:ascii="Times New Roman" w:hAnsi="Times New Roman" w:eastAsia="黑体" w:cs="Times New Roman"/>
          <w:sz w:val="32"/>
          <w:szCs w:val="32"/>
          <w:lang w:val="en-US" w:eastAsia="zh-CN"/>
        </w:rPr>
      </w:pPr>
    </w:p>
    <w:p w14:paraId="631E7B2B">
      <w:pPr>
        <w:rPr>
          <w:rFonts w:hint="default" w:ascii="Times New Roman" w:hAnsi="Times New Roman" w:eastAsia="黑体" w:cs="Times New Roman"/>
          <w:sz w:val="32"/>
          <w:szCs w:val="32"/>
          <w:lang w:val="en-US" w:eastAsia="zh-CN"/>
        </w:rPr>
      </w:pPr>
    </w:p>
    <w:p w14:paraId="0F78FEAC">
      <w:pPr>
        <w:pStyle w:val="2"/>
        <w:rPr>
          <w:rFonts w:hint="default"/>
          <w:lang w:val="en-US" w:eastAsia="zh-CN"/>
        </w:rPr>
      </w:pPr>
    </w:p>
    <w:p w14:paraId="49051815">
      <w:pPr>
        <w:pStyle w:val="2"/>
        <w:rPr>
          <w:rFonts w:hint="default" w:ascii="Times New Roman" w:hAnsi="Times New Roman" w:eastAsia="黑体" w:cs="Times New Roman"/>
          <w:sz w:val="32"/>
          <w:szCs w:val="32"/>
          <w:lang w:val="en-US" w:eastAsia="zh-CN"/>
        </w:rPr>
      </w:pPr>
    </w:p>
    <w:p w14:paraId="6F628CF7">
      <w:pPr>
        <w:keepNext w:val="0"/>
        <w:keepLines w:val="0"/>
        <w:pageBreakBefore w:val="0"/>
        <w:wordWrap/>
        <w:overflowPunct/>
        <w:topLinePunct w:val="0"/>
        <w:bidi w:val="0"/>
        <w:spacing w:line="560" w:lineRule="exact"/>
        <w:rPr>
          <w:rFonts w:hint="default" w:ascii="Times New Roman" w:hAnsi="Times New Roman" w:eastAsia="黑体" w:cs="Times New Roman"/>
          <w:lang w:val="en-US" w:eastAsia="zh-CN"/>
        </w:rPr>
      </w:pPr>
      <w:r>
        <w:rPr>
          <w:rFonts w:hint="default" w:ascii="Times New Roman" w:hAnsi="Times New Roman" w:eastAsia="黑体" w:cs="Times New Roman"/>
          <w:sz w:val="32"/>
          <w:szCs w:val="32"/>
          <w:lang w:val="en-US" w:eastAsia="zh-CN"/>
        </w:rPr>
        <w:t>附件1：</w:t>
      </w:r>
    </w:p>
    <w:p w14:paraId="71C929DF">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b w:val="0"/>
          <w:bCs w:val="0"/>
          <w:spacing w:val="-7"/>
          <w:sz w:val="44"/>
          <w:szCs w:val="44"/>
          <w:lang w:val="en-US" w:eastAsia="zh-CN"/>
        </w:rPr>
        <w:t>米东地磅呼图壁县大丰镇赵前军运输中心“4·16”一般车辆伤害事故</w:t>
      </w:r>
      <w:r>
        <w:rPr>
          <w:rFonts w:hint="default" w:ascii="Times New Roman" w:hAnsi="Times New Roman" w:eastAsia="方正小标宋简体" w:cs="Times New Roman"/>
          <w:b w:val="0"/>
          <w:bCs w:val="0"/>
          <w:spacing w:val="-7"/>
          <w:sz w:val="44"/>
          <w:szCs w:val="44"/>
        </w:rPr>
        <w:t>防范整改措施</w:t>
      </w:r>
    </w:p>
    <w:p w14:paraId="0BAF1940">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9"/>
        </w:rPr>
      </w:pPr>
      <w:r>
        <w:rPr>
          <w:rFonts w:hint="default" w:ascii="Times New Roman" w:hAnsi="Times New Roman" w:eastAsia="方正小标宋简体" w:cs="Times New Roman"/>
          <w:b w:val="0"/>
          <w:bCs w:val="0"/>
          <w:spacing w:val="-7"/>
          <w:sz w:val="44"/>
          <w:szCs w:val="44"/>
        </w:rPr>
        <w:t>和责任追究落实情况</w:t>
      </w:r>
      <w:r>
        <w:rPr>
          <w:rFonts w:hint="default" w:ascii="Times New Roman" w:hAnsi="Times New Roman" w:eastAsia="方正小标宋简体" w:cs="Times New Roman"/>
          <w:w w:val="99"/>
          <w:sz w:val="44"/>
          <w:szCs w:val="44"/>
        </w:rPr>
        <w:t>问题清单</w:t>
      </w: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1931"/>
        <w:gridCol w:w="2270"/>
        <w:gridCol w:w="2127"/>
        <w:gridCol w:w="1283"/>
      </w:tblGrid>
      <w:tr w14:paraId="35355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1" w:type="dxa"/>
          </w:tcPr>
          <w:p w14:paraId="05F60C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1931" w:type="dxa"/>
          </w:tcPr>
          <w:p w14:paraId="1C9E3F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位置</w:t>
            </w:r>
          </w:p>
        </w:tc>
        <w:tc>
          <w:tcPr>
            <w:tcW w:w="2270" w:type="dxa"/>
          </w:tcPr>
          <w:p w14:paraId="16F01A4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问题描述</w:t>
            </w:r>
          </w:p>
        </w:tc>
        <w:tc>
          <w:tcPr>
            <w:tcW w:w="2127" w:type="dxa"/>
          </w:tcPr>
          <w:p w14:paraId="5CA714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照片</w:t>
            </w:r>
          </w:p>
        </w:tc>
        <w:tc>
          <w:tcPr>
            <w:tcW w:w="1283" w:type="dxa"/>
          </w:tcPr>
          <w:p w14:paraId="66B419C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55B15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1" w:type="dxa"/>
          </w:tcPr>
          <w:p w14:paraId="5D93F5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1931" w:type="dxa"/>
          </w:tcPr>
          <w:p w14:paraId="0B9F07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2270" w:type="dxa"/>
          </w:tcPr>
          <w:p w14:paraId="73C9F18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2127" w:type="dxa"/>
          </w:tcPr>
          <w:p w14:paraId="5A3E73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无</w:t>
            </w:r>
          </w:p>
        </w:tc>
        <w:tc>
          <w:tcPr>
            <w:tcW w:w="1283" w:type="dxa"/>
          </w:tcPr>
          <w:p w14:paraId="4804B02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方正仿宋_GBK" w:cs="Times New Roman"/>
                <w:sz w:val="32"/>
                <w:szCs w:val="32"/>
                <w:vertAlign w:val="baseline"/>
              </w:rPr>
            </w:pPr>
          </w:p>
        </w:tc>
      </w:tr>
    </w:tbl>
    <w:p w14:paraId="09AEBEB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方正仿宋_GBK" w:cs="Times New Roman"/>
          <w:sz w:val="32"/>
          <w:szCs w:val="32"/>
          <w:lang w:val="en-US" w:eastAsia="zh-CN"/>
        </w:rPr>
      </w:pPr>
    </w:p>
    <w:p w14:paraId="56C4058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附件2：</w:t>
      </w:r>
    </w:p>
    <w:p w14:paraId="41EB8081">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b w:val="0"/>
          <w:bCs w:val="0"/>
          <w:spacing w:val="-7"/>
          <w:sz w:val="44"/>
          <w:szCs w:val="44"/>
          <w:lang w:val="en-US" w:eastAsia="zh-CN"/>
        </w:rPr>
        <w:t>米东地磅呼图壁县大丰镇赵前军运输中心“4·16”一般车辆伤害事故</w:t>
      </w:r>
      <w:r>
        <w:rPr>
          <w:rFonts w:hint="default" w:ascii="Times New Roman" w:hAnsi="Times New Roman" w:eastAsia="方正小标宋简体" w:cs="Times New Roman"/>
          <w:b w:val="0"/>
          <w:bCs w:val="0"/>
          <w:spacing w:val="-7"/>
          <w:sz w:val="44"/>
          <w:szCs w:val="44"/>
        </w:rPr>
        <w:t>防范整改措施和</w:t>
      </w:r>
    </w:p>
    <w:p w14:paraId="0A0BB427">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5"/>
        </w:rPr>
      </w:pPr>
      <w:r>
        <w:rPr>
          <w:rFonts w:hint="default" w:ascii="Times New Roman" w:hAnsi="Times New Roman" w:eastAsia="方正小标宋简体" w:cs="Times New Roman"/>
          <w:b w:val="0"/>
          <w:bCs w:val="0"/>
          <w:spacing w:val="-7"/>
          <w:sz w:val="44"/>
          <w:szCs w:val="44"/>
        </w:rPr>
        <w:t>责任追究落实情况</w:t>
      </w:r>
      <w:r>
        <w:rPr>
          <w:rFonts w:hint="default" w:ascii="Times New Roman" w:hAnsi="Times New Roman" w:eastAsia="方正小标宋简体" w:cs="Times New Roman"/>
          <w:w w:val="95"/>
          <w:sz w:val="44"/>
          <w:szCs w:val="44"/>
          <w:lang w:val="en-US" w:eastAsia="zh-CN"/>
        </w:rPr>
        <w:t>评估</w:t>
      </w:r>
      <w:r>
        <w:rPr>
          <w:rFonts w:hint="default" w:ascii="Times New Roman" w:hAnsi="Times New Roman" w:eastAsia="方正小标宋简体" w:cs="Times New Roman"/>
          <w:w w:val="95"/>
          <w:sz w:val="44"/>
          <w:szCs w:val="44"/>
          <w:lang w:eastAsia="zh-CN"/>
        </w:rPr>
        <w:t>工作建议</w:t>
      </w:r>
      <w:r>
        <w:rPr>
          <w:rFonts w:hint="default" w:ascii="Times New Roman" w:hAnsi="Times New Roman" w:eastAsia="方正小标宋简体" w:cs="Times New Roman"/>
          <w:w w:val="95"/>
          <w:sz w:val="44"/>
          <w:szCs w:val="44"/>
        </w:rPr>
        <w:t>清单</w:t>
      </w: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6383"/>
        <w:gridCol w:w="1085"/>
      </w:tblGrid>
      <w:tr w14:paraId="746F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7D40B3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6383" w:type="dxa"/>
          </w:tcPr>
          <w:p w14:paraId="51335986">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建议内容</w:t>
            </w:r>
          </w:p>
        </w:tc>
        <w:tc>
          <w:tcPr>
            <w:tcW w:w="1085" w:type="dxa"/>
          </w:tcPr>
          <w:p w14:paraId="01B10EA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323B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14:paraId="40AF62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6383" w:type="dxa"/>
          </w:tcPr>
          <w:p w14:paraId="2360F15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Times New Roman" w:hAnsi="Times New Roman" w:eastAsia="方正仿宋_GBK" w:cs="Times New Roman"/>
                <w:sz w:val="32"/>
                <w:szCs w:val="32"/>
                <w:vertAlign w:val="baseline"/>
                <w:lang w:val="en-US" w:eastAsia="zh-CN"/>
              </w:rPr>
            </w:pPr>
            <w:r>
              <w:rPr>
                <w:rFonts w:hint="eastAsia" w:ascii="Times New Roman" w:hAnsi="Times New Roman" w:eastAsia="方正仿宋_GBK" w:cs="Times New Roman"/>
                <w:sz w:val="32"/>
                <w:szCs w:val="32"/>
                <w:vertAlign w:val="baseline"/>
                <w:lang w:val="en-US" w:eastAsia="zh-CN"/>
              </w:rPr>
              <w:t>无</w:t>
            </w:r>
          </w:p>
        </w:tc>
        <w:tc>
          <w:tcPr>
            <w:tcW w:w="1085" w:type="dxa"/>
          </w:tcPr>
          <w:p w14:paraId="080D53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vertAlign w:val="baseline"/>
              </w:rPr>
            </w:pPr>
          </w:p>
        </w:tc>
      </w:tr>
    </w:tbl>
    <w:p w14:paraId="685E7EE7">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黑体" w:cs="Times New Roman"/>
          <w:sz w:val="44"/>
          <w:szCs w:val="44"/>
          <w:lang w:val="en-US" w:eastAsia="zh-CN"/>
        </w:rPr>
      </w:pPr>
      <w:r>
        <w:rPr>
          <w:rFonts w:hint="default" w:ascii="Times New Roman" w:hAnsi="Times New Roman" w:eastAsia="黑体" w:cs="Times New Roman"/>
          <w:sz w:val="32"/>
          <w:szCs w:val="32"/>
          <w:lang w:val="en-US" w:eastAsia="zh-CN"/>
        </w:rPr>
        <w:t>附件3：</w:t>
      </w:r>
    </w:p>
    <w:p w14:paraId="6BBCBC2B">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b w:val="0"/>
          <w:bCs w:val="0"/>
          <w:spacing w:val="-7"/>
          <w:sz w:val="44"/>
          <w:szCs w:val="44"/>
          <w:lang w:val="en-US" w:eastAsia="zh-CN"/>
        </w:rPr>
        <w:t>米东地磅呼图壁县大丰镇赵前军运输中心“4·16”一般车辆伤害事故</w:t>
      </w:r>
      <w:r>
        <w:rPr>
          <w:rFonts w:hint="default" w:ascii="Times New Roman" w:hAnsi="Times New Roman" w:eastAsia="方正小标宋简体" w:cs="Times New Roman"/>
          <w:b w:val="0"/>
          <w:bCs w:val="0"/>
          <w:spacing w:val="-7"/>
          <w:sz w:val="44"/>
          <w:szCs w:val="44"/>
        </w:rPr>
        <w:t>防范整改措施和</w:t>
      </w:r>
    </w:p>
    <w:p w14:paraId="34FD0F3D">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Times New Roman" w:hAnsi="Times New Roman" w:eastAsia="方正小标宋简体" w:cs="Times New Roman"/>
          <w:w w:val="95"/>
          <w:lang w:val="en-US" w:eastAsia="zh-CN"/>
        </w:rPr>
      </w:pPr>
      <w:r>
        <w:rPr>
          <w:rFonts w:hint="default" w:ascii="Times New Roman" w:hAnsi="Times New Roman" w:eastAsia="方正小标宋简体" w:cs="Times New Roman"/>
          <w:b w:val="0"/>
          <w:bCs w:val="0"/>
          <w:spacing w:val="-7"/>
          <w:sz w:val="44"/>
          <w:szCs w:val="44"/>
        </w:rPr>
        <w:t>责任追究落实情况</w:t>
      </w:r>
      <w:r>
        <w:rPr>
          <w:rFonts w:hint="default" w:ascii="Times New Roman" w:hAnsi="Times New Roman" w:eastAsia="方正小标宋简体" w:cs="Times New Roman"/>
          <w:w w:val="95"/>
          <w:sz w:val="44"/>
          <w:szCs w:val="44"/>
          <w:lang w:val="en-US" w:eastAsia="zh-CN"/>
        </w:rPr>
        <w:t>评估</w:t>
      </w:r>
      <w:r>
        <w:rPr>
          <w:rFonts w:hint="default" w:ascii="Times New Roman" w:hAnsi="Times New Roman" w:eastAsia="方正小标宋简体" w:cs="Times New Roman"/>
          <w:w w:val="95"/>
          <w:sz w:val="44"/>
          <w:szCs w:val="44"/>
          <w:lang w:eastAsia="zh-CN"/>
        </w:rPr>
        <w:t>经验做法</w:t>
      </w:r>
      <w:r>
        <w:rPr>
          <w:rFonts w:hint="default" w:ascii="Times New Roman" w:hAnsi="Times New Roman" w:eastAsia="方正小标宋简体" w:cs="Times New Roman"/>
          <w:w w:val="95"/>
          <w:sz w:val="44"/>
          <w:szCs w:val="44"/>
        </w:rPr>
        <w:t>清单</w:t>
      </w: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2450"/>
        <w:gridCol w:w="3981"/>
        <w:gridCol w:w="1045"/>
      </w:tblGrid>
      <w:tr w14:paraId="2FC2D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046" w:type="dxa"/>
          </w:tcPr>
          <w:p w14:paraId="5FAB22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序号</w:t>
            </w:r>
          </w:p>
        </w:tc>
        <w:tc>
          <w:tcPr>
            <w:tcW w:w="2450" w:type="dxa"/>
          </w:tcPr>
          <w:p w14:paraId="5B8BCC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名称</w:t>
            </w:r>
          </w:p>
        </w:tc>
        <w:tc>
          <w:tcPr>
            <w:tcW w:w="3981" w:type="dxa"/>
          </w:tcPr>
          <w:p w14:paraId="0522F9F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经验描述</w:t>
            </w:r>
          </w:p>
        </w:tc>
        <w:tc>
          <w:tcPr>
            <w:tcW w:w="1045" w:type="dxa"/>
          </w:tcPr>
          <w:p w14:paraId="2DD6A5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bCs/>
                <w:sz w:val="32"/>
                <w:szCs w:val="32"/>
                <w:vertAlign w:val="baseline"/>
                <w:lang w:eastAsia="zh-CN"/>
              </w:rPr>
            </w:pPr>
            <w:r>
              <w:rPr>
                <w:rFonts w:hint="default" w:ascii="Times New Roman" w:hAnsi="Times New Roman" w:eastAsia="方正仿宋_GBK" w:cs="Times New Roman"/>
                <w:b/>
                <w:bCs/>
                <w:sz w:val="32"/>
                <w:szCs w:val="32"/>
                <w:vertAlign w:val="baseline"/>
                <w:lang w:eastAsia="zh-CN"/>
              </w:rPr>
              <w:t>备注</w:t>
            </w:r>
          </w:p>
        </w:tc>
      </w:tr>
      <w:tr w14:paraId="47AC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tcPr>
          <w:p w14:paraId="717AAA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sz w:val="32"/>
                <w:szCs w:val="32"/>
                <w:vertAlign w:val="baseline"/>
                <w:lang w:val="en-US" w:eastAsia="zh-CN"/>
              </w:rPr>
            </w:pPr>
            <w:r>
              <w:rPr>
                <w:rFonts w:hint="default" w:ascii="Times New Roman" w:hAnsi="Times New Roman" w:eastAsia="方正仿宋_GBK" w:cs="Times New Roman"/>
                <w:sz w:val="32"/>
                <w:szCs w:val="32"/>
                <w:vertAlign w:val="baseline"/>
                <w:lang w:val="en-US" w:eastAsia="zh-CN"/>
              </w:rPr>
              <w:t>1</w:t>
            </w:r>
          </w:p>
        </w:tc>
        <w:tc>
          <w:tcPr>
            <w:tcW w:w="2450" w:type="dxa"/>
          </w:tcPr>
          <w:p w14:paraId="7D4CE9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3981" w:type="dxa"/>
          </w:tcPr>
          <w:p w14:paraId="0F03FB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无</w:t>
            </w:r>
          </w:p>
        </w:tc>
        <w:tc>
          <w:tcPr>
            <w:tcW w:w="1045" w:type="dxa"/>
          </w:tcPr>
          <w:p w14:paraId="6FE0BE6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方正仿宋_GBK" w:cs="Times New Roman"/>
                <w:sz w:val="32"/>
                <w:szCs w:val="32"/>
                <w:vertAlign w:val="baseline"/>
              </w:rPr>
            </w:pPr>
          </w:p>
        </w:tc>
      </w:tr>
    </w:tbl>
    <w:p w14:paraId="7C8CB5AF">
      <w:pPr>
        <w:keepNext w:val="0"/>
        <w:keepLines w:val="0"/>
        <w:pageBreakBefore w:val="0"/>
        <w:wordWrap/>
        <w:overflowPunct/>
        <w:topLinePunct w:val="0"/>
        <w:bidi w:val="0"/>
        <w:spacing w:line="560" w:lineRule="exact"/>
        <w:rPr>
          <w:rFonts w:hint="default" w:ascii="Times New Roman" w:hAnsi="Times New Roman" w:cs="Times New Roman"/>
        </w:rPr>
      </w:pP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36DA48D-9D45-4783-86D8-D60849D7DC3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2000000000000000000"/>
    <w:charset w:val="86"/>
    <w:family w:val="script"/>
    <w:pitch w:val="default"/>
    <w:sig w:usb0="A00002BF" w:usb1="38CF7CFA" w:usb2="00082016" w:usb3="00000000" w:csb0="00040001" w:csb1="00000000"/>
    <w:embedRegular r:id="rId2" w:fontKey="{235EF974-DE04-45FF-AEA0-9DBC0226048D}"/>
  </w:font>
  <w:font w:name="仿宋_GB2312">
    <w:panose1 w:val="02010609030101010101"/>
    <w:charset w:val="86"/>
    <w:family w:val="auto"/>
    <w:pitch w:val="default"/>
    <w:sig w:usb0="00000001" w:usb1="080E0000" w:usb2="00000000" w:usb3="00000000" w:csb0="00040000" w:csb1="00000000"/>
    <w:embedRegular r:id="rId3" w:fontKey="{BB3035F2-B385-473C-B5E3-29BEB2509202}"/>
  </w:font>
  <w:font w:name="方正小标宋简体">
    <w:panose1 w:val="02000000000000000000"/>
    <w:charset w:val="86"/>
    <w:family w:val="auto"/>
    <w:pitch w:val="default"/>
    <w:sig w:usb0="A00002BF" w:usb1="184F6CFA" w:usb2="00000012" w:usb3="00000000" w:csb0="00040001" w:csb1="00000000"/>
    <w:embedRegular r:id="rId4" w:fontKey="{A1E9E5E5-B94C-42E3-BA62-5D3A515EDF6A}"/>
  </w:font>
  <w:font w:name="方正黑体_GBK">
    <w:panose1 w:val="02000000000000000000"/>
    <w:charset w:val="86"/>
    <w:family w:val="auto"/>
    <w:pitch w:val="default"/>
    <w:sig w:usb0="A00002BF" w:usb1="38CF7CFA" w:usb2="00082016" w:usb3="00000000" w:csb0="00040001" w:csb1="00000000"/>
    <w:embedRegular r:id="rId5" w:fontKey="{D8F35CCA-B082-4EEA-A580-0C36932B88B6}"/>
  </w:font>
  <w:font w:name="方正楷体_GBK">
    <w:panose1 w:val="02000000000000000000"/>
    <w:charset w:val="86"/>
    <w:family w:val="auto"/>
    <w:pitch w:val="default"/>
    <w:sig w:usb0="A00002BF" w:usb1="38CF7CFA" w:usb2="00082016" w:usb3="00000000" w:csb0="00040001" w:csb1="00000000"/>
    <w:embedRegular r:id="rId6" w:fontKey="{88C5AAE5-D83C-4741-98BC-39658F88F43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9106A">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D764D">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1D764D">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BD4079"/>
    <w:multiLevelType w:val="singleLevel"/>
    <w:tmpl w:val="4EBD407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8919A8"/>
    <w:rsid w:val="008862AF"/>
    <w:rsid w:val="02F31A29"/>
    <w:rsid w:val="03045209"/>
    <w:rsid w:val="03A770D3"/>
    <w:rsid w:val="04CC456E"/>
    <w:rsid w:val="05444193"/>
    <w:rsid w:val="069D5BBA"/>
    <w:rsid w:val="091031EE"/>
    <w:rsid w:val="09926987"/>
    <w:rsid w:val="0BBC3F02"/>
    <w:rsid w:val="0CC25B7D"/>
    <w:rsid w:val="0E6645FE"/>
    <w:rsid w:val="0E9A3F75"/>
    <w:rsid w:val="0EF65F1C"/>
    <w:rsid w:val="10546611"/>
    <w:rsid w:val="1133033B"/>
    <w:rsid w:val="12183DA1"/>
    <w:rsid w:val="12323646"/>
    <w:rsid w:val="1310215B"/>
    <w:rsid w:val="145B1995"/>
    <w:rsid w:val="14900F4F"/>
    <w:rsid w:val="14D46327"/>
    <w:rsid w:val="15331E2F"/>
    <w:rsid w:val="16B94D94"/>
    <w:rsid w:val="17AE1A29"/>
    <w:rsid w:val="17B30C42"/>
    <w:rsid w:val="17DE1C8A"/>
    <w:rsid w:val="1868647C"/>
    <w:rsid w:val="192B2C59"/>
    <w:rsid w:val="19A63224"/>
    <w:rsid w:val="19BE7C49"/>
    <w:rsid w:val="1A433C5C"/>
    <w:rsid w:val="1A4F2969"/>
    <w:rsid w:val="1AAB787A"/>
    <w:rsid w:val="1B196BE0"/>
    <w:rsid w:val="1EAE33FF"/>
    <w:rsid w:val="1ECA2370"/>
    <w:rsid w:val="22125729"/>
    <w:rsid w:val="22C76487"/>
    <w:rsid w:val="22F0305B"/>
    <w:rsid w:val="24B165A5"/>
    <w:rsid w:val="2745433E"/>
    <w:rsid w:val="293F4928"/>
    <w:rsid w:val="2A7D1BBC"/>
    <w:rsid w:val="2AEE4A5D"/>
    <w:rsid w:val="2B1D0BC0"/>
    <w:rsid w:val="2BA97AA7"/>
    <w:rsid w:val="2C207657"/>
    <w:rsid w:val="2EDF79B7"/>
    <w:rsid w:val="2FD62F9A"/>
    <w:rsid w:val="2FDC140F"/>
    <w:rsid w:val="30127340"/>
    <w:rsid w:val="30B7127D"/>
    <w:rsid w:val="30D93BC3"/>
    <w:rsid w:val="33980CA5"/>
    <w:rsid w:val="33EA2CF4"/>
    <w:rsid w:val="34C72E2C"/>
    <w:rsid w:val="36294186"/>
    <w:rsid w:val="364477CC"/>
    <w:rsid w:val="36AA243E"/>
    <w:rsid w:val="36F62151"/>
    <w:rsid w:val="374146B4"/>
    <w:rsid w:val="37B90357"/>
    <w:rsid w:val="3A8B5A26"/>
    <w:rsid w:val="3B4511BD"/>
    <w:rsid w:val="3C047EE6"/>
    <w:rsid w:val="3D0801FD"/>
    <w:rsid w:val="3D382DC0"/>
    <w:rsid w:val="3D4C261D"/>
    <w:rsid w:val="3DBB4CD6"/>
    <w:rsid w:val="3FC70145"/>
    <w:rsid w:val="40844A74"/>
    <w:rsid w:val="4194691E"/>
    <w:rsid w:val="43337886"/>
    <w:rsid w:val="43986CA0"/>
    <w:rsid w:val="43A25DFB"/>
    <w:rsid w:val="45286853"/>
    <w:rsid w:val="456D63A2"/>
    <w:rsid w:val="4593474E"/>
    <w:rsid w:val="4682093B"/>
    <w:rsid w:val="470E1A87"/>
    <w:rsid w:val="477C1C78"/>
    <w:rsid w:val="47A00CCD"/>
    <w:rsid w:val="49CA0467"/>
    <w:rsid w:val="4A705532"/>
    <w:rsid w:val="4AF81593"/>
    <w:rsid w:val="4B756271"/>
    <w:rsid w:val="4CFF2296"/>
    <w:rsid w:val="4D09547E"/>
    <w:rsid w:val="4D7169A0"/>
    <w:rsid w:val="4E80470A"/>
    <w:rsid w:val="4F18056E"/>
    <w:rsid w:val="51786948"/>
    <w:rsid w:val="518014CC"/>
    <w:rsid w:val="51A26444"/>
    <w:rsid w:val="51C609A5"/>
    <w:rsid w:val="53010DE0"/>
    <w:rsid w:val="531B241D"/>
    <w:rsid w:val="55A62DFB"/>
    <w:rsid w:val="57236CC5"/>
    <w:rsid w:val="57C10172"/>
    <w:rsid w:val="595F46F4"/>
    <w:rsid w:val="5A877DCD"/>
    <w:rsid w:val="5AD93F55"/>
    <w:rsid w:val="5C8919A8"/>
    <w:rsid w:val="5E0520A4"/>
    <w:rsid w:val="60F43F40"/>
    <w:rsid w:val="611F46AE"/>
    <w:rsid w:val="61B74A96"/>
    <w:rsid w:val="61B96E1A"/>
    <w:rsid w:val="62A26C05"/>
    <w:rsid w:val="648D795E"/>
    <w:rsid w:val="65110271"/>
    <w:rsid w:val="65175CCD"/>
    <w:rsid w:val="657F3F57"/>
    <w:rsid w:val="65921147"/>
    <w:rsid w:val="65DB3D97"/>
    <w:rsid w:val="666D166A"/>
    <w:rsid w:val="66E11A37"/>
    <w:rsid w:val="692D10C7"/>
    <w:rsid w:val="6CBA7124"/>
    <w:rsid w:val="6E0F2E9B"/>
    <w:rsid w:val="6E5964C0"/>
    <w:rsid w:val="700E15EF"/>
    <w:rsid w:val="703E58C9"/>
    <w:rsid w:val="70D3419B"/>
    <w:rsid w:val="718F75B2"/>
    <w:rsid w:val="72E06B81"/>
    <w:rsid w:val="74EC4517"/>
    <w:rsid w:val="75024DC0"/>
    <w:rsid w:val="795566D7"/>
    <w:rsid w:val="79651365"/>
    <w:rsid w:val="7AAC24DD"/>
    <w:rsid w:val="7B31228B"/>
    <w:rsid w:val="7B7B559F"/>
    <w:rsid w:val="7B8F0E7C"/>
    <w:rsid w:val="7BAF1C9D"/>
    <w:rsid w:val="7E81225C"/>
    <w:rsid w:val="7FBB79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99"/>
    <w:pPr>
      <w:ind w:left="200" w:firstLine="420" w:firstLineChars="200"/>
    </w:pPr>
    <w:rPr>
      <w:sz w:val="21"/>
      <w:szCs w:val="24"/>
    </w:rPr>
  </w:style>
  <w:style w:type="paragraph" w:styleId="3">
    <w:name w:val="Body Text Indent"/>
    <w:basedOn w:val="1"/>
    <w:next w:val="4"/>
    <w:unhideWhenUsed/>
    <w:qFormat/>
    <w:uiPriority w:val="99"/>
    <w:pPr>
      <w:spacing w:after="120"/>
      <w:ind w:left="420" w:leftChars="200"/>
    </w:pPr>
  </w:style>
  <w:style w:type="paragraph" w:customStyle="1" w:styleId="4">
    <w:name w:val="Char Char Char"/>
    <w:qFormat/>
    <w:uiPriority w:val="99"/>
    <w:pPr>
      <w:widowControl w:val="0"/>
      <w:jc w:val="both"/>
    </w:pPr>
    <w:rPr>
      <w:rFonts w:ascii="Times New Roman" w:hAnsi="Times New Roman" w:eastAsia="方正仿宋_GBK" w:cs="Times New Roman"/>
      <w:kern w:val="2"/>
      <w:sz w:val="21"/>
      <w:szCs w:val="21"/>
      <w:lang w:val="en-US" w:eastAsia="zh-CN" w:bidi="ar-SA"/>
    </w:rPr>
  </w:style>
  <w:style w:type="paragraph" w:styleId="5">
    <w:name w:val="Quote"/>
    <w:next w:val="1"/>
    <w:unhideWhenUsed/>
    <w:qFormat/>
    <w:uiPriority w:val="0"/>
    <w:pPr>
      <w:wordWrap w:val="0"/>
      <w:spacing w:before="200" w:after="160"/>
      <w:ind w:left="864" w:right="864"/>
      <w:jc w:val="center"/>
    </w:pPr>
    <w:rPr>
      <w:rFonts w:hint="default" w:ascii="Calibri" w:hAnsi="Calibri" w:eastAsia="宋体" w:cs="Times New Roman"/>
      <w:i/>
      <w:sz w:val="21"/>
      <w:szCs w:val="22"/>
    </w:rPr>
  </w:style>
  <w:style w:type="paragraph" w:styleId="6">
    <w:name w:val="Normal Indent"/>
    <w:basedOn w:val="1"/>
    <w:qFormat/>
    <w:uiPriority w:val="0"/>
    <w:pPr>
      <w:ind w:firstLine="420" w:firstLineChars="200"/>
    </w:pPr>
    <w:rPr>
      <w:rFonts w:ascii="Calibri" w:hAnsi="Calibri" w:eastAsia="宋体"/>
      <w:sz w:val="21"/>
      <w:szCs w:val="24"/>
    </w:rPr>
  </w:style>
  <w:style w:type="paragraph" w:styleId="7">
    <w:name w:val="Body Text"/>
    <w:basedOn w:val="1"/>
    <w:next w:val="1"/>
    <w:unhideWhenUsed/>
    <w:qFormat/>
    <w:uiPriority w:val="0"/>
    <w:pPr>
      <w:spacing w:beforeLines="0" w:afterLines="0"/>
    </w:pPr>
    <w:rPr>
      <w:rFonts w:hint="default" w:ascii="宋体" w:hAnsi="Calibri" w:eastAsia="宋体"/>
      <w:sz w:val="21"/>
    </w:rPr>
  </w:style>
  <w:style w:type="paragraph" w:styleId="8">
    <w:name w:val="Body Text Indent 2"/>
    <w:next w:val="7"/>
    <w:unhideWhenUsed/>
    <w:qFormat/>
    <w:uiPriority w:val="0"/>
    <w:pPr>
      <w:widowControl w:val="0"/>
      <w:spacing w:after="120" w:line="480" w:lineRule="auto"/>
      <w:ind w:left="420" w:leftChars="200"/>
      <w:jc w:val="both"/>
    </w:pPr>
    <w:rPr>
      <w:rFonts w:hint="default" w:ascii="Calibri" w:hAnsi="Calibri" w:eastAsia="宋体" w:cs="Times New Roman"/>
      <w:kern w:val="2"/>
      <w:sz w:val="21"/>
      <w:lang w:val="en-US" w:eastAsia="zh-CN"/>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Normal (Web)"/>
    <w:basedOn w:val="1"/>
    <w:qFormat/>
    <w:uiPriority w:val="0"/>
    <w:rPr>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正文-公1"/>
    <w:basedOn w:val="1"/>
    <w:next w:val="1"/>
    <w:qFormat/>
    <w:uiPriority w:val="0"/>
    <w:pPr>
      <w:ind w:firstLine="200" w:firstLineChars="200"/>
      <w:jc w:val="left"/>
    </w:pPr>
    <w:rPr>
      <w:rFonts w:eastAsia="仿宋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1933</Words>
  <Characters>2004</Characters>
  <Lines>0</Lines>
  <Paragraphs>0</Paragraphs>
  <TotalTime>2</TotalTime>
  <ScaleCrop>false</ScaleCrop>
  <LinksUpToDate>false</LinksUpToDate>
  <CharactersWithSpaces>2014</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2025-02-05T09:51:00Z</dcterms:created>
  <dc:creator>Administrator</dc:creator>
  <cp:lastModifiedBy>Administrator</cp:lastModifiedBy>
  <cp:lastPrinted>2026-01-29T02:41:00Z</cp:lastPrinted>
  <dcterms:modified xsi:type="dcterms:W3CDTF">2026-08-17T04:01:56Z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4E80DF08462D4BFEAAD01A6997582F7B_13</vt:lpwstr>
  </property>
  <property fmtid="{D5CDD505-2E9C-101B-9397-08002B2CF9AE}" pid="4" name="KSOTemplateDocerSaveRecord">
    <vt:lpwstr>eyJoZGlkIjoiODM3ZDliOTBiNzJlNjAyZDg0MWE2ZDM1Zjc5NzU1MGEiLCJ1c2VySWQiOiI0NDE2NzMwNzYifQ==</vt:lpwstr>
  </property>
</Properties>
</file>