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32"/>
          <w:szCs w:val="32"/>
        </w:rPr>
      </w:pPr>
      <w:r>
        <w:rPr>
          <w:rFonts w:ascii="宋体" w:hAnsi="宋体"/>
          <w:sz w:val="52"/>
          <w:szCs w:val="52"/>
        </w:rPr>
        <w:t>产品质量监督抽查实施细则</w:t>
      </w:r>
    </w:p>
    <w:p>
      <w:pPr>
        <w:spacing w:line="440" w:lineRule="exact"/>
        <w:jc w:val="center"/>
        <w:rPr>
          <w:rFonts w:ascii="宋体" w:hAnsi="宋体"/>
          <w:sz w:val="32"/>
        </w:rPr>
      </w:pPr>
      <w:r>
        <w:rPr>
          <w:rFonts w:ascii="宋体" w:hAnsi="宋体"/>
          <w:sz w:val="32"/>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99060</wp:posOffset>
                </wp:positionV>
                <wp:extent cx="5200650" cy="1905"/>
                <wp:effectExtent l="0" t="7620" r="11430" b="13335"/>
                <wp:wrapNone/>
                <wp:docPr id="2" name="直接连接符 2"/>
                <wp:cNvGraphicFramePr/>
                <a:graphic xmlns:a="http://schemas.openxmlformats.org/drawingml/2006/main">
                  <a:graphicData uri="http://schemas.microsoft.com/office/word/2010/wordprocessingShape">
                    <wps:wsp>
                      <wps:cNvCnPr/>
                      <wps:spPr>
                        <a:xfrm flipV="1">
                          <a:off x="0" y="0"/>
                          <a:ext cx="5200650" cy="190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5.25pt;margin-top:7.8pt;height:0.15pt;width:409.5pt;z-index:251659264;mso-width-relative:page;mso-height-relative:page;" filled="f" stroked="t" coordsize="21600,21600" o:gfxdata="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3QWmu0wAAAAgBAAAPAAAA&#10;AAAAAAEAIAAAACIAAABkcnMvZG93bnJldi54bWxQSwECFAAUAAAACACHTuJAYULgceEBAACkAwAA&#10;DgAAAAAAAAABACAAAAAiAQAAZHJzL2Uyb0RvYy54bWxQSwUGAAAAAAYABgBZAQAAdQUAAAAA&#10;">
                <v:fill on="f" focussize="0,0"/>
                <v:stroke weight="1.25pt" color="#000000" joinstyle="round"/>
                <v:imagedata o:title=""/>
                <o:lock v:ext="edit" aspectratio="f"/>
              </v:line>
            </w:pict>
          </mc:Fallback>
        </mc:AlternateContent>
      </w:r>
    </w:p>
    <w:p>
      <w:pPr>
        <w:adjustRightInd w:val="0"/>
        <w:spacing w:line="480" w:lineRule="exact"/>
        <w:rPr>
          <w:rFonts w:ascii="宋体" w:hAnsi="宋体"/>
          <w:sz w:val="32"/>
          <w:szCs w:val="32"/>
        </w:rPr>
      </w:pPr>
      <w:r>
        <w:rPr>
          <w:rFonts w:ascii="宋体" w:hAnsi="宋体"/>
          <w:sz w:val="32"/>
          <w:szCs w:val="32"/>
        </w:rPr>
        <w:t xml:space="preserve">                                             </w:t>
      </w:r>
    </w:p>
    <w:p>
      <w:pPr>
        <w:adjustRightInd w:val="0"/>
        <w:spacing w:line="480" w:lineRule="exact"/>
        <w:jc w:val="center"/>
        <w:rPr>
          <w:rFonts w:ascii="宋体" w:hAnsi="宋体"/>
          <w:b/>
          <w:sz w:val="44"/>
          <w:szCs w:val="44"/>
        </w:rPr>
      </w:pPr>
    </w:p>
    <w:p>
      <w:pPr>
        <w:adjustRightInd w:val="0"/>
        <w:spacing w:line="480" w:lineRule="exact"/>
        <w:jc w:val="center"/>
        <w:rPr>
          <w:rFonts w:ascii="宋体" w:hAnsi="宋体"/>
          <w:b/>
          <w:sz w:val="44"/>
          <w:szCs w:val="44"/>
        </w:rPr>
      </w:pPr>
    </w:p>
    <w:p>
      <w:pPr>
        <w:adjustRightInd w:val="0"/>
        <w:spacing w:line="480" w:lineRule="exact"/>
        <w:jc w:val="center"/>
        <w:rPr>
          <w:rFonts w:ascii="宋体" w:hAnsi="宋体"/>
          <w:b/>
          <w:sz w:val="44"/>
          <w:szCs w:val="44"/>
        </w:rPr>
      </w:pPr>
    </w:p>
    <w:p>
      <w:pPr>
        <w:adjustRightInd w:val="0"/>
        <w:spacing w:line="480" w:lineRule="exact"/>
        <w:jc w:val="center"/>
        <w:rPr>
          <w:rFonts w:ascii="宋体" w:hAnsi="宋体"/>
          <w:b/>
          <w:sz w:val="44"/>
          <w:szCs w:val="44"/>
        </w:rPr>
      </w:pPr>
    </w:p>
    <w:p>
      <w:pPr>
        <w:adjustRightInd w:val="0"/>
        <w:spacing w:line="480" w:lineRule="exact"/>
        <w:jc w:val="center"/>
        <w:rPr>
          <w:rFonts w:hint="eastAsia" w:ascii="宋体" w:hAnsi="宋体"/>
          <w:b/>
          <w:sz w:val="52"/>
          <w:szCs w:val="52"/>
        </w:rPr>
      </w:pPr>
      <w:r>
        <w:rPr>
          <w:rFonts w:hint="eastAsia" w:eastAsia="黑体"/>
          <w:b/>
          <w:sz w:val="52"/>
          <w:szCs w:val="52"/>
          <w:lang w:eastAsia="zh-CN"/>
        </w:rPr>
        <w:drawing>
          <wp:anchor distT="0" distB="0" distL="114300" distR="114300" simplePos="0" relativeHeight="251680768" behindDoc="0" locked="0" layoutInCell="1" allowOverlap="1">
            <wp:simplePos x="0" y="0"/>
            <wp:positionH relativeFrom="column">
              <wp:posOffset>3164205</wp:posOffset>
            </wp:positionH>
            <wp:positionV relativeFrom="paragraph">
              <wp:posOffset>8147685</wp:posOffset>
            </wp:positionV>
            <wp:extent cx="1485900" cy="1511935"/>
            <wp:effectExtent l="38735" t="1270" r="60325" b="56515"/>
            <wp:wrapNone/>
            <wp:docPr id="10" name="图片 9"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bookmarkStart w:id="0" w:name="OLE_LINK1"/>
      <w:r>
        <w:rPr>
          <w:rFonts w:hint="eastAsia" w:ascii="宋体" w:hAnsi="宋体"/>
          <w:b/>
          <w:bCs/>
          <w:sz w:val="44"/>
          <w:szCs w:val="44"/>
        </w:rPr>
        <w:t>2026年乌鲁木齐市米</w:t>
      </w:r>
      <w:r>
        <w:rPr>
          <w:rFonts w:hint="eastAsia" w:eastAsia="黑体"/>
          <w:b/>
          <w:sz w:val="52"/>
          <w:szCs w:val="52"/>
          <w:lang w:eastAsia="zh-CN"/>
        </w:rPr>
        <w:drawing>
          <wp:anchor distT="0" distB="0" distL="114300" distR="114300" simplePos="0" relativeHeight="251693056" behindDoc="0" locked="0" layoutInCell="1" allowOverlap="1">
            <wp:simplePos x="0" y="0"/>
            <wp:positionH relativeFrom="column">
              <wp:posOffset>3164205</wp:posOffset>
            </wp:positionH>
            <wp:positionV relativeFrom="paragraph">
              <wp:posOffset>8147685</wp:posOffset>
            </wp:positionV>
            <wp:extent cx="1485900" cy="1511935"/>
            <wp:effectExtent l="38735" t="1270" r="60325" b="56515"/>
            <wp:wrapNone/>
            <wp:docPr id="13" name="图片 12"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r>
        <w:rPr>
          <w:rFonts w:hint="eastAsia" w:ascii="宋体" w:hAnsi="宋体"/>
          <w:b/>
          <w:bCs/>
          <w:sz w:val="44"/>
          <w:szCs w:val="44"/>
        </w:rPr>
        <w:t>东区车用汽油、车用柴油、车用尿素水溶液产品质量监督抽查实施细则</w:t>
      </w:r>
      <w:bookmarkEnd w:id="0"/>
    </w:p>
    <w:p>
      <w:pPr>
        <w:adjustRightInd w:val="0"/>
        <w:spacing w:line="480" w:lineRule="exact"/>
        <w:jc w:val="center"/>
        <w:rPr>
          <w:rFonts w:ascii="宋体" w:hAnsi="宋体"/>
          <w:b/>
          <w:sz w:val="52"/>
          <w:szCs w:val="52"/>
        </w:rPr>
      </w:pPr>
    </w:p>
    <w:p>
      <w:pPr>
        <w:adjustRightInd w:val="0"/>
        <w:spacing w:line="480" w:lineRule="exact"/>
        <w:jc w:val="center"/>
        <w:rPr>
          <w:rFonts w:ascii="宋体" w:hAnsi="宋体"/>
          <w:b/>
          <w:sz w:val="52"/>
          <w:szCs w:val="52"/>
        </w:rPr>
      </w:pPr>
    </w:p>
    <w:p>
      <w:pPr>
        <w:adjustRightInd w:val="0"/>
        <w:spacing w:line="480" w:lineRule="exact"/>
        <w:jc w:val="center"/>
        <w:rPr>
          <w:rFonts w:ascii="宋体" w:hAnsi="宋体"/>
          <w:b/>
          <w:sz w:val="52"/>
          <w:szCs w:val="52"/>
        </w:rPr>
      </w:pPr>
    </w:p>
    <w:p>
      <w:pPr>
        <w:adjustRightInd w:val="0"/>
        <w:spacing w:line="480" w:lineRule="exact"/>
        <w:jc w:val="center"/>
        <w:rPr>
          <w:rFonts w:ascii="宋体" w:hAnsi="宋体"/>
          <w:b/>
          <w:sz w:val="52"/>
          <w:szCs w:val="52"/>
        </w:rPr>
      </w:pPr>
    </w:p>
    <w:p>
      <w:pPr>
        <w:adjustRightInd w:val="0"/>
        <w:spacing w:line="480" w:lineRule="exact"/>
        <w:jc w:val="center"/>
        <w:rPr>
          <w:rFonts w:ascii="宋体" w:hAnsi="宋体"/>
          <w:b/>
          <w:sz w:val="52"/>
          <w:szCs w:val="52"/>
        </w:rPr>
      </w:pPr>
    </w:p>
    <w:p>
      <w:pPr>
        <w:adjustRightInd w:val="0"/>
        <w:spacing w:line="480" w:lineRule="exact"/>
        <w:jc w:val="center"/>
        <w:rPr>
          <w:rFonts w:ascii="宋体" w:hAnsi="宋体"/>
          <w:b/>
          <w:sz w:val="52"/>
          <w:szCs w:val="52"/>
        </w:rPr>
      </w:pPr>
    </w:p>
    <w:p>
      <w:pPr>
        <w:adjustRightInd w:val="0"/>
        <w:spacing w:line="480" w:lineRule="exact"/>
        <w:jc w:val="center"/>
        <w:rPr>
          <w:rFonts w:ascii="宋体" w:hAnsi="宋体"/>
          <w:b/>
          <w:sz w:val="52"/>
          <w:szCs w:val="52"/>
        </w:rPr>
      </w:pPr>
    </w:p>
    <w:p>
      <w:pPr>
        <w:adjustRightInd w:val="0"/>
        <w:spacing w:line="480" w:lineRule="exact"/>
        <w:jc w:val="center"/>
        <w:rPr>
          <w:rFonts w:ascii="宋体" w:hAnsi="宋体"/>
          <w:b/>
          <w:sz w:val="52"/>
          <w:szCs w:val="52"/>
        </w:rPr>
      </w:pPr>
    </w:p>
    <w:p>
      <w:pPr>
        <w:adjustRightInd w:val="0"/>
        <w:spacing w:line="480" w:lineRule="exact"/>
        <w:rPr>
          <w:rFonts w:ascii="宋体" w:hAnsi="宋体"/>
          <w:b/>
          <w:sz w:val="52"/>
          <w:szCs w:val="52"/>
        </w:rPr>
      </w:pPr>
    </w:p>
    <w:p>
      <w:pPr>
        <w:tabs>
          <w:tab w:val="left" w:pos="3927"/>
        </w:tabs>
        <w:spacing w:line="240" w:lineRule="auto"/>
        <w:rPr>
          <w:rFonts w:hint="eastAsia" w:ascii="宋体" w:hAnsi="宋体" w:eastAsia="宋体"/>
          <w:sz w:val="28"/>
          <w:szCs w:val="28"/>
          <w:u w:val="single"/>
          <w:lang w:eastAsia="zh-CN"/>
        </w:rPr>
      </w:pPr>
    </w:p>
    <w:p>
      <w:pPr>
        <w:tabs>
          <w:tab w:val="left" w:pos="3927"/>
        </w:tabs>
        <w:spacing w:line="240" w:lineRule="auto"/>
        <w:rPr>
          <w:rFonts w:hint="eastAsia" w:ascii="宋体" w:hAnsi="宋体" w:eastAsia="宋体"/>
          <w:sz w:val="28"/>
          <w:szCs w:val="28"/>
          <w:u w:val="single"/>
          <w:lang w:eastAsia="zh-CN"/>
        </w:rPr>
      </w:pPr>
    </w:p>
    <w:p>
      <w:pPr>
        <w:tabs>
          <w:tab w:val="left" w:pos="3927"/>
        </w:tabs>
        <w:spacing w:line="240" w:lineRule="auto"/>
        <w:rPr>
          <w:rFonts w:hint="eastAsia" w:ascii="宋体" w:hAnsi="宋体" w:eastAsia="宋体"/>
          <w:sz w:val="28"/>
          <w:szCs w:val="28"/>
          <w:u w:val="single"/>
          <w:lang w:eastAsia="zh-CN"/>
        </w:rPr>
      </w:pPr>
      <w:bookmarkStart w:id="1" w:name="_GoBack"/>
      <w:bookmarkEnd w:id="1"/>
    </w:p>
    <w:p>
      <w:pPr>
        <w:tabs>
          <w:tab w:val="left" w:pos="3927"/>
        </w:tabs>
        <w:spacing w:line="240" w:lineRule="auto"/>
        <w:rPr>
          <w:rFonts w:hint="eastAsia" w:ascii="宋体" w:hAnsi="宋体" w:eastAsia="宋体"/>
          <w:sz w:val="28"/>
          <w:szCs w:val="28"/>
          <w:u w:val="single"/>
          <w:lang w:eastAsia="zh-CN"/>
        </w:rPr>
      </w:pPr>
      <w:r>
        <w:rPr>
          <w:rFonts w:hint="eastAsia" w:eastAsia="黑体"/>
          <w:b/>
          <w:sz w:val="52"/>
          <w:szCs w:val="52"/>
          <w:lang w:eastAsia="zh-CN"/>
        </w:rPr>
        <w:drawing>
          <wp:anchor distT="0" distB="0" distL="114300" distR="114300" simplePos="0" relativeHeight="251688960" behindDoc="0" locked="0" layoutInCell="1" allowOverlap="1">
            <wp:simplePos x="0" y="0"/>
            <wp:positionH relativeFrom="column">
              <wp:posOffset>3164205</wp:posOffset>
            </wp:positionH>
            <wp:positionV relativeFrom="paragraph">
              <wp:posOffset>8147685</wp:posOffset>
            </wp:positionV>
            <wp:extent cx="1485900" cy="1511935"/>
            <wp:effectExtent l="38735" t="1270" r="60325" b="56515"/>
            <wp:wrapNone/>
            <wp:docPr id="12" name="图片 11"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p>
    <w:p>
      <w:pPr>
        <w:adjustRightInd w:val="0"/>
        <w:spacing w:line="480" w:lineRule="exact"/>
        <w:jc w:val="left"/>
        <w:rPr>
          <w:rFonts w:ascii="黑体" w:hAnsi="黑体" w:eastAsia="黑体"/>
          <w:bCs/>
          <w:sz w:val="24"/>
        </w:rPr>
      </w:pPr>
      <w:r>
        <w:rPr>
          <w:rFonts w:ascii="黑体" w:hAnsi="黑体" w:eastAsia="黑体"/>
          <w:b/>
          <w:bCs w:val="0"/>
          <w:sz w:val="24"/>
        </w:rPr>
        <w:t>202</w:t>
      </w:r>
      <w:r>
        <w:rPr>
          <w:rFonts w:hint="eastAsia" w:ascii="黑体" w:hAnsi="黑体" w:eastAsia="黑体"/>
          <w:b/>
          <w:bCs w:val="0"/>
          <w:sz w:val="24"/>
          <w:lang w:val="en-US" w:eastAsia="zh-CN"/>
        </w:rPr>
        <w:t>6</w:t>
      </w:r>
      <w:r>
        <w:rPr>
          <w:rFonts w:ascii="黑体" w:hAnsi="黑体" w:eastAsia="黑体"/>
          <w:b/>
          <w:bCs w:val="0"/>
          <w:sz w:val="24"/>
        </w:rPr>
        <w:t>-</w:t>
      </w:r>
      <w:r>
        <w:rPr>
          <w:rFonts w:hint="eastAsia" w:ascii="黑体" w:hAnsi="黑体" w:eastAsia="黑体"/>
          <w:b/>
          <w:bCs w:val="0"/>
          <w:sz w:val="24"/>
        </w:rPr>
        <w:t>0</w:t>
      </w:r>
      <w:r>
        <w:rPr>
          <w:rFonts w:hint="eastAsia" w:ascii="黑体" w:hAnsi="黑体" w:eastAsia="黑体"/>
          <w:b/>
          <w:bCs w:val="0"/>
          <w:sz w:val="24"/>
          <w:lang w:val="en-US" w:eastAsia="zh-CN"/>
        </w:rPr>
        <w:t>3</w:t>
      </w:r>
      <w:r>
        <w:rPr>
          <w:rFonts w:ascii="黑体" w:hAnsi="黑体" w:eastAsia="黑体"/>
          <w:b/>
          <w:bCs w:val="0"/>
          <w:sz w:val="24"/>
        </w:rPr>
        <w:t>-</w:t>
      </w:r>
      <w:r>
        <w:rPr>
          <w:rFonts w:hint="eastAsia" w:ascii="黑体" w:hAnsi="黑体" w:eastAsia="黑体"/>
          <w:b/>
          <w:bCs w:val="0"/>
          <w:sz w:val="24"/>
          <w:lang w:val="en-US" w:eastAsia="zh-CN"/>
        </w:rPr>
        <w:t>23</w:t>
      </w:r>
      <w:r>
        <w:rPr>
          <w:rFonts w:ascii="黑体" w:hAnsi="黑体" w:eastAsia="黑体"/>
          <w:bCs/>
          <w:sz w:val="24"/>
        </w:rPr>
        <w:t xml:space="preserve">发布                      </w:t>
      </w:r>
      <w:r>
        <w:rPr>
          <w:rFonts w:hint="eastAsia" w:eastAsia="黑体"/>
          <w:b/>
          <w:sz w:val="52"/>
          <w:szCs w:val="52"/>
          <w:lang w:eastAsia="zh-CN"/>
        </w:rPr>
        <w:drawing>
          <wp:anchor distT="0" distB="0" distL="114300" distR="114300" simplePos="0" relativeHeight="251664384" behindDoc="0" locked="0" layoutInCell="1" allowOverlap="1">
            <wp:simplePos x="0" y="0"/>
            <wp:positionH relativeFrom="column">
              <wp:posOffset>3164205</wp:posOffset>
            </wp:positionH>
            <wp:positionV relativeFrom="paragraph">
              <wp:posOffset>8147685</wp:posOffset>
            </wp:positionV>
            <wp:extent cx="1485900" cy="1511935"/>
            <wp:effectExtent l="38735" t="1270" r="60325" b="56515"/>
            <wp:wrapNone/>
            <wp:docPr id="6" name="图片 5"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r>
        <w:rPr>
          <w:rFonts w:ascii="黑体" w:hAnsi="黑体" w:eastAsia="黑体"/>
          <w:bCs/>
          <w:sz w:val="24"/>
        </w:rPr>
        <w:t xml:space="preserve">                  </w:t>
      </w:r>
      <w:r>
        <w:rPr>
          <w:rFonts w:ascii="黑体" w:hAnsi="黑体" w:eastAsia="黑体"/>
          <w:b/>
          <w:bCs w:val="0"/>
          <w:sz w:val="24"/>
        </w:rPr>
        <w:t>202</w:t>
      </w:r>
      <w:r>
        <w:rPr>
          <w:rFonts w:hint="eastAsia" w:ascii="黑体" w:hAnsi="黑体" w:eastAsia="黑体"/>
          <w:b/>
          <w:bCs w:val="0"/>
          <w:sz w:val="24"/>
          <w:lang w:val="en-US" w:eastAsia="zh-CN"/>
        </w:rPr>
        <w:t>6</w:t>
      </w:r>
      <w:r>
        <w:rPr>
          <w:rFonts w:ascii="黑体" w:hAnsi="黑体" w:eastAsia="黑体"/>
          <w:b/>
          <w:bCs w:val="0"/>
          <w:sz w:val="24"/>
        </w:rPr>
        <w:t>-</w:t>
      </w:r>
      <w:r>
        <w:rPr>
          <w:rFonts w:hint="eastAsia" w:ascii="黑体" w:hAnsi="黑体" w:eastAsia="黑体"/>
          <w:b/>
          <w:bCs w:val="0"/>
          <w:sz w:val="24"/>
        </w:rPr>
        <w:t>0</w:t>
      </w:r>
      <w:r>
        <w:rPr>
          <w:rFonts w:hint="eastAsia" w:ascii="黑体" w:hAnsi="黑体" w:eastAsia="黑体"/>
          <w:b/>
          <w:bCs w:val="0"/>
          <w:sz w:val="24"/>
          <w:lang w:val="en-US" w:eastAsia="zh-CN"/>
        </w:rPr>
        <w:t>3</w:t>
      </w:r>
      <w:r>
        <w:rPr>
          <w:rFonts w:ascii="黑体" w:hAnsi="黑体" w:eastAsia="黑体"/>
          <w:b/>
          <w:bCs w:val="0"/>
          <w:sz w:val="24"/>
        </w:rPr>
        <w:t>-</w:t>
      </w:r>
      <w:r>
        <w:rPr>
          <w:rFonts w:hint="eastAsia" w:ascii="黑体" w:hAnsi="黑体" w:eastAsia="黑体"/>
          <w:b/>
          <w:bCs w:val="0"/>
          <w:sz w:val="24"/>
          <w:lang w:val="en-US" w:eastAsia="zh-CN"/>
        </w:rPr>
        <w:t>26</w:t>
      </w:r>
      <w:r>
        <w:rPr>
          <w:rFonts w:ascii="黑体" w:hAnsi="黑体" w:eastAsia="黑体"/>
          <w:bCs/>
          <w:sz w:val="24"/>
        </w:rPr>
        <w:t>实施</w:t>
      </w:r>
    </w:p>
    <w:tbl>
      <w:tblPr>
        <w:tblStyle w:val="4"/>
        <w:tblW w:w="8310" w:type="dxa"/>
        <w:tblInd w:w="13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10"/>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45" w:hRule="atLeast"/>
        </w:trPr>
        <w:tc>
          <w:tcPr>
            <w:tcW w:w="8310" w:type="dxa"/>
            <w:noWrap w:val="0"/>
            <w:vAlign w:val="top"/>
          </w:tcPr>
          <w:p>
            <w:pPr>
              <w:adjustRightInd w:val="0"/>
              <w:spacing w:line="480" w:lineRule="exact"/>
              <w:ind w:right="-334" w:rightChars="-159"/>
              <w:jc w:val="center"/>
              <w:rPr>
                <w:rFonts w:eastAsia="黑体"/>
                <w:sz w:val="32"/>
                <w:szCs w:val="32"/>
              </w:rPr>
            </w:pPr>
            <w:r>
              <w:rPr>
                <w:rFonts w:hint="eastAsia" w:eastAsia="黑体"/>
                <w:sz w:val="32"/>
                <w:szCs w:val="32"/>
              </w:rPr>
              <w:t>乌鲁木齐市米</w:t>
            </w:r>
            <w:r>
              <w:rPr>
                <w:rFonts w:hint="eastAsia" w:eastAsia="黑体"/>
                <w:b/>
                <w:sz w:val="52"/>
                <w:szCs w:val="52"/>
                <w:lang w:eastAsia="zh-CN"/>
              </w:rPr>
              <w:drawing>
                <wp:anchor distT="0" distB="0" distL="114300" distR="114300" simplePos="0" relativeHeight="251684864" behindDoc="0" locked="0" layoutInCell="1" allowOverlap="1">
                  <wp:simplePos x="0" y="0"/>
                  <wp:positionH relativeFrom="column">
                    <wp:posOffset>3621405</wp:posOffset>
                  </wp:positionH>
                  <wp:positionV relativeFrom="paragraph">
                    <wp:posOffset>8604885</wp:posOffset>
                  </wp:positionV>
                  <wp:extent cx="1485900" cy="1511935"/>
                  <wp:effectExtent l="38735" t="1270" r="60325" b="56515"/>
                  <wp:wrapNone/>
                  <wp:docPr id="11" name="图片 10"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r>
              <w:rPr>
                <w:rFonts w:hint="eastAsia" w:eastAsia="黑体"/>
                <w:b/>
                <w:sz w:val="52"/>
                <w:szCs w:val="52"/>
                <w:lang w:eastAsia="zh-CN"/>
              </w:rPr>
              <w:drawing>
                <wp:anchor distT="0" distB="0" distL="114300" distR="114300" simplePos="0" relativeHeight="251672576" behindDoc="0" locked="0" layoutInCell="1" allowOverlap="1">
                  <wp:simplePos x="0" y="0"/>
                  <wp:positionH relativeFrom="column">
                    <wp:posOffset>3316605</wp:posOffset>
                  </wp:positionH>
                  <wp:positionV relativeFrom="paragraph">
                    <wp:posOffset>8300085</wp:posOffset>
                  </wp:positionV>
                  <wp:extent cx="1485900" cy="1511935"/>
                  <wp:effectExtent l="38735" t="1270" r="60325" b="56515"/>
                  <wp:wrapNone/>
                  <wp:docPr id="8" name="图片 7"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r>
              <w:rPr>
                <w:rFonts w:hint="eastAsia" w:eastAsia="黑体"/>
                <w:b/>
                <w:sz w:val="52"/>
                <w:szCs w:val="52"/>
                <w:lang w:eastAsia="zh-CN"/>
              </w:rPr>
              <w:drawing>
                <wp:anchor distT="0" distB="0" distL="114300" distR="114300" simplePos="0" relativeHeight="251668480" behindDoc="0" locked="0" layoutInCell="1" allowOverlap="1">
                  <wp:simplePos x="0" y="0"/>
                  <wp:positionH relativeFrom="column">
                    <wp:posOffset>3164205</wp:posOffset>
                  </wp:positionH>
                  <wp:positionV relativeFrom="paragraph">
                    <wp:posOffset>8147685</wp:posOffset>
                  </wp:positionV>
                  <wp:extent cx="1485900" cy="1511935"/>
                  <wp:effectExtent l="38735" t="1270" r="60325" b="56515"/>
                  <wp:wrapNone/>
                  <wp:docPr id="7" name="图片 6"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r>
              <w:rPr>
                <w:rFonts w:hint="eastAsia" w:eastAsia="黑体"/>
                <w:sz w:val="32"/>
                <w:szCs w:val="32"/>
              </w:rPr>
              <w:t>东区</w:t>
            </w:r>
            <w:r>
              <w:rPr>
                <w:rFonts w:eastAsia="黑体"/>
                <w:sz w:val="32"/>
                <w:szCs w:val="32"/>
              </w:rPr>
              <w:t>市</w:t>
            </w:r>
            <w:r>
              <w:rPr>
                <w:rFonts w:hint="eastAsia" w:eastAsia="黑体"/>
                <w:b/>
                <w:sz w:val="52"/>
                <w:szCs w:val="52"/>
                <w:lang w:eastAsia="zh-CN"/>
              </w:rPr>
              <w:drawing>
                <wp:anchor distT="0" distB="0" distL="114300" distR="114300" simplePos="0" relativeHeight="251676672" behindDoc="0" locked="0" layoutInCell="1" allowOverlap="1">
                  <wp:simplePos x="0" y="0"/>
                  <wp:positionH relativeFrom="column">
                    <wp:posOffset>3469005</wp:posOffset>
                  </wp:positionH>
                  <wp:positionV relativeFrom="paragraph">
                    <wp:posOffset>8452485</wp:posOffset>
                  </wp:positionV>
                  <wp:extent cx="1485900" cy="1511935"/>
                  <wp:effectExtent l="38735" t="1270" r="60325" b="56515"/>
                  <wp:wrapNone/>
                  <wp:docPr id="9" name="图片 8" descr="微信图片_2025040111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微信图片_20250401114540"/>
                          <pic:cNvPicPr>
                            <a:picLocks noChangeAspect="1"/>
                          </pic:cNvPicPr>
                        </pic:nvPicPr>
                        <pic:blipFill>
                          <a:blip r:embed="rId7"/>
                          <a:stretch>
                            <a:fillRect/>
                          </a:stretch>
                        </pic:blipFill>
                        <pic:spPr>
                          <a:xfrm rot="1380000">
                            <a:off x="0" y="0"/>
                            <a:ext cx="1485900" cy="1511935"/>
                          </a:xfrm>
                          <a:prstGeom prst="rect">
                            <a:avLst/>
                          </a:prstGeom>
                          <a:noFill/>
                          <a:ln>
                            <a:noFill/>
                          </a:ln>
                        </pic:spPr>
                      </pic:pic>
                    </a:graphicData>
                  </a:graphic>
                </wp:anchor>
              </w:drawing>
            </w:r>
            <w:r>
              <w:rPr>
                <w:rFonts w:eastAsia="黑体"/>
                <w:sz w:val="32"/>
                <w:szCs w:val="32"/>
              </w:rPr>
              <w:t>场监督管理局</w:t>
            </w:r>
          </w:p>
          <w:p>
            <w:pPr>
              <w:adjustRightInd w:val="0"/>
              <w:spacing w:line="480" w:lineRule="exact"/>
              <w:ind w:right="-334" w:rightChars="-159"/>
              <w:jc w:val="center"/>
              <w:rPr>
                <w:rFonts w:eastAsia="黑体"/>
                <w:sz w:val="32"/>
                <w:szCs w:val="32"/>
              </w:rPr>
            </w:pPr>
            <w:r>
              <w:rPr>
                <w:rFonts w:hint="eastAsia" w:ascii="黑体" w:hAnsi="黑体" w:eastAsia="黑体" w:cs="黑体"/>
                <w:sz w:val="32"/>
                <w:szCs w:val="32"/>
              </w:rPr>
              <w:t>（知识产权局、市场监管综合行政执法队）</w:t>
            </w:r>
            <w:r>
              <w:rPr>
                <w:rFonts w:hint="eastAsia" w:eastAsia="黑体"/>
                <w:sz w:val="32"/>
                <w:szCs w:val="32"/>
              </w:rPr>
              <w:t xml:space="preserve">                                                   </w:t>
            </w:r>
          </w:p>
        </w:tc>
      </w:tr>
    </w:tbl>
    <w:p>
      <w:pPr>
        <w:tabs>
          <w:tab w:val="left" w:pos="6930"/>
        </w:tabs>
        <w:adjustRightInd w:val="0"/>
        <w:spacing w:line="360" w:lineRule="auto"/>
        <w:jc w:val="center"/>
        <w:rPr>
          <w:rFonts w:hint="eastAsia" w:ascii="宋体" w:hAnsi="宋体" w:cs="方正小标宋简体"/>
          <w:b/>
          <w:bCs w:val="0"/>
          <w:sz w:val="32"/>
          <w:szCs w:val="32"/>
        </w:rPr>
      </w:pPr>
      <w:r>
        <w:rPr>
          <w:rFonts w:hint="eastAsia" w:ascii="宋体" w:hAnsi="宋体" w:cs="方正小标宋简体"/>
          <w:b/>
          <w:bCs w:val="0"/>
          <w:sz w:val="32"/>
          <w:szCs w:val="32"/>
        </w:rPr>
        <w:t>2026年乌鲁木齐市米东区车用汽油、车用柴油、车用尿素水溶液产品质量监督抽查实施细则</w:t>
      </w:r>
    </w:p>
    <w:p>
      <w:pPr>
        <w:tabs>
          <w:tab w:val="left" w:pos="6930"/>
        </w:tabs>
        <w:adjustRightInd w:val="0"/>
        <w:spacing w:line="360" w:lineRule="auto"/>
        <w:jc w:val="center"/>
        <w:rPr>
          <w:rFonts w:hint="eastAsia" w:ascii="宋体" w:hAnsi="宋体" w:cs="方正小标宋简体"/>
          <w:bCs/>
          <w:sz w:val="32"/>
          <w:szCs w:val="32"/>
        </w:rPr>
      </w:pPr>
    </w:p>
    <w:p>
      <w:pPr>
        <w:adjustRightInd w:val="0"/>
        <w:snapToGrid w:val="0"/>
        <w:spacing w:line="360" w:lineRule="auto"/>
        <w:rPr>
          <w:rFonts w:ascii="宋体" w:hAnsi="宋体"/>
          <w:b/>
          <w:bCs/>
          <w:szCs w:val="21"/>
        </w:rPr>
      </w:pPr>
      <w:r>
        <w:rPr>
          <w:rFonts w:ascii="宋体" w:hAnsi="宋体"/>
          <w:b/>
          <w:bCs/>
          <w:szCs w:val="21"/>
        </w:rPr>
        <w:t>1 抽样方法</w:t>
      </w:r>
    </w:p>
    <w:p>
      <w:pPr>
        <w:pStyle w:val="7"/>
        <w:widowControl w:val="0"/>
        <w:adjustRightInd w:val="0"/>
        <w:snapToGrid w:val="0"/>
        <w:spacing w:line="360" w:lineRule="auto"/>
        <w:ind w:firstLine="420"/>
        <w:rPr>
          <w:rFonts w:hAnsi="宋体"/>
          <w:szCs w:val="21"/>
        </w:rPr>
      </w:pPr>
      <w:r>
        <w:rPr>
          <w:rFonts w:hAnsi="宋体"/>
          <w:szCs w:val="21"/>
        </w:rPr>
        <w:t>以随机抽样的方式在被抽样销售者</w:t>
      </w:r>
      <w:r>
        <w:rPr>
          <w:rFonts w:hint="eastAsia" w:hAnsi="宋体"/>
          <w:szCs w:val="21"/>
        </w:rPr>
        <w:t>和生产者</w:t>
      </w:r>
      <w:r>
        <w:rPr>
          <w:rFonts w:hAnsi="宋体"/>
          <w:szCs w:val="21"/>
        </w:rPr>
        <w:t>的待销产品中抽取。</w:t>
      </w:r>
    </w:p>
    <w:p>
      <w:pPr>
        <w:pStyle w:val="7"/>
        <w:widowControl w:val="0"/>
        <w:adjustRightInd w:val="0"/>
        <w:snapToGrid w:val="0"/>
        <w:spacing w:line="360" w:lineRule="auto"/>
        <w:ind w:firstLine="420"/>
        <w:rPr>
          <w:rFonts w:hAnsi="宋体"/>
          <w:szCs w:val="21"/>
        </w:rPr>
      </w:pPr>
      <w:r>
        <w:rPr>
          <w:rFonts w:hAnsi="宋体"/>
          <w:szCs w:val="21"/>
        </w:rPr>
        <w:t>随机数一般可使用随机数表、随机数骰子或扑克牌等方法产生。</w:t>
      </w:r>
    </w:p>
    <w:p>
      <w:pPr>
        <w:pStyle w:val="7"/>
        <w:widowControl w:val="0"/>
        <w:adjustRightInd w:val="0"/>
        <w:snapToGrid w:val="0"/>
        <w:spacing w:line="360" w:lineRule="auto"/>
        <w:ind w:firstLine="420"/>
        <w:rPr>
          <w:rFonts w:hAnsi="宋体"/>
          <w:szCs w:val="21"/>
        </w:rPr>
      </w:pPr>
      <w:r>
        <w:rPr>
          <w:rFonts w:hAnsi="宋体"/>
          <w:szCs w:val="21"/>
        </w:rPr>
        <w:t>抽取时将样品分别盛装在两个合适的容器中，一份作为检验样品，另一份作为备用样品。抽样数量按产品标准规定执行（最小抽样数量详见表1）。</w:t>
      </w:r>
    </w:p>
    <w:p>
      <w:pPr>
        <w:pStyle w:val="8"/>
        <w:spacing w:line="360" w:lineRule="auto"/>
        <w:ind w:right="42" w:rightChars="20" w:firstLine="0" w:firstLineChars="0"/>
        <w:jc w:val="center"/>
        <w:rPr>
          <w:rFonts w:ascii="宋体" w:hAnsi="宋体"/>
          <w:sz w:val="18"/>
          <w:szCs w:val="18"/>
        </w:rPr>
      </w:pPr>
      <w:r>
        <w:rPr>
          <w:rFonts w:ascii="宋体" w:hAnsi="宋体"/>
          <w:sz w:val="18"/>
          <w:szCs w:val="18"/>
        </w:rPr>
        <w:t>表1  抽查产品数量要求</w:t>
      </w:r>
    </w:p>
    <w:tbl>
      <w:tblPr>
        <w:tblStyle w:val="4"/>
        <w:tblW w:w="8504" w:type="dxa"/>
        <w:jc w:val="center"/>
        <w:tblInd w:w="0" w:type="dxa"/>
        <w:tblLayout w:type="fixed"/>
        <w:tblCellMar>
          <w:top w:w="0" w:type="dxa"/>
          <w:left w:w="108" w:type="dxa"/>
          <w:bottom w:w="0" w:type="dxa"/>
          <w:right w:w="108" w:type="dxa"/>
        </w:tblCellMar>
      </w:tblPr>
      <w:tblGrid>
        <w:gridCol w:w="748"/>
        <w:gridCol w:w="2321"/>
        <w:gridCol w:w="2624"/>
        <w:gridCol w:w="2811"/>
      </w:tblGrid>
      <w:tr>
        <w:tblPrEx>
          <w:tblLayout w:type="fixed"/>
          <w:tblCellMar>
            <w:top w:w="0" w:type="dxa"/>
            <w:left w:w="108" w:type="dxa"/>
            <w:bottom w:w="0" w:type="dxa"/>
            <w:right w:w="108" w:type="dxa"/>
          </w:tblCellMar>
        </w:tblPrEx>
        <w:trPr>
          <w:trHeight w:val="454" w:hRule="atLeast"/>
          <w:tblHeader/>
          <w:jc w:val="center"/>
        </w:trPr>
        <w:tc>
          <w:tcPr>
            <w:tcW w:w="74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sz w:val="18"/>
                <w:szCs w:val="18"/>
              </w:rPr>
              <w:t>序号</w:t>
            </w:r>
          </w:p>
        </w:tc>
        <w:tc>
          <w:tcPr>
            <w:tcW w:w="232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产品品种</w:t>
            </w:r>
          </w:p>
        </w:tc>
        <w:tc>
          <w:tcPr>
            <w:tcW w:w="26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检验样品数量</w:t>
            </w:r>
          </w:p>
        </w:tc>
        <w:tc>
          <w:tcPr>
            <w:tcW w:w="2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备用样品数量</w:t>
            </w:r>
          </w:p>
        </w:tc>
      </w:tr>
      <w:tr>
        <w:tblPrEx>
          <w:tblLayout w:type="fixed"/>
          <w:tblCellMar>
            <w:top w:w="0" w:type="dxa"/>
            <w:left w:w="108" w:type="dxa"/>
            <w:bottom w:w="0" w:type="dxa"/>
            <w:right w:w="108" w:type="dxa"/>
          </w:tblCellMar>
        </w:tblPrEx>
        <w:trPr>
          <w:trHeight w:val="454" w:hRule="atLeast"/>
          <w:jc w:val="center"/>
        </w:trPr>
        <w:tc>
          <w:tcPr>
            <w:tcW w:w="74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sz w:val="18"/>
                <w:szCs w:val="18"/>
              </w:rPr>
              <w:t>1</w:t>
            </w:r>
          </w:p>
        </w:tc>
        <w:tc>
          <w:tcPr>
            <w:tcW w:w="232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车用汽油</w:t>
            </w:r>
          </w:p>
        </w:tc>
        <w:tc>
          <w:tcPr>
            <w:tcW w:w="26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2L</w:t>
            </w:r>
          </w:p>
        </w:tc>
        <w:tc>
          <w:tcPr>
            <w:tcW w:w="2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2L</w:t>
            </w:r>
          </w:p>
        </w:tc>
      </w:tr>
      <w:tr>
        <w:tblPrEx>
          <w:tblLayout w:type="fixed"/>
          <w:tblCellMar>
            <w:top w:w="0" w:type="dxa"/>
            <w:left w:w="108" w:type="dxa"/>
            <w:bottom w:w="0" w:type="dxa"/>
            <w:right w:w="108" w:type="dxa"/>
          </w:tblCellMar>
        </w:tblPrEx>
        <w:trPr>
          <w:trHeight w:val="454" w:hRule="atLeast"/>
          <w:jc w:val="center"/>
        </w:trPr>
        <w:tc>
          <w:tcPr>
            <w:tcW w:w="74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sz w:val="18"/>
                <w:szCs w:val="18"/>
              </w:rPr>
              <w:t>2</w:t>
            </w:r>
          </w:p>
        </w:tc>
        <w:tc>
          <w:tcPr>
            <w:tcW w:w="232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车用柴油</w:t>
            </w:r>
          </w:p>
        </w:tc>
        <w:tc>
          <w:tcPr>
            <w:tcW w:w="26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hint="eastAsia" w:ascii="宋体" w:hAnsi="宋体"/>
                <w:bCs/>
                <w:sz w:val="18"/>
                <w:szCs w:val="18"/>
              </w:rPr>
              <w:t>2</w:t>
            </w:r>
            <w:r>
              <w:rPr>
                <w:rFonts w:ascii="宋体" w:hAnsi="宋体"/>
                <w:bCs/>
                <w:sz w:val="18"/>
                <w:szCs w:val="18"/>
              </w:rPr>
              <w:t>L</w:t>
            </w:r>
          </w:p>
        </w:tc>
        <w:tc>
          <w:tcPr>
            <w:tcW w:w="2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bCs/>
                <w:sz w:val="18"/>
                <w:szCs w:val="18"/>
              </w:rPr>
            </w:pPr>
            <w:r>
              <w:rPr>
                <w:rFonts w:ascii="宋体" w:hAnsi="宋体"/>
                <w:bCs/>
                <w:sz w:val="18"/>
                <w:szCs w:val="18"/>
              </w:rPr>
              <w:t>2L</w:t>
            </w:r>
          </w:p>
        </w:tc>
      </w:tr>
      <w:tr>
        <w:tblPrEx>
          <w:tblLayout w:type="fixed"/>
          <w:tblCellMar>
            <w:top w:w="0" w:type="dxa"/>
            <w:left w:w="108" w:type="dxa"/>
            <w:bottom w:w="0" w:type="dxa"/>
            <w:right w:w="108" w:type="dxa"/>
          </w:tblCellMar>
        </w:tblPrEx>
        <w:trPr>
          <w:trHeight w:val="454" w:hRule="atLeast"/>
          <w:jc w:val="center"/>
        </w:trPr>
        <w:tc>
          <w:tcPr>
            <w:tcW w:w="74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hint="eastAsia" w:ascii="宋体" w:hAnsi="宋体"/>
                <w:bCs/>
                <w:sz w:val="18"/>
                <w:szCs w:val="18"/>
              </w:rPr>
              <w:t>3</w:t>
            </w:r>
          </w:p>
        </w:tc>
        <w:tc>
          <w:tcPr>
            <w:tcW w:w="232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hint="eastAsia" w:ascii="宋体" w:hAnsi="宋体"/>
                <w:bCs/>
                <w:sz w:val="18"/>
                <w:szCs w:val="18"/>
              </w:rPr>
            </w:pPr>
            <w:r>
              <w:rPr>
                <w:rFonts w:hint="eastAsia" w:ascii="宋体" w:hAnsi="宋体"/>
                <w:sz w:val="18"/>
                <w:szCs w:val="18"/>
              </w:rPr>
              <w:t>车用尿素水溶液</w:t>
            </w:r>
          </w:p>
        </w:tc>
        <w:tc>
          <w:tcPr>
            <w:tcW w:w="26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hint="eastAsia" w:ascii="宋体" w:hAnsi="宋体"/>
                <w:bCs/>
                <w:sz w:val="18"/>
                <w:szCs w:val="18"/>
              </w:rPr>
            </w:pPr>
            <w:r>
              <w:rPr>
                <w:rFonts w:hint="eastAsia" w:ascii="宋体" w:hAnsi="宋体"/>
                <w:bCs/>
                <w:sz w:val="18"/>
                <w:szCs w:val="18"/>
              </w:rPr>
              <w:t>2L(kg）</w:t>
            </w:r>
          </w:p>
        </w:tc>
        <w:tc>
          <w:tcPr>
            <w:tcW w:w="2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hint="eastAsia" w:ascii="宋体" w:hAnsi="宋体"/>
                <w:bCs/>
                <w:sz w:val="18"/>
                <w:szCs w:val="18"/>
              </w:rPr>
            </w:pPr>
            <w:r>
              <w:rPr>
                <w:rFonts w:hint="eastAsia" w:ascii="宋体" w:hAnsi="宋体"/>
                <w:bCs/>
                <w:sz w:val="18"/>
                <w:szCs w:val="18"/>
              </w:rPr>
              <w:t>2L(kg）</w:t>
            </w:r>
          </w:p>
        </w:tc>
      </w:tr>
    </w:tbl>
    <w:p>
      <w:pPr>
        <w:adjustRightInd w:val="0"/>
        <w:snapToGrid w:val="0"/>
        <w:spacing w:line="360" w:lineRule="auto"/>
        <w:rPr>
          <w:rFonts w:ascii="宋体" w:hAnsi="宋体"/>
          <w:b/>
          <w:szCs w:val="21"/>
        </w:rPr>
      </w:pPr>
    </w:p>
    <w:p>
      <w:pPr>
        <w:adjustRightInd w:val="0"/>
        <w:snapToGrid w:val="0"/>
        <w:spacing w:line="360" w:lineRule="auto"/>
        <w:rPr>
          <w:rFonts w:ascii="宋体" w:hAnsi="宋体"/>
          <w:b/>
          <w:szCs w:val="21"/>
        </w:rPr>
      </w:pPr>
      <w:r>
        <w:rPr>
          <w:rFonts w:ascii="宋体" w:hAnsi="宋体"/>
          <w:b/>
          <w:szCs w:val="21"/>
        </w:rPr>
        <w:t>2 检验依据</w:t>
      </w:r>
    </w:p>
    <w:p>
      <w:pPr>
        <w:adjustRightInd w:val="0"/>
        <w:snapToGrid w:val="0"/>
        <w:jc w:val="center"/>
        <w:rPr>
          <w:rFonts w:ascii="宋体" w:hAnsi="宋体"/>
          <w:bCs/>
          <w:color w:val="000000"/>
          <w:sz w:val="18"/>
          <w:szCs w:val="18"/>
        </w:rPr>
      </w:pPr>
      <w:r>
        <w:rPr>
          <w:rFonts w:ascii="宋体" w:hAnsi="宋体"/>
          <w:bCs/>
          <w:color w:val="000000"/>
          <w:sz w:val="18"/>
          <w:szCs w:val="18"/>
        </w:rPr>
        <w:t>表</w:t>
      </w:r>
      <w:r>
        <w:rPr>
          <w:rFonts w:hint="eastAsia" w:ascii="宋体" w:hAnsi="宋体"/>
          <w:bCs/>
          <w:color w:val="000000"/>
          <w:sz w:val="18"/>
          <w:szCs w:val="18"/>
        </w:rPr>
        <w:t>2</w:t>
      </w:r>
      <w:r>
        <w:rPr>
          <w:rFonts w:ascii="宋体" w:hAnsi="宋体"/>
          <w:bCs/>
          <w:color w:val="000000"/>
          <w:sz w:val="18"/>
          <w:szCs w:val="18"/>
        </w:rPr>
        <w:t xml:space="preserve"> 车用汽油</w:t>
      </w:r>
    </w:p>
    <w:tbl>
      <w:tblPr>
        <w:tblStyle w:val="4"/>
        <w:tblW w:w="8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1872"/>
        <w:gridCol w:w="2086"/>
        <w:gridCol w:w="38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hint="eastAsia" w:ascii="宋体" w:hAnsi="宋体"/>
                <w:color w:val="000000"/>
                <w:sz w:val="18"/>
                <w:szCs w:val="18"/>
              </w:rPr>
            </w:pPr>
            <w:r>
              <w:rPr>
                <w:rFonts w:hint="eastAsia" w:ascii="宋体" w:hAnsi="宋体"/>
                <w:color w:val="000000"/>
                <w:sz w:val="18"/>
                <w:szCs w:val="18"/>
              </w:rPr>
              <w:t>序号</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hint="eastAsia" w:ascii="宋体" w:hAnsi="宋体"/>
                <w:color w:val="000000"/>
                <w:sz w:val="18"/>
                <w:szCs w:val="18"/>
              </w:rPr>
            </w:pPr>
            <w:r>
              <w:rPr>
                <w:rFonts w:hint="eastAsia" w:ascii="宋体" w:hAnsi="宋体"/>
                <w:color w:val="000000"/>
                <w:sz w:val="18"/>
                <w:szCs w:val="18"/>
              </w:rPr>
              <w:t>检验项目</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hint="eastAsia" w:ascii="宋体" w:hAnsi="宋体"/>
                <w:color w:val="000000"/>
                <w:sz w:val="18"/>
                <w:szCs w:val="18"/>
              </w:rPr>
            </w:pPr>
            <w:r>
              <w:rPr>
                <w:rFonts w:hint="eastAsia" w:ascii="宋体" w:hAnsi="宋体"/>
                <w:color w:val="000000"/>
                <w:sz w:val="18"/>
                <w:szCs w:val="18"/>
              </w:rPr>
              <w:t>检验方法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1</w:t>
            </w:r>
          </w:p>
        </w:tc>
        <w:tc>
          <w:tcPr>
            <w:tcW w:w="1872" w:type="dxa"/>
            <w:tcBorders>
              <w:top w:val="single" w:color="000000" w:sz="4" w:space="0"/>
              <w:left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抗爆性</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研究法辛烷值(RON)</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GB/T 5487-2015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2</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铅含量</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GB/T 8020-2015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3</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馏程</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GB/T 6536-2010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vMerge w:val="restart"/>
            <w:tcBorders>
              <w:top w:val="single" w:color="000000" w:sz="4" w:space="0"/>
              <w:left w:val="single" w:color="000000" w:sz="4" w:space="0"/>
              <w:right w:val="single" w:color="000000" w:sz="4" w:space="0"/>
            </w:tcBorders>
            <w:noWrap w:val="0"/>
            <w:vAlign w:val="center"/>
          </w:tcPr>
          <w:p>
            <w:pPr>
              <w:snapToGrid w:val="0"/>
              <w:spacing w:line="360" w:lineRule="exact"/>
              <w:jc w:val="center"/>
              <w:rPr>
                <w:rFonts w:ascii="宋体" w:hAnsi="宋体"/>
                <w:color w:val="000000"/>
                <w:sz w:val="18"/>
                <w:szCs w:val="18"/>
              </w:rPr>
            </w:pPr>
            <w:r>
              <w:rPr>
                <w:rFonts w:hint="eastAsia" w:ascii="宋体" w:hAnsi="宋体"/>
                <w:color w:val="000000"/>
                <w:sz w:val="18"/>
                <w:szCs w:val="18"/>
              </w:rPr>
              <w:t>4</w:t>
            </w:r>
          </w:p>
        </w:tc>
        <w:tc>
          <w:tcPr>
            <w:tcW w:w="1872" w:type="dxa"/>
            <w:vMerge w:val="restart"/>
            <w:tcBorders>
              <w:top w:val="single" w:color="000000" w:sz="4" w:space="0"/>
              <w:left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胶质含量</w:t>
            </w:r>
          </w:p>
        </w:tc>
        <w:tc>
          <w:tcPr>
            <w:tcW w:w="208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未洗胶质含量</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GB/T 8019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vMerge w:val="continue"/>
            <w:tcBorders>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p>
        </w:tc>
        <w:tc>
          <w:tcPr>
            <w:tcW w:w="1872" w:type="dxa"/>
            <w:vMerge w:val="continue"/>
            <w:tcBorders>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p>
        </w:tc>
        <w:tc>
          <w:tcPr>
            <w:tcW w:w="208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溶剂洗胶质含量</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GB/T 8019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color w:val="000000"/>
                <w:sz w:val="18"/>
                <w:szCs w:val="18"/>
              </w:rPr>
            </w:pPr>
            <w:r>
              <w:rPr>
                <w:rFonts w:hint="eastAsia" w:ascii="宋体" w:hAnsi="宋体"/>
                <w:color w:val="000000"/>
                <w:sz w:val="18"/>
                <w:szCs w:val="18"/>
              </w:rPr>
              <w:t>5</w:t>
            </w:r>
          </w:p>
        </w:tc>
        <w:tc>
          <w:tcPr>
            <w:tcW w:w="3958" w:type="dxa"/>
            <w:gridSpan w:val="2"/>
            <w:tcBorders>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硫含量</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SH/T 0689-2000、NB/SH/T 0253-2021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color w:val="000000"/>
                <w:sz w:val="18"/>
                <w:szCs w:val="18"/>
              </w:rPr>
            </w:pPr>
            <w:r>
              <w:rPr>
                <w:rFonts w:hint="eastAsia" w:ascii="宋体" w:hAnsi="宋体"/>
                <w:color w:val="000000"/>
                <w:sz w:val="18"/>
                <w:szCs w:val="18"/>
              </w:rPr>
              <w:t>6</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苯含量（体积分数）</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NB/SH/T 0713-2023、GB/T 30519</w:t>
            </w:r>
            <w:r>
              <w:rPr>
                <w:rFonts w:ascii="宋体" w:hAnsi="宋体"/>
                <w:color w:val="000000"/>
                <w:sz w:val="18"/>
                <w:szCs w:val="18"/>
              </w:rPr>
              <w:t>-2024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color w:val="000000"/>
                <w:sz w:val="18"/>
                <w:szCs w:val="18"/>
              </w:rPr>
            </w:pPr>
            <w:r>
              <w:rPr>
                <w:rFonts w:hint="eastAsia" w:ascii="宋体" w:hAnsi="宋体"/>
                <w:color w:val="000000"/>
                <w:sz w:val="18"/>
                <w:szCs w:val="18"/>
              </w:rPr>
              <w:t>7</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烯烃含量（体积分数）</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GB/T 30519</w:t>
            </w:r>
            <w:r>
              <w:rPr>
                <w:rFonts w:ascii="宋体" w:hAnsi="宋体"/>
                <w:color w:val="000000"/>
                <w:sz w:val="18"/>
                <w:szCs w:val="18"/>
              </w:rPr>
              <w:t>-2024</w:t>
            </w:r>
            <w:r>
              <w:rPr>
                <w:rFonts w:hint="eastAsia" w:ascii="宋体" w:hAnsi="宋体"/>
                <w:color w:val="000000"/>
                <w:sz w:val="18"/>
                <w:szCs w:val="18"/>
              </w:rPr>
              <w:t>、GB/T 11132-2022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color w:val="000000"/>
                <w:sz w:val="18"/>
                <w:szCs w:val="18"/>
              </w:rPr>
            </w:pPr>
            <w:r>
              <w:rPr>
                <w:rFonts w:hint="eastAsia" w:ascii="宋体" w:hAnsi="宋体"/>
                <w:color w:val="000000"/>
                <w:sz w:val="18"/>
                <w:szCs w:val="18"/>
              </w:rPr>
              <w:t>8</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氧含量（质量分数）</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NB/SH/T 0663-2014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color w:val="000000"/>
                <w:sz w:val="18"/>
                <w:szCs w:val="18"/>
              </w:rPr>
            </w:pPr>
            <w:r>
              <w:rPr>
                <w:rFonts w:hint="eastAsia" w:ascii="宋体" w:hAnsi="宋体"/>
                <w:color w:val="000000"/>
                <w:sz w:val="18"/>
                <w:szCs w:val="18"/>
              </w:rPr>
              <w:t>9</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甲醇含量（质量分数）</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NB/SH/T 0663-2014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color w:val="000000"/>
                <w:sz w:val="18"/>
                <w:szCs w:val="18"/>
              </w:rPr>
            </w:pPr>
            <w:r>
              <w:rPr>
                <w:rFonts w:hint="eastAsia" w:ascii="宋体" w:hAnsi="宋体"/>
                <w:color w:val="000000"/>
                <w:sz w:val="18"/>
                <w:szCs w:val="18"/>
              </w:rPr>
              <w:t>10</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铁含量</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color w:val="000000"/>
                <w:sz w:val="18"/>
                <w:szCs w:val="18"/>
              </w:rPr>
            </w:pPr>
            <w:r>
              <w:rPr>
                <w:rFonts w:hint="eastAsia" w:ascii="宋体" w:hAnsi="宋体"/>
                <w:color w:val="000000"/>
                <w:sz w:val="18"/>
                <w:szCs w:val="18"/>
              </w:rPr>
              <w:t>SH/T 0712-2002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11</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锰含量</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NB/SH/T 0711-2019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71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12</w:t>
            </w:r>
          </w:p>
        </w:tc>
        <w:tc>
          <w:tcPr>
            <w:tcW w:w="3958" w:type="dxa"/>
            <w:gridSpan w:val="2"/>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密度（20℃）</w:t>
            </w:r>
          </w:p>
        </w:tc>
        <w:tc>
          <w:tcPr>
            <w:tcW w:w="38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GB/T 1884-2000、GB/T 1885-1998,</w:t>
            </w:r>
          </w:p>
          <w:p>
            <w:pPr>
              <w:snapToGrid w:val="0"/>
              <w:spacing w:line="360" w:lineRule="exact"/>
              <w:jc w:val="center"/>
              <w:rPr>
                <w:rFonts w:hint="eastAsia" w:ascii="宋体" w:hAnsi="宋体"/>
                <w:kern w:val="0"/>
                <w:sz w:val="18"/>
                <w:szCs w:val="18"/>
              </w:rPr>
            </w:pPr>
            <w:r>
              <w:rPr>
                <w:rFonts w:hint="eastAsia" w:ascii="宋体" w:hAnsi="宋体"/>
                <w:kern w:val="0"/>
                <w:sz w:val="18"/>
                <w:szCs w:val="18"/>
              </w:rPr>
              <w:t>SH/T 0604-2000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8492" w:type="dxa"/>
            <w:gridSpan w:val="4"/>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left"/>
              <w:rPr>
                <w:rFonts w:hint="eastAsia" w:ascii="宋体" w:hAnsi="宋体"/>
                <w:kern w:val="0"/>
                <w:sz w:val="18"/>
                <w:szCs w:val="18"/>
              </w:rPr>
            </w:pPr>
            <w:r>
              <w:rPr>
                <w:rFonts w:ascii="宋体" w:hAnsi="宋体"/>
                <w:color w:val="000000"/>
                <w:sz w:val="18"/>
                <w:szCs w:val="18"/>
              </w:rPr>
              <w:t>备注：若受检单位表明样品中加入清净剂，未洗胶质含量出实测值。</w:t>
            </w:r>
          </w:p>
        </w:tc>
      </w:tr>
    </w:tbl>
    <w:p>
      <w:pPr>
        <w:snapToGrid w:val="0"/>
        <w:spacing w:line="360" w:lineRule="exact"/>
        <w:jc w:val="center"/>
        <w:rPr>
          <w:rFonts w:hint="eastAsia" w:ascii="宋体" w:hAnsi="宋体"/>
          <w:kern w:val="0"/>
          <w:sz w:val="18"/>
          <w:szCs w:val="18"/>
        </w:rPr>
      </w:pPr>
    </w:p>
    <w:p>
      <w:pPr>
        <w:adjustRightInd w:val="0"/>
        <w:snapToGrid w:val="0"/>
        <w:jc w:val="center"/>
        <w:rPr>
          <w:rFonts w:ascii="宋体" w:hAnsi="宋体"/>
          <w:bCs/>
          <w:color w:val="000000"/>
          <w:sz w:val="18"/>
          <w:szCs w:val="18"/>
        </w:rPr>
      </w:pPr>
      <w:r>
        <w:rPr>
          <w:rFonts w:ascii="宋体" w:hAnsi="宋体"/>
          <w:bCs/>
          <w:color w:val="000000"/>
          <w:sz w:val="18"/>
          <w:szCs w:val="18"/>
        </w:rPr>
        <w:t>表</w:t>
      </w:r>
      <w:r>
        <w:rPr>
          <w:rFonts w:hint="eastAsia" w:ascii="宋体" w:hAnsi="宋体"/>
          <w:bCs/>
          <w:color w:val="000000"/>
          <w:sz w:val="18"/>
          <w:szCs w:val="18"/>
        </w:rPr>
        <w:t xml:space="preserve">3 </w:t>
      </w:r>
      <w:r>
        <w:rPr>
          <w:rFonts w:ascii="宋体" w:hAnsi="宋体"/>
          <w:bCs/>
          <w:color w:val="000000"/>
          <w:sz w:val="18"/>
          <w:szCs w:val="18"/>
        </w:rPr>
        <w:t xml:space="preserve"> 车用</w:t>
      </w:r>
      <w:r>
        <w:rPr>
          <w:rFonts w:hint="eastAsia" w:ascii="宋体" w:hAnsi="宋体"/>
          <w:bCs/>
          <w:color w:val="000000"/>
          <w:sz w:val="18"/>
          <w:szCs w:val="18"/>
        </w:rPr>
        <w:t>柴</w:t>
      </w:r>
      <w:r>
        <w:rPr>
          <w:rFonts w:ascii="宋体" w:hAnsi="宋体"/>
          <w:bCs/>
          <w:color w:val="000000"/>
          <w:sz w:val="18"/>
          <w:szCs w:val="18"/>
        </w:rPr>
        <w:t>油</w:t>
      </w:r>
    </w:p>
    <w:tbl>
      <w:tblPr>
        <w:tblStyle w:val="4"/>
        <w:tblW w:w="84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3976"/>
        <w:gridCol w:w="38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hint="eastAsia" w:ascii="宋体" w:hAnsi="宋体"/>
                <w:color w:val="000000"/>
                <w:sz w:val="18"/>
                <w:szCs w:val="18"/>
              </w:rPr>
            </w:pPr>
            <w:r>
              <w:rPr>
                <w:rFonts w:hint="eastAsia" w:ascii="宋体" w:hAnsi="宋体"/>
                <w:color w:val="000000"/>
                <w:sz w:val="18"/>
                <w:szCs w:val="18"/>
              </w:rPr>
              <w:t>序号</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hint="eastAsia" w:ascii="宋体" w:hAnsi="宋体"/>
                <w:color w:val="000000"/>
                <w:sz w:val="18"/>
                <w:szCs w:val="18"/>
              </w:rPr>
            </w:pPr>
            <w:r>
              <w:rPr>
                <w:rFonts w:hint="eastAsia" w:ascii="宋体" w:hAnsi="宋体"/>
                <w:color w:val="000000"/>
                <w:sz w:val="18"/>
                <w:szCs w:val="18"/>
              </w:rPr>
              <w:t>检验项目</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hint="eastAsia" w:ascii="宋体" w:hAnsi="宋体"/>
                <w:color w:val="000000"/>
                <w:sz w:val="18"/>
                <w:szCs w:val="18"/>
              </w:rPr>
            </w:pPr>
            <w:r>
              <w:rPr>
                <w:rFonts w:hint="eastAsia" w:ascii="宋体" w:hAnsi="宋体"/>
                <w:color w:val="000000"/>
                <w:sz w:val="18"/>
                <w:szCs w:val="18"/>
              </w:rPr>
              <w:t>检验方法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1</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hint="eastAsia" w:ascii="宋体" w:hAnsi="宋体"/>
                <w:kern w:val="0"/>
                <w:sz w:val="18"/>
                <w:szCs w:val="18"/>
                <w:highlight w:val="none"/>
              </w:rPr>
              <w:t>硫含量</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SH/T 0689-2000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2</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ascii="宋体" w:hAnsi="宋体"/>
                <w:kern w:val="0"/>
                <w:sz w:val="18"/>
                <w:szCs w:val="18"/>
                <w:highlight w:val="none"/>
              </w:rPr>
              <w:t>酸度（以KOH计）</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ascii="宋体" w:hAnsi="宋体"/>
                <w:kern w:val="0"/>
                <w:sz w:val="18"/>
                <w:szCs w:val="18"/>
              </w:rPr>
              <w:t>GB/T</w:t>
            </w:r>
            <w:r>
              <w:rPr>
                <w:rFonts w:hint="eastAsia" w:ascii="宋体" w:hAnsi="宋体"/>
                <w:kern w:val="0"/>
                <w:sz w:val="18"/>
                <w:szCs w:val="18"/>
              </w:rPr>
              <w:t xml:space="preserve"> </w:t>
            </w:r>
            <w:r>
              <w:rPr>
                <w:rFonts w:ascii="宋体" w:hAnsi="宋体"/>
                <w:kern w:val="0"/>
                <w:sz w:val="18"/>
                <w:szCs w:val="18"/>
              </w:rPr>
              <w:t>258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3</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ascii="宋体" w:hAnsi="宋体"/>
                <w:kern w:val="0"/>
                <w:sz w:val="18"/>
                <w:szCs w:val="18"/>
                <w:highlight w:val="none"/>
              </w:rPr>
              <w:t>水含量（体积分数）</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GB19147-2016，</w:t>
            </w:r>
            <w:r>
              <w:rPr>
                <w:rFonts w:ascii="宋体" w:hAnsi="宋体"/>
                <w:kern w:val="0"/>
                <w:sz w:val="18"/>
                <w:szCs w:val="18"/>
              </w:rPr>
              <w:t>GB/T</w:t>
            </w:r>
            <w:r>
              <w:rPr>
                <w:rFonts w:hint="eastAsia" w:ascii="宋体" w:hAnsi="宋体"/>
                <w:kern w:val="0"/>
                <w:sz w:val="18"/>
                <w:szCs w:val="18"/>
              </w:rPr>
              <w:t xml:space="preserve"> </w:t>
            </w:r>
            <w:r>
              <w:rPr>
                <w:rFonts w:ascii="宋体" w:hAnsi="宋体"/>
                <w:kern w:val="0"/>
                <w:sz w:val="18"/>
                <w:szCs w:val="18"/>
              </w:rPr>
              <w:t>260</w:t>
            </w:r>
            <w:r>
              <w:rPr>
                <w:rFonts w:hint="eastAsia" w:ascii="宋体" w:hAnsi="宋体"/>
                <w:kern w:val="0"/>
                <w:sz w:val="18"/>
                <w:szCs w:val="18"/>
              </w:rPr>
              <w:t>-2016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4</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hint="eastAsia" w:ascii="宋体" w:hAnsi="宋体"/>
                <w:kern w:val="0"/>
                <w:sz w:val="18"/>
                <w:szCs w:val="18"/>
                <w:highlight w:val="none"/>
              </w:rPr>
              <w:t>多环芳烃含量</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NB/SH/T 0806-2022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5</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总污染物含量</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GB/T</w:t>
            </w:r>
            <w:r>
              <w:rPr>
                <w:rFonts w:ascii="宋体" w:hAnsi="宋体"/>
                <w:kern w:val="0"/>
                <w:sz w:val="18"/>
                <w:szCs w:val="18"/>
              </w:rPr>
              <w:t xml:space="preserve"> </w:t>
            </w:r>
            <w:r>
              <w:rPr>
                <w:rFonts w:hint="eastAsia" w:ascii="宋体" w:hAnsi="宋体"/>
                <w:kern w:val="0"/>
                <w:sz w:val="18"/>
                <w:szCs w:val="18"/>
              </w:rPr>
              <w:t>33400-2016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6</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hint="eastAsia" w:ascii="宋体" w:hAnsi="宋体"/>
                <w:kern w:val="0"/>
                <w:sz w:val="18"/>
                <w:szCs w:val="18"/>
                <w:highlight w:val="none"/>
              </w:rPr>
              <w:t>运动粘度(20℃)</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GB/T 265-1988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7</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hint="eastAsia" w:ascii="宋体" w:hAnsi="宋体"/>
                <w:kern w:val="0"/>
                <w:sz w:val="18"/>
                <w:szCs w:val="18"/>
                <w:highlight w:val="none"/>
              </w:rPr>
              <w:t>冷滤点</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NB/SH/T 0248-2019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8</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hint="eastAsia" w:ascii="宋体" w:hAnsi="宋体"/>
                <w:kern w:val="0"/>
                <w:sz w:val="18"/>
                <w:szCs w:val="18"/>
                <w:highlight w:val="none"/>
              </w:rPr>
              <w:t>闪点(闭口)</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GB/T 261-20</w:t>
            </w:r>
            <w:r>
              <w:rPr>
                <w:rFonts w:ascii="宋体" w:hAnsi="宋体"/>
                <w:kern w:val="0"/>
                <w:sz w:val="18"/>
                <w:szCs w:val="18"/>
              </w:rPr>
              <w:t>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9</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ascii="宋体" w:hAnsi="宋体"/>
                <w:kern w:val="0"/>
                <w:sz w:val="18"/>
                <w:szCs w:val="18"/>
                <w:highlight w:val="none"/>
              </w:rPr>
              <w:t>十六烷指数</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lang w:val="de-DE"/>
              </w:rPr>
            </w:pPr>
            <w:r>
              <w:rPr>
                <w:rFonts w:ascii="宋体" w:hAnsi="宋体"/>
                <w:kern w:val="0"/>
                <w:sz w:val="18"/>
                <w:szCs w:val="18"/>
                <w:lang w:val="de-DE"/>
              </w:rPr>
              <w:t>SH/T</w:t>
            </w:r>
            <w:r>
              <w:rPr>
                <w:rFonts w:hint="eastAsia" w:ascii="宋体" w:hAnsi="宋体"/>
                <w:kern w:val="0"/>
                <w:sz w:val="18"/>
                <w:szCs w:val="18"/>
              </w:rPr>
              <w:t xml:space="preserve"> </w:t>
            </w:r>
            <w:r>
              <w:rPr>
                <w:rFonts w:ascii="宋体" w:hAnsi="宋体"/>
                <w:kern w:val="0"/>
                <w:sz w:val="18"/>
                <w:szCs w:val="18"/>
                <w:lang w:val="de-DE"/>
              </w:rPr>
              <w:t>0694</w:t>
            </w:r>
            <w:r>
              <w:rPr>
                <w:rFonts w:hint="eastAsia" w:ascii="宋体" w:hAnsi="宋体"/>
                <w:kern w:val="0"/>
                <w:sz w:val="18"/>
                <w:szCs w:val="18"/>
              </w:rPr>
              <w:t>-2000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10</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hint="eastAsia" w:ascii="宋体" w:hAnsi="宋体"/>
                <w:kern w:val="0"/>
                <w:sz w:val="18"/>
                <w:szCs w:val="18"/>
                <w:highlight w:val="none"/>
              </w:rPr>
              <w:t>馏程</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GB/T 6536-2010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11</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highlight w:val="none"/>
              </w:rPr>
            </w:pPr>
            <w:r>
              <w:rPr>
                <w:rFonts w:hint="eastAsia" w:ascii="宋体" w:hAnsi="宋体"/>
                <w:kern w:val="0"/>
                <w:sz w:val="18"/>
                <w:szCs w:val="18"/>
                <w:highlight w:val="none"/>
              </w:rPr>
              <w:t>密度（20℃）</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hint="eastAsia" w:ascii="宋体" w:hAnsi="宋体"/>
                <w:kern w:val="0"/>
                <w:sz w:val="18"/>
                <w:szCs w:val="18"/>
              </w:rPr>
            </w:pPr>
            <w:r>
              <w:rPr>
                <w:rFonts w:hint="eastAsia" w:ascii="宋体" w:hAnsi="宋体"/>
                <w:kern w:val="0"/>
                <w:sz w:val="18"/>
                <w:szCs w:val="18"/>
              </w:rPr>
              <w:t>GB/T 1884-2000、GB/T 1885-1998，</w:t>
            </w:r>
          </w:p>
          <w:p>
            <w:pPr>
              <w:snapToGrid w:val="0"/>
              <w:spacing w:line="360" w:lineRule="exact"/>
              <w:jc w:val="center"/>
              <w:rPr>
                <w:rFonts w:hint="eastAsia" w:ascii="宋体" w:hAnsi="宋体"/>
                <w:kern w:val="0"/>
                <w:sz w:val="18"/>
                <w:szCs w:val="18"/>
              </w:rPr>
            </w:pPr>
            <w:r>
              <w:rPr>
                <w:rFonts w:hint="eastAsia" w:ascii="宋体" w:hAnsi="宋体"/>
                <w:kern w:val="0"/>
                <w:sz w:val="18"/>
                <w:szCs w:val="18"/>
              </w:rPr>
              <w:t>SH/T 0604-2000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jc w:val="center"/>
        </w:trPr>
        <w:tc>
          <w:tcPr>
            <w:tcW w:w="684"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hint="eastAsia" w:ascii="宋体" w:hAnsi="宋体"/>
                <w:kern w:val="0"/>
                <w:sz w:val="18"/>
                <w:szCs w:val="18"/>
              </w:rPr>
              <w:t>12</w:t>
            </w:r>
          </w:p>
        </w:tc>
        <w:tc>
          <w:tcPr>
            <w:tcW w:w="397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ascii="宋体" w:hAnsi="宋体"/>
                <w:kern w:val="0"/>
                <w:sz w:val="18"/>
                <w:szCs w:val="18"/>
              </w:rPr>
              <w:t>脂肪酸甲酯含量（体积分数）</w:t>
            </w:r>
          </w:p>
        </w:tc>
        <w:tc>
          <w:tcPr>
            <w:tcW w:w="3805"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exact"/>
              <w:jc w:val="center"/>
              <w:rPr>
                <w:rFonts w:ascii="宋体" w:hAnsi="宋体"/>
                <w:kern w:val="0"/>
                <w:sz w:val="18"/>
                <w:szCs w:val="18"/>
              </w:rPr>
            </w:pPr>
            <w:r>
              <w:rPr>
                <w:rFonts w:ascii="宋体" w:hAnsi="宋体"/>
                <w:kern w:val="0"/>
                <w:sz w:val="18"/>
                <w:szCs w:val="18"/>
              </w:rPr>
              <w:t>GB/T</w:t>
            </w:r>
            <w:r>
              <w:rPr>
                <w:rFonts w:hint="eastAsia" w:ascii="宋体" w:hAnsi="宋体"/>
                <w:kern w:val="0"/>
                <w:sz w:val="18"/>
                <w:szCs w:val="18"/>
              </w:rPr>
              <w:t xml:space="preserve"> </w:t>
            </w:r>
            <w:r>
              <w:rPr>
                <w:rFonts w:ascii="宋体" w:hAnsi="宋体"/>
                <w:kern w:val="0"/>
                <w:sz w:val="18"/>
                <w:szCs w:val="18"/>
              </w:rPr>
              <w:t>23801</w:t>
            </w:r>
            <w:r>
              <w:rPr>
                <w:rFonts w:hint="eastAsia" w:ascii="宋体" w:hAnsi="宋体"/>
                <w:kern w:val="0"/>
                <w:sz w:val="18"/>
                <w:szCs w:val="18"/>
              </w:rPr>
              <w:t>-2021</w:t>
            </w:r>
          </w:p>
        </w:tc>
      </w:tr>
    </w:tbl>
    <w:p>
      <w:pPr>
        <w:snapToGrid w:val="0"/>
        <w:spacing w:line="440" w:lineRule="exact"/>
        <w:ind w:firstLine="420" w:firstLineChars="200"/>
        <w:rPr>
          <w:rFonts w:hint="eastAsia" w:ascii="宋体" w:hAnsi="宋体"/>
          <w:color w:val="000000"/>
          <w:szCs w:val="21"/>
        </w:rPr>
      </w:pPr>
    </w:p>
    <w:p>
      <w:pPr>
        <w:adjustRightInd w:val="0"/>
        <w:snapToGrid w:val="0"/>
        <w:spacing w:line="360" w:lineRule="auto"/>
        <w:jc w:val="center"/>
        <w:rPr>
          <w:rFonts w:hint="eastAsia" w:ascii="宋体" w:hAnsi="宋体"/>
          <w:color w:val="000000"/>
          <w:szCs w:val="21"/>
        </w:rPr>
      </w:pPr>
      <w:r>
        <w:rPr>
          <w:rFonts w:ascii="宋体" w:hAnsi="宋体"/>
          <w:bCs/>
          <w:color w:val="000000"/>
          <w:sz w:val="18"/>
          <w:szCs w:val="18"/>
        </w:rPr>
        <w:t>表</w:t>
      </w:r>
      <w:r>
        <w:rPr>
          <w:rFonts w:hint="eastAsia" w:ascii="宋体" w:hAnsi="宋体"/>
          <w:bCs/>
          <w:color w:val="000000"/>
          <w:sz w:val="18"/>
          <w:szCs w:val="18"/>
        </w:rPr>
        <w:t>4  车用尿素水溶液</w:t>
      </w:r>
      <w:r>
        <w:rPr>
          <w:rFonts w:ascii="宋体" w:hAnsi="宋体"/>
          <w:bCs/>
          <w:color w:val="000000"/>
          <w:sz w:val="18"/>
          <w:szCs w:val="18"/>
        </w:rPr>
        <w:t>产品</w:t>
      </w:r>
    </w:p>
    <w:tbl>
      <w:tblPr>
        <w:tblStyle w:val="4"/>
        <w:tblW w:w="85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25"/>
        <w:gridCol w:w="2585"/>
        <w:gridCol w:w="3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tcBorders>
              <w:top w:val="single" w:color="auto" w:sz="4" w:space="0"/>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r>
              <w:rPr>
                <w:rFonts w:ascii="宋体" w:hAnsi="宋体"/>
                <w:sz w:val="18"/>
                <w:szCs w:val="18"/>
              </w:rPr>
              <w:t>序号</w:t>
            </w:r>
          </w:p>
        </w:tc>
        <w:tc>
          <w:tcPr>
            <w:tcW w:w="4010" w:type="dxa"/>
            <w:gridSpan w:val="2"/>
            <w:tcBorders>
              <w:top w:val="single" w:color="auto" w:sz="4" w:space="0"/>
              <w:left w:val="single" w:color="auto" w:sz="4" w:space="0"/>
              <w:right w:val="single" w:color="auto" w:sz="4" w:space="0"/>
            </w:tcBorders>
            <w:noWrap w:val="0"/>
            <w:vAlign w:val="center"/>
          </w:tcPr>
          <w:p>
            <w:pPr>
              <w:spacing w:line="360" w:lineRule="exact"/>
              <w:jc w:val="center"/>
              <w:rPr>
                <w:rFonts w:ascii="宋体" w:hAnsi="宋体"/>
                <w:kern w:val="0"/>
                <w:sz w:val="18"/>
                <w:szCs w:val="18"/>
              </w:rPr>
            </w:pPr>
            <w:r>
              <w:rPr>
                <w:rFonts w:ascii="宋体" w:hAnsi="宋体"/>
                <w:sz w:val="18"/>
                <w:szCs w:val="18"/>
              </w:rPr>
              <w:t>检验项目</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 w:val="18"/>
                <w:szCs w:val="18"/>
              </w:rPr>
            </w:pPr>
            <w:r>
              <w:rPr>
                <w:rFonts w:ascii="宋体" w:hAnsi="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r>
              <w:rPr>
                <w:rFonts w:ascii="宋体" w:hAnsi="宋体"/>
                <w:sz w:val="18"/>
                <w:szCs w:val="18"/>
              </w:rPr>
              <w:t>1</w:t>
            </w:r>
          </w:p>
        </w:tc>
        <w:tc>
          <w:tcPr>
            <w:tcW w:w="4010"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尿素含量</w:t>
            </w:r>
          </w:p>
        </w:tc>
        <w:tc>
          <w:tcPr>
            <w:tcW w:w="3790" w:type="dxa"/>
            <w:tcBorders>
              <w:left w:val="single" w:color="auto" w:sz="4" w:space="0"/>
              <w:right w:val="single" w:color="auto" w:sz="4" w:space="0"/>
            </w:tcBorders>
            <w:noWrap w:val="0"/>
            <w:vAlign w:val="center"/>
          </w:tcPr>
          <w:p>
            <w:pPr>
              <w:spacing w:line="280" w:lineRule="atLeast"/>
              <w:jc w:val="center"/>
              <w:rPr>
                <w:rFonts w:ascii="宋体" w:hAnsi="宋体"/>
                <w:sz w:val="18"/>
                <w:szCs w:val="18"/>
              </w:rPr>
            </w:pPr>
            <w:r>
              <w:rPr>
                <w:rFonts w:ascii="宋体" w:hAnsi="宋体"/>
                <w:sz w:val="18"/>
                <w:szCs w:val="18"/>
              </w:rPr>
              <w:t>GB 29518-2013 附录 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r>
              <w:rPr>
                <w:rFonts w:ascii="宋体" w:hAnsi="宋体"/>
                <w:sz w:val="18"/>
                <w:szCs w:val="18"/>
              </w:rPr>
              <w:t>2</w:t>
            </w:r>
          </w:p>
        </w:tc>
        <w:tc>
          <w:tcPr>
            <w:tcW w:w="4010"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密度（20℃）</w:t>
            </w:r>
          </w:p>
        </w:tc>
        <w:tc>
          <w:tcPr>
            <w:tcW w:w="3790" w:type="dxa"/>
            <w:tcBorders>
              <w:left w:val="single" w:color="auto" w:sz="4" w:space="0"/>
              <w:right w:val="single" w:color="auto" w:sz="4" w:space="0"/>
            </w:tcBorders>
            <w:noWrap w:val="0"/>
            <w:vAlign w:val="center"/>
          </w:tcPr>
          <w:p>
            <w:pPr>
              <w:spacing w:line="280" w:lineRule="atLeast"/>
              <w:jc w:val="center"/>
              <w:rPr>
                <w:rFonts w:ascii="宋体" w:hAnsi="宋体"/>
                <w:sz w:val="18"/>
                <w:szCs w:val="18"/>
              </w:rPr>
            </w:pPr>
            <w:r>
              <w:rPr>
                <w:rFonts w:ascii="宋体" w:hAnsi="宋体"/>
                <w:sz w:val="18"/>
                <w:szCs w:val="18"/>
              </w:rPr>
              <w:t>SH/T 0604-2000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r>
              <w:rPr>
                <w:rFonts w:ascii="宋体" w:hAnsi="宋体"/>
                <w:sz w:val="18"/>
                <w:szCs w:val="18"/>
              </w:rPr>
              <w:t>3</w:t>
            </w:r>
          </w:p>
        </w:tc>
        <w:tc>
          <w:tcPr>
            <w:tcW w:w="4010"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 xml:space="preserve">折光率 </w:t>
            </w:r>
            <w:r>
              <w:rPr>
                <w:rFonts w:ascii="宋体" w:hAnsi="宋体"/>
                <w:bCs/>
                <w:color w:val="000000"/>
                <w:sz w:val="18"/>
                <w:szCs w:val="18"/>
                <w:vertAlign w:val="superscript"/>
              </w:rPr>
              <w:t>20</w:t>
            </w:r>
            <w:r>
              <w:rPr>
                <w:rFonts w:ascii="宋体" w:hAnsi="宋体"/>
                <w:bCs/>
                <w:color w:val="000000"/>
                <w:sz w:val="18"/>
                <w:szCs w:val="18"/>
              </w:rPr>
              <w:t>n</w:t>
            </w:r>
            <w:r>
              <w:rPr>
                <w:rFonts w:ascii="宋体" w:hAnsi="宋体"/>
                <w:bCs/>
                <w:color w:val="000000"/>
                <w:sz w:val="15"/>
                <w:szCs w:val="15"/>
                <w:vertAlign w:val="subscript"/>
              </w:rPr>
              <w:t>D</w:t>
            </w:r>
          </w:p>
        </w:tc>
        <w:tc>
          <w:tcPr>
            <w:tcW w:w="3790" w:type="dxa"/>
            <w:tcBorders>
              <w:left w:val="single" w:color="auto" w:sz="4" w:space="0"/>
              <w:right w:val="single" w:color="auto" w:sz="4" w:space="0"/>
            </w:tcBorders>
            <w:noWrap w:val="0"/>
            <w:vAlign w:val="center"/>
          </w:tcPr>
          <w:p>
            <w:pPr>
              <w:spacing w:line="280" w:lineRule="atLeast"/>
              <w:jc w:val="center"/>
              <w:rPr>
                <w:rFonts w:ascii="宋体" w:hAnsi="宋体"/>
                <w:sz w:val="18"/>
                <w:szCs w:val="18"/>
              </w:rPr>
            </w:pPr>
            <w:r>
              <w:rPr>
                <w:rFonts w:ascii="宋体" w:hAnsi="宋体"/>
                <w:sz w:val="18"/>
                <w:szCs w:val="18"/>
              </w:rPr>
              <w:t>GB/T 614-2021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vMerge w:val="restart"/>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r>
              <w:rPr>
                <w:rFonts w:ascii="宋体" w:hAnsi="宋体"/>
                <w:sz w:val="18"/>
                <w:szCs w:val="18"/>
              </w:rPr>
              <w:t>4</w:t>
            </w:r>
          </w:p>
        </w:tc>
        <w:tc>
          <w:tcPr>
            <w:tcW w:w="1425" w:type="dxa"/>
            <w:vMerge w:val="restart"/>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r>
              <w:rPr>
                <w:rFonts w:ascii="宋体" w:hAnsi="宋体"/>
                <w:kern w:val="0"/>
                <w:sz w:val="18"/>
                <w:szCs w:val="18"/>
              </w:rPr>
              <w:t>杂质</w:t>
            </w:r>
            <w:r>
              <w:rPr>
                <w:rFonts w:hint="eastAsia" w:ascii="宋体" w:hAnsi="宋体"/>
                <w:kern w:val="0"/>
                <w:sz w:val="18"/>
                <w:szCs w:val="18"/>
              </w:rPr>
              <w:t>含量</w:t>
            </w: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bCs/>
                <w:color w:val="000000"/>
                <w:sz w:val="18"/>
                <w:szCs w:val="18"/>
              </w:rPr>
            </w:pPr>
            <w:r>
              <w:rPr>
                <w:rFonts w:ascii="宋体" w:hAnsi="宋体"/>
                <w:bCs/>
                <w:color w:val="000000"/>
                <w:sz w:val="18"/>
                <w:szCs w:val="18"/>
              </w:rPr>
              <w:t>碱度（以NH</w:t>
            </w:r>
            <w:r>
              <w:rPr>
                <w:rFonts w:ascii="宋体" w:hAnsi="宋体"/>
                <w:bCs/>
                <w:color w:val="000000"/>
                <w:sz w:val="18"/>
                <w:szCs w:val="18"/>
                <w:vertAlign w:val="subscript"/>
              </w:rPr>
              <w:t>3</w:t>
            </w:r>
            <w:r>
              <w:rPr>
                <w:rFonts w:ascii="宋体" w:hAnsi="宋体"/>
                <w:bCs/>
                <w:color w:val="000000"/>
                <w:sz w:val="18"/>
                <w:szCs w:val="18"/>
              </w:rPr>
              <w:t>计）</w:t>
            </w:r>
          </w:p>
        </w:tc>
        <w:tc>
          <w:tcPr>
            <w:tcW w:w="3790" w:type="dxa"/>
            <w:tcBorders>
              <w:left w:val="single" w:color="auto" w:sz="4" w:space="0"/>
              <w:right w:val="single" w:color="auto" w:sz="4" w:space="0"/>
            </w:tcBorders>
            <w:noWrap w:val="0"/>
            <w:vAlign w:val="center"/>
          </w:tcPr>
          <w:p>
            <w:pPr>
              <w:adjustRightInd w:val="0"/>
              <w:snapToGrid w:val="0"/>
              <w:jc w:val="center"/>
              <w:rPr>
                <w:rFonts w:ascii="宋体" w:hAnsi="宋体"/>
                <w:sz w:val="18"/>
                <w:szCs w:val="18"/>
              </w:rPr>
            </w:pPr>
            <w:r>
              <w:rPr>
                <w:rFonts w:ascii="宋体" w:hAnsi="宋体"/>
                <w:sz w:val="18"/>
                <w:szCs w:val="18"/>
              </w:rPr>
              <w:t>GB 29518-2013 附录B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缩二脲</w:t>
            </w:r>
          </w:p>
        </w:tc>
        <w:tc>
          <w:tcPr>
            <w:tcW w:w="3790" w:type="dxa"/>
            <w:tcBorders>
              <w:left w:val="single" w:color="auto" w:sz="4" w:space="0"/>
              <w:right w:val="single" w:color="auto" w:sz="4" w:space="0"/>
            </w:tcBorders>
            <w:noWrap w:val="0"/>
            <w:vAlign w:val="center"/>
          </w:tcPr>
          <w:p>
            <w:pPr>
              <w:adjustRightInd w:val="0"/>
              <w:snapToGrid w:val="0"/>
              <w:jc w:val="center"/>
              <w:rPr>
                <w:rFonts w:ascii="宋体" w:hAnsi="宋体"/>
                <w:sz w:val="18"/>
                <w:szCs w:val="18"/>
              </w:rPr>
            </w:pPr>
            <w:r>
              <w:rPr>
                <w:rFonts w:ascii="宋体" w:hAnsi="宋体"/>
                <w:sz w:val="18"/>
                <w:szCs w:val="18"/>
              </w:rPr>
              <w:t>GB 29518-2013 附录C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醛类</w:t>
            </w:r>
          </w:p>
        </w:tc>
        <w:tc>
          <w:tcPr>
            <w:tcW w:w="3790" w:type="dxa"/>
            <w:tcBorders>
              <w:left w:val="single" w:color="auto" w:sz="4" w:space="0"/>
              <w:right w:val="single" w:color="auto" w:sz="4" w:space="0"/>
            </w:tcBorders>
            <w:noWrap w:val="0"/>
            <w:vAlign w:val="center"/>
          </w:tcPr>
          <w:p>
            <w:pPr>
              <w:adjustRightInd w:val="0"/>
              <w:snapToGrid w:val="0"/>
              <w:jc w:val="center"/>
              <w:rPr>
                <w:rFonts w:ascii="宋体" w:hAnsi="宋体"/>
                <w:sz w:val="18"/>
                <w:szCs w:val="18"/>
              </w:rPr>
            </w:pPr>
            <w:r>
              <w:rPr>
                <w:rFonts w:ascii="宋体" w:hAnsi="宋体"/>
                <w:sz w:val="18"/>
                <w:szCs w:val="18"/>
              </w:rPr>
              <w:t>GB 29518-2013 附录D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宋体" w:hAnsi="宋体"/>
                <w:bCs/>
                <w:color w:val="000000"/>
                <w:sz w:val="18"/>
                <w:szCs w:val="18"/>
              </w:rPr>
            </w:pPr>
            <w:r>
              <w:rPr>
                <w:rFonts w:hint="eastAsia" w:ascii="宋体" w:hAnsi="宋体"/>
                <w:bCs/>
                <w:color w:val="000000"/>
                <w:sz w:val="18"/>
                <w:szCs w:val="18"/>
              </w:rPr>
              <w:t>不溶物</w:t>
            </w:r>
          </w:p>
        </w:tc>
        <w:tc>
          <w:tcPr>
            <w:tcW w:w="3790" w:type="dxa"/>
            <w:tcBorders>
              <w:left w:val="single" w:color="auto" w:sz="4" w:space="0"/>
              <w:right w:val="single" w:color="auto" w:sz="4" w:space="0"/>
            </w:tcBorders>
            <w:noWrap w:val="0"/>
            <w:vAlign w:val="center"/>
          </w:tcPr>
          <w:p>
            <w:pPr>
              <w:adjustRightInd w:val="0"/>
              <w:snapToGrid w:val="0"/>
              <w:jc w:val="center"/>
              <w:rPr>
                <w:rFonts w:hint="eastAsia" w:ascii="宋体" w:hAnsi="宋体"/>
                <w:sz w:val="18"/>
                <w:szCs w:val="18"/>
              </w:rPr>
            </w:pPr>
            <w:r>
              <w:rPr>
                <w:rFonts w:ascii="宋体" w:hAnsi="宋体"/>
                <w:sz w:val="18"/>
                <w:szCs w:val="18"/>
              </w:rPr>
              <w:t>GB 29518-2013 附录</w:t>
            </w:r>
            <w:r>
              <w:rPr>
                <w:rFonts w:hint="eastAsia" w:ascii="宋体" w:hAnsi="宋体"/>
                <w:sz w:val="18"/>
                <w:szCs w:val="18"/>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宋体" w:hAnsi="宋体"/>
                <w:bCs/>
                <w:color w:val="000000"/>
                <w:sz w:val="18"/>
                <w:szCs w:val="18"/>
              </w:rPr>
            </w:pPr>
            <w:r>
              <w:rPr>
                <w:rFonts w:hint="eastAsia" w:ascii="宋体" w:hAnsi="宋体"/>
                <w:bCs/>
                <w:color w:val="000000"/>
                <w:sz w:val="18"/>
                <w:szCs w:val="18"/>
              </w:rPr>
              <w:t>磷酸盐（以PO</w:t>
            </w:r>
            <w:r>
              <w:rPr>
                <w:rFonts w:hint="eastAsia" w:ascii="宋体" w:hAnsi="宋体"/>
                <w:bCs/>
                <w:color w:val="000000"/>
                <w:sz w:val="18"/>
                <w:szCs w:val="18"/>
                <w:vertAlign w:val="subscript"/>
              </w:rPr>
              <w:t>4</w:t>
            </w:r>
            <w:r>
              <w:rPr>
                <w:rFonts w:hint="eastAsia" w:ascii="宋体" w:hAnsi="宋体"/>
                <w:bCs/>
                <w:color w:val="000000"/>
                <w:sz w:val="18"/>
                <w:szCs w:val="18"/>
              </w:rPr>
              <w:t>计）</w:t>
            </w:r>
          </w:p>
        </w:tc>
        <w:tc>
          <w:tcPr>
            <w:tcW w:w="3790" w:type="dxa"/>
            <w:tcBorders>
              <w:left w:val="single" w:color="auto" w:sz="4" w:space="0"/>
              <w:right w:val="single" w:color="auto" w:sz="4" w:space="0"/>
            </w:tcBorders>
            <w:noWrap w:val="0"/>
            <w:vAlign w:val="center"/>
          </w:tcPr>
          <w:p>
            <w:pPr>
              <w:adjustRightInd w:val="0"/>
              <w:snapToGrid w:val="0"/>
              <w:jc w:val="center"/>
              <w:rPr>
                <w:rFonts w:hint="eastAsia" w:ascii="宋体" w:hAnsi="宋体"/>
                <w:sz w:val="18"/>
                <w:szCs w:val="18"/>
              </w:rPr>
            </w:pPr>
            <w:r>
              <w:rPr>
                <w:rFonts w:ascii="宋体" w:hAnsi="宋体"/>
                <w:sz w:val="18"/>
                <w:szCs w:val="18"/>
              </w:rPr>
              <w:t>GB 29518-2013 附录</w:t>
            </w:r>
            <w:r>
              <w:rPr>
                <w:rFonts w:hint="eastAsia" w:ascii="宋体" w:hAnsi="宋体"/>
                <w:sz w:val="18"/>
                <w:szCs w:val="18"/>
              </w:rPr>
              <w:t>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钙</w:t>
            </w:r>
          </w:p>
        </w:tc>
        <w:tc>
          <w:tcPr>
            <w:tcW w:w="3790" w:type="dxa"/>
            <w:vMerge w:val="restart"/>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r>
              <w:rPr>
                <w:rFonts w:ascii="宋体" w:hAnsi="宋体"/>
                <w:sz w:val="18"/>
                <w:szCs w:val="18"/>
              </w:rPr>
              <w:t>GB 29518-2013 附录 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铁</w:t>
            </w:r>
          </w:p>
        </w:tc>
        <w:tc>
          <w:tcPr>
            <w:tcW w:w="3790"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kern w:val="0"/>
                <w:sz w:val="18"/>
                <w:szCs w:val="18"/>
              </w:rPr>
            </w:pPr>
            <w:r>
              <w:rPr>
                <w:rFonts w:ascii="宋体" w:hAnsi="宋体"/>
                <w:bCs/>
                <w:color w:val="000000"/>
                <w:sz w:val="18"/>
                <w:szCs w:val="18"/>
              </w:rPr>
              <w:t>铜</w:t>
            </w:r>
          </w:p>
        </w:tc>
        <w:tc>
          <w:tcPr>
            <w:tcW w:w="3790"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宋体" w:hAnsi="宋体"/>
                <w:bCs/>
                <w:color w:val="000000"/>
                <w:sz w:val="18"/>
                <w:szCs w:val="18"/>
              </w:rPr>
            </w:pPr>
            <w:r>
              <w:rPr>
                <w:rFonts w:hint="eastAsia" w:ascii="宋体" w:hAnsi="宋体"/>
                <w:bCs/>
                <w:color w:val="000000"/>
                <w:sz w:val="18"/>
                <w:szCs w:val="18"/>
              </w:rPr>
              <w:t>锌</w:t>
            </w:r>
          </w:p>
        </w:tc>
        <w:tc>
          <w:tcPr>
            <w:tcW w:w="3790"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04"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c>
          <w:tcPr>
            <w:tcW w:w="1425" w:type="dxa"/>
            <w:vMerge w:val="continue"/>
            <w:tcBorders>
              <w:left w:val="single" w:color="auto" w:sz="4" w:space="0"/>
              <w:right w:val="single" w:color="auto" w:sz="4" w:space="0"/>
            </w:tcBorders>
            <w:noWrap w:val="0"/>
            <w:vAlign w:val="center"/>
          </w:tcPr>
          <w:p>
            <w:pPr>
              <w:autoSpaceDE w:val="0"/>
              <w:autoSpaceDN w:val="0"/>
              <w:adjustRightInd w:val="0"/>
              <w:spacing w:line="280" w:lineRule="atLeast"/>
              <w:jc w:val="center"/>
              <w:rPr>
                <w:rFonts w:ascii="宋体" w:hAnsi="宋体"/>
                <w:kern w:val="0"/>
                <w:sz w:val="18"/>
                <w:szCs w:val="18"/>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宋体" w:hAnsi="宋体"/>
                <w:bCs/>
                <w:color w:val="000000"/>
                <w:sz w:val="18"/>
                <w:szCs w:val="18"/>
              </w:rPr>
            </w:pPr>
            <w:r>
              <w:rPr>
                <w:rFonts w:hint="eastAsia" w:ascii="宋体" w:hAnsi="宋体"/>
                <w:bCs/>
                <w:color w:val="000000"/>
                <w:sz w:val="18"/>
                <w:szCs w:val="18"/>
              </w:rPr>
              <w:t>铬</w:t>
            </w:r>
          </w:p>
        </w:tc>
        <w:tc>
          <w:tcPr>
            <w:tcW w:w="3790" w:type="dxa"/>
            <w:vMerge w:val="continue"/>
            <w:tcBorders>
              <w:left w:val="single" w:color="auto" w:sz="4" w:space="0"/>
              <w:right w:val="single" w:color="auto" w:sz="4" w:space="0"/>
            </w:tcBorders>
            <w:noWrap w:val="0"/>
            <w:vAlign w:val="center"/>
          </w:tcPr>
          <w:p>
            <w:pPr>
              <w:snapToGrid w:val="0"/>
              <w:spacing w:line="360" w:lineRule="exact"/>
              <w:jc w:val="center"/>
              <w:rPr>
                <w:rFonts w:ascii="宋体" w:hAnsi="宋体"/>
                <w:sz w:val="18"/>
                <w:szCs w:val="18"/>
              </w:rPr>
            </w:pPr>
          </w:p>
        </w:tc>
      </w:tr>
    </w:tbl>
    <w:p>
      <w:pPr>
        <w:tabs>
          <w:tab w:val="left" w:pos="3360"/>
        </w:tabs>
        <w:snapToGrid w:val="0"/>
        <w:ind w:firstLine="420" w:firstLineChars="200"/>
        <w:rPr>
          <w:rFonts w:ascii="宋体" w:hAnsi="宋体"/>
          <w:kern w:val="0"/>
          <w:szCs w:val="21"/>
        </w:rPr>
      </w:pPr>
    </w:p>
    <w:p>
      <w:pPr>
        <w:snapToGrid w:val="0"/>
        <w:spacing w:line="440" w:lineRule="exact"/>
        <w:ind w:firstLine="420" w:firstLineChars="200"/>
        <w:rPr>
          <w:rFonts w:ascii="宋体" w:hAnsi="宋体"/>
          <w:color w:val="000000"/>
          <w:szCs w:val="21"/>
        </w:rPr>
      </w:pPr>
      <w:r>
        <w:rPr>
          <w:rFonts w:hint="eastAsia" w:ascii="宋体" w:hAnsi="宋体"/>
          <w:color w:val="000000"/>
          <w:szCs w:val="21"/>
        </w:rPr>
        <w:t>凡是注日期的文件，其随后所有的修改单（不包括勘误的内容）或修订版不适用于本细则。凡是不注日期的文件，其最新版本适用于本细则。</w:t>
      </w:r>
    </w:p>
    <w:p>
      <w:pPr>
        <w:snapToGrid w:val="0"/>
        <w:spacing w:line="360" w:lineRule="auto"/>
        <w:rPr>
          <w:rFonts w:ascii="宋体" w:hAnsi="宋体"/>
          <w:b/>
          <w:bCs/>
          <w:szCs w:val="21"/>
        </w:rPr>
      </w:pPr>
    </w:p>
    <w:p>
      <w:pPr>
        <w:snapToGrid w:val="0"/>
        <w:spacing w:line="360" w:lineRule="auto"/>
        <w:rPr>
          <w:rFonts w:ascii="宋体" w:hAnsi="宋体"/>
          <w:b/>
          <w:bCs/>
          <w:szCs w:val="21"/>
        </w:rPr>
      </w:pPr>
      <w:r>
        <w:rPr>
          <w:rFonts w:ascii="宋体" w:hAnsi="宋体"/>
          <w:b/>
          <w:bCs/>
          <w:szCs w:val="21"/>
        </w:rPr>
        <w:t>3 判定规则</w:t>
      </w:r>
    </w:p>
    <w:p>
      <w:pPr>
        <w:snapToGrid w:val="0"/>
        <w:spacing w:line="360" w:lineRule="auto"/>
        <w:rPr>
          <w:rFonts w:ascii="宋体" w:hAnsi="宋体"/>
          <w:b/>
          <w:szCs w:val="21"/>
        </w:rPr>
      </w:pPr>
      <w:r>
        <w:rPr>
          <w:rFonts w:ascii="宋体" w:hAnsi="宋体"/>
          <w:b/>
          <w:szCs w:val="21"/>
        </w:rPr>
        <w:t>3.1依据标准</w:t>
      </w:r>
    </w:p>
    <w:p>
      <w:pPr>
        <w:adjustRightInd w:val="0"/>
        <w:snapToGrid w:val="0"/>
        <w:spacing w:line="360" w:lineRule="auto"/>
        <w:ind w:firstLine="420" w:firstLineChars="200"/>
        <w:jc w:val="left"/>
        <w:rPr>
          <w:rFonts w:ascii="宋体" w:hAnsi="宋体"/>
          <w:bCs/>
          <w:color w:val="000000"/>
          <w:szCs w:val="21"/>
        </w:rPr>
      </w:pPr>
      <w:r>
        <w:rPr>
          <w:rFonts w:ascii="宋体" w:hAnsi="宋体"/>
          <w:bCs/>
          <w:color w:val="000000"/>
          <w:szCs w:val="21"/>
        </w:rPr>
        <w:t>GB 17930-2016           车用汽油</w:t>
      </w:r>
    </w:p>
    <w:p>
      <w:pPr>
        <w:adjustRightInd w:val="0"/>
        <w:snapToGrid w:val="0"/>
        <w:spacing w:line="360" w:lineRule="auto"/>
        <w:ind w:firstLine="420" w:firstLineChars="200"/>
        <w:jc w:val="left"/>
        <w:rPr>
          <w:rFonts w:ascii="宋体" w:hAnsi="宋体"/>
          <w:bCs/>
          <w:color w:val="000000"/>
          <w:szCs w:val="21"/>
        </w:rPr>
      </w:pPr>
      <w:r>
        <w:rPr>
          <w:rFonts w:ascii="宋体" w:hAnsi="宋体"/>
          <w:bCs/>
          <w:color w:val="000000"/>
          <w:szCs w:val="21"/>
        </w:rPr>
        <w:t xml:space="preserve">GB 19147-2016           车用柴油 </w:t>
      </w:r>
    </w:p>
    <w:p>
      <w:pPr>
        <w:adjustRightInd w:val="0"/>
        <w:snapToGrid w:val="0"/>
        <w:spacing w:line="360" w:lineRule="auto"/>
        <w:ind w:firstLine="420" w:firstLineChars="200"/>
        <w:jc w:val="left"/>
        <w:rPr>
          <w:rFonts w:ascii="宋体" w:hAnsi="宋体"/>
          <w:bCs/>
          <w:color w:val="000000"/>
          <w:szCs w:val="21"/>
        </w:rPr>
      </w:pPr>
      <w:r>
        <w:rPr>
          <w:rFonts w:ascii="宋体" w:hAnsi="宋体"/>
          <w:bCs/>
          <w:color w:val="000000"/>
          <w:szCs w:val="21"/>
        </w:rPr>
        <w:t>GB 29518-2013           柴油发动机氮氧化物还原剂 尿素水溶液（AUS 32）</w:t>
      </w:r>
    </w:p>
    <w:p>
      <w:pPr>
        <w:pStyle w:val="7"/>
        <w:adjustRightInd w:val="0"/>
        <w:snapToGrid w:val="0"/>
        <w:spacing w:line="360" w:lineRule="auto"/>
        <w:ind w:firstLine="420"/>
        <w:rPr>
          <w:rFonts w:hAnsi="宋体"/>
          <w:szCs w:val="21"/>
        </w:rPr>
      </w:pPr>
      <w:r>
        <w:rPr>
          <w:rFonts w:hAnsi="宋体"/>
          <w:szCs w:val="21"/>
        </w:rPr>
        <w:t>相关的法律、行政法规、部门规章、规范性文件</w:t>
      </w:r>
    </w:p>
    <w:p>
      <w:pPr>
        <w:pStyle w:val="7"/>
        <w:adjustRightInd w:val="0"/>
        <w:snapToGrid w:val="0"/>
        <w:spacing w:line="360" w:lineRule="auto"/>
        <w:ind w:firstLine="420"/>
        <w:rPr>
          <w:rFonts w:hAnsi="宋体"/>
          <w:szCs w:val="21"/>
        </w:rPr>
      </w:pPr>
      <w:r>
        <w:rPr>
          <w:rFonts w:hAnsi="宋体"/>
          <w:szCs w:val="21"/>
        </w:rPr>
        <w:t>现行有效的企业标准及产品明示质量要求</w:t>
      </w:r>
    </w:p>
    <w:p>
      <w:pPr>
        <w:snapToGrid w:val="0"/>
        <w:spacing w:line="360" w:lineRule="auto"/>
        <w:rPr>
          <w:rFonts w:ascii="宋体" w:hAnsi="宋体"/>
          <w:b/>
          <w:szCs w:val="21"/>
        </w:rPr>
      </w:pPr>
      <w:r>
        <w:rPr>
          <w:rFonts w:ascii="宋体" w:hAnsi="宋体"/>
          <w:b/>
          <w:szCs w:val="21"/>
        </w:rPr>
        <w:t>3.2判定原则</w:t>
      </w:r>
    </w:p>
    <w:p>
      <w:pPr>
        <w:snapToGrid w:val="0"/>
        <w:spacing w:line="440" w:lineRule="exact"/>
        <w:ind w:firstLine="420" w:firstLineChars="200"/>
        <w:rPr>
          <w:rFonts w:ascii="宋体" w:hAnsi="宋体"/>
          <w:color w:val="000000"/>
          <w:szCs w:val="21"/>
        </w:rPr>
      </w:pPr>
      <w:r>
        <w:rPr>
          <w:rFonts w:hint="eastAsia" w:ascii="宋体" w:hAnsi="宋体"/>
          <w:color w:val="000000"/>
          <w:szCs w:val="21"/>
        </w:rPr>
        <w:t>经检验，检验项目全部合格，判定为被抽查产品所检项目未发现不</w:t>
      </w:r>
      <w:r>
        <w:rPr>
          <w:rFonts w:ascii="宋体" w:hAnsi="宋体"/>
          <w:color w:val="000000"/>
          <w:szCs w:val="21"/>
        </w:rPr>
        <w:t>合格</w:t>
      </w:r>
      <w:r>
        <w:rPr>
          <w:rFonts w:hint="eastAsia" w:ascii="宋体" w:hAnsi="宋体"/>
          <w:color w:val="000000"/>
          <w:szCs w:val="21"/>
        </w:rPr>
        <w:t>；检验项目中任一项或一项以上不合格，判定为被抽查产品不合格。</w:t>
      </w:r>
    </w:p>
    <w:p>
      <w:pPr>
        <w:snapToGrid w:val="0"/>
        <w:spacing w:line="440" w:lineRule="exact"/>
        <w:ind w:firstLine="417" w:firstLineChars="199"/>
        <w:rPr>
          <w:rFonts w:ascii="宋体" w:hAnsi="宋体"/>
          <w:color w:val="000000"/>
          <w:szCs w:val="21"/>
        </w:rPr>
      </w:pPr>
      <w:r>
        <w:rPr>
          <w:rFonts w:hint="eastAsia" w:ascii="宋体" w:hAnsi="宋体"/>
          <w:color w:val="000000"/>
          <w:szCs w:val="21"/>
        </w:rPr>
        <w:t>若被检产品明示的质量要求高于本细则中检验项目依据的标准要求时，应按被检产品明示的质量要求判定。</w:t>
      </w:r>
    </w:p>
    <w:p>
      <w:pPr>
        <w:snapToGrid w:val="0"/>
        <w:spacing w:line="440" w:lineRule="exact"/>
        <w:ind w:firstLine="417" w:firstLineChars="199"/>
        <w:rPr>
          <w:rFonts w:ascii="宋体" w:hAnsi="宋体"/>
          <w:color w:val="000000"/>
          <w:szCs w:val="21"/>
        </w:rPr>
      </w:pPr>
      <w:r>
        <w:rPr>
          <w:rFonts w:hint="eastAsia" w:ascii="宋体" w:hAnsi="宋体"/>
          <w:color w:val="000000"/>
          <w:szCs w:val="21"/>
        </w:rPr>
        <w:t>若被检产品明示的质量要求低于本细则中检验项目依据的强制性标准要求时，应按照强制性标准要求判定。</w:t>
      </w:r>
    </w:p>
    <w:p>
      <w:pPr>
        <w:snapToGrid w:val="0"/>
        <w:spacing w:line="440" w:lineRule="exact"/>
        <w:ind w:firstLine="417" w:firstLineChars="199"/>
        <w:rPr>
          <w:rFonts w:ascii="宋体" w:hAnsi="宋体"/>
          <w:color w:val="000000"/>
          <w:szCs w:val="21"/>
        </w:rPr>
      </w:pPr>
      <w:r>
        <w:rPr>
          <w:rFonts w:hint="eastAsia" w:ascii="宋体" w:hAnsi="宋体"/>
          <w:color w:val="000000"/>
          <w:szCs w:val="21"/>
        </w:rPr>
        <w:t>若被检产品明示的质量要求低于或包含本细则中检验项目依据的推荐性标准要求时，应以被检产品明示的质量要求判定。</w:t>
      </w:r>
    </w:p>
    <w:p>
      <w:pPr>
        <w:snapToGrid w:val="0"/>
        <w:spacing w:line="440" w:lineRule="exact"/>
        <w:ind w:firstLine="417" w:firstLineChars="199"/>
        <w:rPr>
          <w:rFonts w:ascii="宋体" w:hAnsi="宋体"/>
          <w:color w:val="000000"/>
          <w:szCs w:val="21"/>
        </w:rPr>
      </w:pPr>
      <w:r>
        <w:rPr>
          <w:rFonts w:hint="eastAsia" w:ascii="宋体" w:hAnsi="宋体"/>
          <w:color w:val="000000"/>
          <w:szCs w:val="21"/>
        </w:rPr>
        <w:t>若被检产品明示的质量要求缺少本细则中检验项目依据的强制性标准要求时，应按照强制性标准要求判定。</w:t>
      </w:r>
    </w:p>
    <w:p>
      <w:pPr>
        <w:snapToGrid w:val="0"/>
        <w:spacing w:line="440" w:lineRule="exact"/>
        <w:ind w:firstLine="417" w:firstLineChars="199"/>
        <w:rPr>
          <w:rFonts w:ascii="宋体" w:hAnsi="宋体"/>
          <w:color w:val="000000"/>
          <w:szCs w:val="21"/>
        </w:rPr>
      </w:pPr>
      <w:r>
        <w:rPr>
          <w:rFonts w:hint="eastAsia" w:ascii="宋体" w:hAnsi="宋体"/>
          <w:color w:val="000000"/>
          <w:szCs w:val="21"/>
        </w:rPr>
        <w:t>若被检产品明示的质量要求缺少本细则中检验项目依据的推荐性标准要求时，该项目不参与判定。</w:t>
      </w:r>
    </w:p>
    <w:p>
      <w:pPr>
        <w:snapToGrid w:val="0"/>
        <w:spacing w:line="360" w:lineRule="auto"/>
        <w:ind w:firstLine="420" w:firstLineChars="200"/>
      </w:pPr>
      <w:r>
        <w:rPr>
          <w:rFonts w:ascii="宋体" w:hAnsi="宋体"/>
        </w:rPr>
        <mc:AlternateContent>
          <mc:Choice Requires="wps">
            <w:drawing>
              <wp:anchor distT="0" distB="0" distL="114300" distR="114300" simplePos="0" relativeHeight="251660288" behindDoc="0" locked="0" layoutInCell="1" allowOverlap="1">
                <wp:simplePos x="0" y="0"/>
                <wp:positionH relativeFrom="column">
                  <wp:posOffset>1736725</wp:posOffset>
                </wp:positionH>
                <wp:positionV relativeFrom="paragraph">
                  <wp:posOffset>112395</wp:posOffset>
                </wp:positionV>
                <wp:extent cx="2229485" cy="7620"/>
                <wp:effectExtent l="0" t="0" r="0" b="0"/>
                <wp:wrapNone/>
                <wp:docPr id="1" name="直接连接符 1"/>
                <wp:cNvGraphicFramePr/>
                <a:graphic xmlns:a="http://schemas.openxmlformats.org/drawingml/2006/main">
                  <a:graphicData uri="http://schemas.microsoft.com/office/word/2010/wordprocessingShape">
                    <wps:wsp>
                      <wps:cNvCnPr/>
                      <wps:spPr>
                        <a:xfrm>
                          <a:off x="0" y="0"/>
                          <a:ext cx="2229485" cy="7620"/>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36.75pt;margin-top:8.85pt;height:0.6pt;width:175.55pt;z-index:251660288;mso-width-relative:page;mso-height-relative:page;" filled="f" stroked="t" coordsize="21600,21600" o:gfxdata="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3uzEO2QAAAAkBAAAP&#10;AAAAAAAAAAEAIAAAACIAAABkcnMvZG93bnJldi54bWxQSwECFAAUAAAACACHTuJAI5qS6N4BAACa&#10;AwAADgAAAAAAAAABACAAAAAoAQAAZHJzL2Uyb0RvYy54bWxQSwUGAAAAAAYABgBZAQAAeAUAAAAA&#10;">
                <v:fill on="f" focussize="0,0"/>
                <v:stroke weight="1.25pt" color="#000000" joinstyle="round"/>
                <v:imagedata o:title=""/>
                <o:lock v:ext="edit" aspectratio="f"/>
              </v:line>
            </w:pict>
          </mc:Fallback>
        </mc:AlternateContent>
      </w:r>
    </w:p>
    <w:sectPr>
      <w:headerReference r:id="rId3" w:type="default"/>
      <w:footerReference r:id="rId4" w:type="default"/>
      <w:footerReference r:id="rId5" w:type="even"/>
      <w:pgSz w:w="11906" w:h="16838"/>
      <w:pgMar w:top="1985" w:right="1361" w:bottom="1361" w:left="1588" w:header="851" w:footer="992" w:gutter="0"/>
      <w:pgBorders>
        <w:top w:val="none" w:sz="0" w:space="0"/>
        <w:left w:val="none" w:sz="0" w:space="0"/>
        <w:bottom w:val="none" w:sz="0" w:space="0"/>
        <w:right w:val="none" w:sz="0" w:space="0"/>
      </w:pgBorders>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fldChar w:fldCharType="begin"/>
    </w:r>
    <w:r>
      <w:rPr>
        <w:lang w:val="zh-CN"/>
      </w:rPr>
      <w:instrText xml:space="preserve"> PAGE   \* MERGEFORMAT </w:instrText>
    </w:r>
    <w:r>
      <w:rPr>
        <w:lang w:val="zh-CN"/>
      </w:rPr>
      <w:fldChar w:fldCharType="separate"/>
    </w:r>
    <w:r>
      <w:t>3</w:t>
    </w:r>
    <w:r>
      <w:rPr>
        <w:lang w:val="zh-CN"/>
      </w:rPr>
      <w:fldChar w:fldCharType="end"/>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rPr>
        <w:rStyle w:val="6"/>
      </w:rPr>
      <w:t>2</w:t>
    </w:r>
    <w:r>
      <w:fldChar w:fldCharType="end"/>
    </w:r>
  </w:p>
  <w:p>
    <w:pPr>
      <w:pStyle w:val="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2C0F61"/>
    <w:rsid w:val="26026BFA"/>
    <w:rsid w:val="2BDA7220"/>
    <w:rsid w:val="77B82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qFormat/>
    <w:uiPriority w:val="0"/>
  </w:style>
  <w:style w:type="paragraph" w:customStyle="1" w:styleId="7">
    <w:name w:val="段"/>
    <w:uiPriority w:val="0"/>
    <w:pPr>
      <w:autoSpaceDE w:val="0"/>
      <w:autoSpaceDN w:val="0"/>
      <w:ind w:firstLine="200" w:firstLineChars="200"/>
      <w:jc w:val="both"/>
    </w:pPr>
    <w:rPr>
      <w:rFonts w:ascii="宋体" w:hAnsi="Calibri" w:eastAsia="宋体" w:cs="Times New Roman"/>
      <w:sz w:val="21"/>
      <w:lang w:val="en-US" w:eastAsia="zh-CN" w:bidi="ar-SA"/>
    </w:rPr>
  </w:style>
  <w:style w:type="paragraph" w:styleId="8">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1190</Words>
  <Characters>1749</Characters>
  <Lines>0</Lines>
  <Paragraphs>0</Paragraphs>
  <TotalTime>6</TotalTime>
  <ScaleCrop>false</ScaleCrop>
  <LinksUpToDate>false</LinksUpToDate>
  <CharactersWithSpaces>1985</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2026-03-25T09:34:00Z</dcterms:created>
  <dc:creator>ZSXJZJ</dc:creator>
  <cp:lastModifiedBy>Administrator</cp:lastModifiedBy>
  <cp:lastPrinted>2026-10-19T04:41:06Z</cp:lastPrinted>
  <dcterms:modified xsi:type="dcterms:W3CDTF">2026-10-19T04:45:47Z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KSOTemplateDocerSaveRecord">
    <vt:lpwstr>eyJoZGlkIjoiOGExZDQ1NjUyNzQ3M2MxNzFjNTlkZTVmN2I1YzY3NTciLCJ1c2VySWQiOiI1NzUyMzIxMDIifQ==</vt:lpwstr>
  </property>
  <property fmtid="{D5CDD505-2E9C-101B-9397-08002B2CF9AE}" pid="4" name="ICV">
    <vt:lpwstr>A92B45AC4ACF4AC296AAF885BEC4FEF5_12</vt:lpwstr>
  </property>
</Properties>
</file>