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A1CEA">
      <w:pPr>
        <w:keepNext w:val="0"/>
        <w:keepLines w:val="0"/>
        <w:pageBreakBefore w:val="0"/>
        <w:widowControl w:val="0"/>
        <w:kinsoku/>
        <w:wordWrap w:val="0"/>
        <w:overflowPunct/>
        <w:topLinePunct w:val="0"/>
        <w:autoSpaceDE/>
        <w:autoSpaceDN/>
        <w:bidi w:val="0"/>
        <w:adjustRightInd/>
        <w:snapToGrid/>
        <w:spacing w:before="0" w:line="540" w:lineRule="exact"/>
        <w:jc w:val="center"/>
        <w:textAlignment w:val="auto"/>
        <w:rPr>
          <w:rFonts w:hint="default" w:ascii="Times New Roman" w:hAnsi="Times New Roman" w:eastAsia="方正小标宋_GBK" w:cs="Times New Roman"/>
          <w:b w:val="0"/>
          <w:bCs/>
          <w:color w:val="000000" w:themeColor="text1"/>
          <w:sz w:val="44"/>
          <w:szCs w:val="44"/>
          <w14:textFill>
            <w14:solidFill>
              <w14:schemeClr w14:val="tx1"/>
            </w14:solidFill>
          </w14:textFill>
        </w:rPr>
      </w:pPr>
      <w:bookmarkStart w:id="0" w:name="_GoBack"/>
      <w:bookmarkEnd w:id="0"/>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乌鲁木齐市</w:t>
      </w:r>
      <w:r>
        <w:rPr>
          <w:rFonts w:hint="default" w:ascii="Times New Roman" w:hAnsi="Times New Roman" w:eastAsia="方正小标宋_GBK" w:cs="Times New Roman"/>
          <w:b w:val="0"/>
          <w:bCs/>
          <w:color w:val="000000" w:themeColor="text1"/>
          <w:sz w:val="44"/>
          <w:szCs w:val="44"/>
          <w14:textFill>
            <w14:solidFill>
              <w14:schemeClr w14:val="tx1"/>
            </w14:solidFill>
          </w14:textFill>
        </w:rPr>
        <w:t>米东区市场监督管理局</w:t>
      </w:r>
    </w:p>
    <w:p w14:paraId="2EFC3D11">
      <w:pPr>
        <w:keepNext w:val="0"/>
        <w:keepLines w:val="0"/>
        <w:pageBreakBefore w:val="0"/>
        <w:widowControl w:val="0"/>
        <w:kinsoku/>
        <w:wordWrap w:val="0"/>
        <w:overflowPunct/>
        <w:topLinePunct w:val="0"/>
        <w:autoSpaceDE/>
        <w:autoSpaceDN/>
        <w:bidi w:val="0"/>
        <w:adjustRightInd/>
        <w:snapToGrid/>
        <w:spacing w:line="540" w:lineRule="exact"/>
        <w:jc w:val="center"/>
        <w:textAlignment w:val="auto"/>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pP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w:t>
      </w:r>
      <w:r>
        <w:rPr>
          <w:rFonts w:hint="default" w:ascii="Times New Roman" w:hAnsi="Times New Roman" w:eastAsia="方正小标宋_GBK" w:cs="Times New Roman"/>
          <w:b w:val="0"/>
          <w:bCs/>
          <w:color w:val="000000" w:themeColor="text1"/>
          <w:sz w:val="44"/>
          <w:szCs w:val="44"/>
          <w:lang w:val="en-US" w:eastAsia="zh-CN"/>
          <w14:textFill>
            <w14:solidFill>
              <w14:schemeClr w14:val="tx1"/>
            </w14:solidFill>
          </w14:textFill>
        </w:rPr>
        <w:t>知识产权局、市场监管综合行政执法队</w:t>
      </w: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w:t>
      </w:r>
    </w:p>
    <w:p w14:paraId="13C5FB89">
      <w:pPr>
        <w:tabs>
          <w:tab w:val="left" w:pos="2752"/>
        </w:tabs>
        <w:spacing w:before="90" w:line="183" w:lineRule="auto"/>
        <w:jc w:val="cente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pP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行政处罚决定书</w:t>
      </w:r>
    </w:p>
    <w:p w14:paraId="472A66C3">
      <w:pPr>
        <w:tabs>
          <w:tab w:val="left" w:pos="2725"/>
        </w:tabs>
        <w:spacing w:before="31" w:line="185" w:lineRule="auto"/>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themeColor="text1"/>
          <w:spacing w:val="-7"/>
          <w:sz w:val="32"/>
          <w:szCs w:val="32"/>
          <w:u w:val="none"/>
          <w:lang w:val="en-US" w:eastAsia="zh-CN"/>
          <w14:textFill>
            <w14:solidFill>
              <w14:schemeClr w14:val="tx1"/>
            </w14:solidFill>
          </w14:textFill>
        </w:rPr>
        <w:t>乌米</w:t>
      </w:r>
      <w:r>
        <w:rPr>
          <w:rFonts w:hint="default" w:ascii="Times New Roman" w:hAnsi="Times New Roman" w:eastAsia="方正仿宋_GBK" w:cs="Times New Roman"/>
          <w:color w:val="000000" w:themeColor="text1"/>
          <w:spacing w:val="-7"/>
          <w:sz w:val="32"/>
          <w:szCs w:val="32"/>
          <w14:textFill>
            <w14:solidFill>
              <w14:schemeClr w14:val="tx1"/>
            </w14:solidFill>
          </w14:textFill>
        </w:rPr>
        <w:t>市监</w:t>
      </w:r>
      <w:r>
        <w:rPr>
          <w:rFonts w:hint="default" w:ascii="Times New Roman" w:hAnsi="Times New Roman" w:eastAsia="方正仿宋_GBK" w:cs="Times New Roman"/>
          <w:color w:val="000000" w:themeColor="text1"/>
          <w:spacing w:val="-7"/>
          <w:sz w:val="32"/>
          <w:szCs w:val="32"/>
          <w:lang w:eastAsia="zh-CN"/>
          <w14:textFill>
            <w14:solidFill>
              <w14:schemeClr w14:val="tx1"/>
            </w14:solidFill>
          </w14:textFill>
        </w:rPr>
        <w:t>处</w:t>
      </w:r>
      <w:r>
        <w:rPr>
          <w:rFonts w:hint="default" w:ascii="Times New Roman" w:hAnsi="Times New Roman" w:eastAsia="方正仿宋_GBK" w:cs="Times New Roman"/>
          <w:color w:val="000000" w:themeColor="text1"/>
          <w:spacing w:val="-7"/>
          <w:sz w:val="32"/>
          <w:szCs w:val="32"/>
          <w:lang w:val="en-US" w:eastAsia="zh-CN"/>
          <w14:textFill>
            <w14:solidFill>
              <w14:schemeClr w14:val="tx1"/>
            </w14:solidFill>
          </w14:textFill>
        </w:rPr>
        <w:t>罚</w:t>
      </w:r>
      <w:r>
        <w:rPr>
          <w:rFonts w:hint="default" w:ascii="Times New Roman" w:hAnsi="Times New Roman" w:eastAsia="方正仿宋_GBK" w:cs="Times New Roman"/>
          <w:spacing w:val="-7"/>
          <w:sz w:val="32"/>
          <w:szCs w:val="32"/>
        </w:rPr>
        <w:t>〔</w:t>
      </w:r>
      <w:r>
        <w:rPr>
          <w:rFonts w:hint="default" w:ascii="Times New Roman" w:hAnsi="Times New Roman" w:eastAsia="方正仿宋_GBK" w:cs="Times New Roman"/>
          <w:spacing w:val="18"/>
          <w:sz w:val="32"/>
          <w:szCs w:val="32"/>
          <w:u w:val="none" w:color="auto"/>
          <w:lang w:val="en-US" w:eastAsia="zh-CN"/>
        </w:rPr>
        <w:t>2026</w:t>
      </w:r>
      <w:r>
        <w:rPr>
          <w:rFonts w:hint="default" w:ascii="Times New Roman" w:hAnsi="Times New Roman" w:eastAsia="方正仿宋_GBK" w:cs="Times New Roman"/>
          <w:spacing w:val="-7"/>
          <w:sz w:val="32"/>
          <w:szCs w:val="32"/>
        </w:rPr>
        <w:t>〕</w:t>
      </w:r>
      <w:r>
        <w:rPr>
          <w:rFonts w:hint="default" w:ascii="Times New Roman" w:hAnsi="Times New Roman" w:eastAsia="方正仿宋_GBK" w:cs="Times New Roman"/>
          <w:spacing w:val="18"/>
          <w:sz w:val="32"/>
          <w:szCs w:val="32"/>
          <w:u w:val="none" w:color="auto"/>
          <w:lang w:val="en-US" w:eastAsia="zh-CN"/>
        </w:rPr>
        <w:t>37</w:t>
      </w:r>
      <w:r>
        <w:rPr>
          <w:rFonts w:hint="default" w:ascii="Times New Roman" w:hAnsi="Times New Roman" w:eastAsia="方正仿宋_GBK" w:cs="Times New Roman"/>
          <w:spacing w:val="-7"/>
          <w:sz w:val="32"/>
          <w:szCs w:val="32"/>
        </w:rPr>
        <w:t>号</w:t>
      </w:r>
    </w:p>
    <w:p w14:paraId="2CDB216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kern w:val="2"/>
          <w:sz w:val="32"/>
          <w:szCs w:val="32"/>
          <w:u w:val="none"/>
          <w:lang w:val="en-US" w:eastAsia="zh-CN" w:bidi="ar-SA"/>
        </w:rPr>
      </w:pPr>
    </w:p>
    <w:p w14:paraId="6DA12246">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当事人：张献珍</w:t>
      </w:r>
    </w:p>
    <w:p w14:paraId="12952175">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有效证件名称：身份证</w:t>
      </w:r>
    </w:p>
    <w:p w14:paraId="345E348C">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身份证号：650103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1825</w:t>
      </w:r>
    </w:p>
    <w:p w14:paraId="177E8556">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住址：新疆乌鲁木齐市米东区民泰街500号天泉民居</w:t>
      </w:r>
      <w:r>
        <w:rPr>
          <w:rFonts w:hint="default" w:ascii="Times New Roman" w:hAnsi="Times New Roman" w:eastAsia="方正仿宋_GBK" w:cs="Times New Roman"/>
          <w:sz w:val="32"/>
          <w:szCs w:val="32"/>
        </w:rPr>
        <w:t>**号楼*单元****室</w:t>
      </w:r>
    </w:p>
    <w:p w14:paraId="0B91493A">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联系电话：153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1515</w:t>
      </w:r>
    </w:p>
    <w:p w14:paraId="2BD67D45">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2025年9月8日，本局接到《乌鲁木齐市米东区人民检察院检察意见书》（乌米检刑行意﹝2025﹞34号），意见书中要求本局依法对张献珍（</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米东区献珍生活用品店</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）的经营有毒有害保健品的违法行为进行处理。</w:t>
      </w:r>
    </w:p>
    <w:p w14:paraId="3ABBD45A">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经查阅检察机关转交的公安机关案卷、查询“新疆市场监管登记和许可审批系统”，执法人员发现当事人</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2003年03月05日，曾经办理了个体工商户营业执照，字号名称最后一次变更为“米东区献珍生活用品店”，统一社会信用代码为92650109MA77DD0C04，类型为个体工商户，经营者为张献珍，该店的组织形式为个人经营，2024年08月26日该店注销。根据《中华人民共和国民法典》第五十四条“自然人从事工商业经营的，经依法登记，为个体工商户。个体工商户可以起字号”和《最高人民法院关于适用&lt;中华人民共和国民事诉讼法&gt;的解释》第五十九条“在诉讼中，个体工商户以营业执照上登记的经营者为当事人。有字号的，以营业执照上登记的经营者为当事人。但应同时注明该字号经营者的基本信息”的规定，个体工商户注销后其法律责任的主体应为登记的负责人，张献珍应承担“米东区献珍生活用品店”注销后的法律责任。</w:t>
      </w:r>
    </w:p>
    <w:p w14:paraId="648C3E20">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涉案性保健品均是通过口服使用的产品，且不以治疗为目的，根据《中华人民共和国食品安全法》第一百五十条第一款：“本法下列用语的含义：食品，指各种供人食用或者饮用的成品和原料以及按照传统既是食品又是中药材的物品，但是不包括以治疗为目的的物品”之规定，张献珍经营的性保健品应该是食品，应属我局管辖。</w:t>
      </w:r>
    </w:p>
    <w:p w14:paraId="2FAA6AF0">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本局于 2025年9月25日予以立案调查。2025年12月23日，办案人员经审批将办案期限延长30日，2026年1月22日，经局领导集体讨论同意将本案办案期限再延长90日。执法人员对张献珍进行询问调查，认真查阅检察机关转交的公安机关案卷内容，针对涉案物品开展市场询价，围绕其涉嫌经营添加药品的食品违法行为收集相关证据材料，确定其违法事实。2026年2月25日案件调查终结。调查期间本局未采取行政强制措施。</w:t>
      </w:r>
    </w:p>
    <w:p w14:paraId="206FA227">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经查，张献珍于2003年3月5日办理了字号名称为“米泉市献珍保健品店”的个体工商户营业执照，2023年6月2日变更为“米东区献珍生活用品店”，其经营地址为古牧地东风商场东侧，2023年3月起张献珍购进“红钻伟哥”、“鹿胎丸”、“虫草强肾王”等11种性保健品在献珍生活用品店销售。2023年5月至11月期间，努</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·沙</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三次在当事人经营的生活用品店内以100元每瓶的价格共购买了4瓶名为“老中医”的食品，其中第二次花费200元购买了2瓶，三次均通过微信向张献珍支付货款，共计400元。</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2023年11月25日，乌鲁木齐市公安局米东区分局羊毛工派出所在</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献珍生活用品店</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内查获“</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红钻伟哥”32盒、“鹿胎丸”25盒、“虫草强肾王”31盒、“德国黑金刚”11盒、“金伟哥VGA”52盒、“Vigour（6006）”13盒、“黄金玛卡”7盒、“黑倍王”12盒、“一粒神”10盒、“老中医”57瓶、“勃龙伟哥”43盒，共</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11种性保健品。2023年12月1日，新疆维吾尔自治区产品质量监督检验研究院对当事人店中查获的11种食品进行检测，检测结果显示，所有11种食品均含有西地那非成分。在案件调查期间，</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2024年3月24日，张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在当事人的店内购买了一盒避孕套和“虫草强肾王”2粒，通过微信向张献珍前夫郑</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微信支付90元（当事人手机丢失，微信更换并欠其前夫郑</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钱，故使用其前夫郑</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的微信二维码收款），其中虫草强肾王为一粒5元，两粒10元。2024年3月25日，乌鲁木齐市公安局钢城分局再次对张献珍经营的生活用品店进行搜查，查获“虫草强肾王”3盒半。2024年3月29日，乌鲁木齐市公安局钢城分局</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委托新疆维吾尔自治区产品质量监督检验研究院对店内查获的食品进行检测，检测结果显示，此次查获的食品中也含有西地那非成分。</w:t>
      </w:r>
    </w:p>
    <w:p w14:paraId="5AF1BA0F">
      <w:pPr>
        <w:keepNext w:val="0"/>
        <w:keepLines w:val="0"/>
        <w:pageBreakBefore w:val="0"/>
        <w:widowControl w:val="0"/>
        <w:kinsoku/>
        <w:wordWrap/>
        <w:overflowPunct/>
        <w:topLinePunct w:val="0"/>
        <w:autoSpaceDE/>
        <w:autoSpaceDN/>
        <w:bidi w:val="0"/>
        <w:adjustRightInd w:val="0"/>
        <w:snapToGrid/>
        <w:spacing w:line="54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西地那非（Sildenafil）是一种高度选择性的磷酸二酯酶5（PDE5）抑制剂，是主要用于治疗男性勃起功能障碍的药物。</w:t>
      </w:r>
    </w:p>
    <w:p w14:paraId="50E6DD1F">
      <w:pPr>
        <w:keepNext w:val="0"/>
        <w:keepLines w:val="0"/>
        <w:pageBreakBefore w:val="0"/>
        <w:widowControl w:val="0"/>
        <w:kinsoku/>
        <w:wordWrap w:val="0"/>
        <w:overflowPunct/>
        <w:topLinePunct w:val="0"/>
        <w:autoSpaceDE/>
        <w:autoSpaceDN/>
        <w:bidi w:val="0"/>
        <w:adjustRightInd w:val="0"/>
        <w:snapToGrid/>
        <w:spacing w:line="560" w:lineRule="exact"/>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当事人以记不清楚为由，对公安机关询问笔录中记录的除“老中医”和“虫草强肾王”外其他涉案性保健品的销售价格，均予以否认。对公安机关查获的黑色笔记本中记录的性保健品的销售记录，当事人以笔记本中记录的性保健品与涉案的性保健品不是同一批次或同一种食品为由，不予认可。我局亦无证据证明笔记本上这些记录的性保健品含有“西地那非”成分，检察机关在不起诉决定书中也未认定该笔记本中所记录的相关信息。我局无法在市场上采集到涉案性保健品的销售价格，除“老中医”和“虫草强肾王”以外其他9种性保健品的销售价格无法核实。</w:t>
      </w:r>
    </w:p>
    <w:p w14:paraId="43709BA4">
      <w:pPr>
        <w:keepNext w:val="0"/>
        <w:keepLines w:val="0"/>
        <w:pageBreakBefore w:val="0"/>
        <w:widowControl w:val="0"/>
        <w:kinsoku/>
        <w:overflowPunct/>
        <w:topLinePunct w:val="0"/>
        <w:autoSpaceDE/>
        <w:autoSpaceDN/>
        <w:bidi w:val="0"/>
        <w:adjustRightInd w:val="0"/>
        <w:snapToGrid/>
        <w:spacing w:line="540" w:lineRule="exact"/>
        <w:ind w:firstLine="640" w:firstLineChars="200"/>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当事人在购进涉案保健品时未获取供货方营业执照，食品经营许可证和产品出厂检验合格报告等相关凭证，未建立食品进货查验记录制度，也未建立销售台账，除努</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·沙</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和张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两人销售记录以外，涉案保健品的销售情况无法查明。</w:t>
      </w:r>
    </w:p>
    <w:p w14:paraId="046C7CFB">
      <w:pPr>
        <w:keepNext w:val="0"/>
        <w:keepLines w:val="0"/>
        <w:pageBreakBefore w:val="0"/>
        <w:widowControl/>
        <w:tabs>
          <w:tab w:val="left" w:pos="3730"/>
        </w:tabs>
        <w:kinsoku w:val="0"/>
        <w:wordWrap/>
        <w:overflowPunct/>
        <w:topLinePunct w:val="0"/>
        <w:autoSpaceDE w:val="0"/>
        <w:autoSpaceDN w:val="0"/>
        <w:bidi w:val="0"/>
        <w:adjustRightInd w:val="0"/>
        <w:snapToGrid w:val="0"/>
        <w:spacing w:line="240" w:lineRule="auto"/>
        <w:ind w:left="0" w:right="0" w:firstLine="640" w:firstLineChars="200"/>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综上，涉案物品货值金额为7835元，违法所得为410元。</w:t>
      </w:r>
    </w:p>
    <w:p w14:paraId="5D35F43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上述事实，主要有以下证据证明：</w:t>
      </w:r>
    </w:p>
    <w:p w14:paraId="54B937F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本局《案件来源登记表》（乌米市监案源字﹝2025﹞271号、《文件传阅处理单》、乌鲁木齐市米东区人民检察院《检察意见书》（乌米检刑行意﹝2025﹞34号），证明案件来源。</w:t>
      </w:r>
    </w:p>
    <w:p w14:paraId="69F3364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当事人张献珍的户口本复印件，“新疆市场监管登记和许可审批系统”基本信息页面打印件，证明自然人张献珍是米东区献珍生活用品店的经营者以及当事人的身份信息。</w:t>
      </w:r>
    </w:p>
    <w:p w14:paraId="17F4888A">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《鉴定聘请书》｛米公（羊）鉴聘字〔2023〕63号、钢公（刑）鉴聘字〔2024〕23号｝、新疆维吾尔自治区产品质量监督检验研究院编号2023X-J-SP37890至2023X-J-SP37900 以及2024X-J-SP09668的12份《检验报告》、乌鲁木齐市公安局米东区分局和钢城分局鉴定意见通知书｛米公（羊）鉴通字〔2024〕48号、钢公（刑）鉴通字〔2024〕3号｝，证明当事人经营的性保健品含有“西地那非”成分的事实。</w:t>
      </w:r>
    </w:p>
    <w:p w14:paraId="710EBD14">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乌鲁木齐市米东区人民检察院《检察意见书》（乌米检刑行意﹝2025﹞34 号）的附件（1）乌鲁木齐市米东区人民检察院《不起诉决定书》（乌米检刑不诉〔2025〕71号）、（2）乌鲁木齐市米东区人民检察院《不起诉理由说明书》、（3）乌鲁木齐市米东区人民检察院《随案移送赃证款物品清单》、（4）检察卷宗四册；《张献珍涉嫌销售有毒有害物品案》电子案卷刻录光盘及案卷打印件，含乌鲁木齐市公安局钢城分局《立案决定书》｛钢公（刑）立字〔2024〕28号｝、《起诉意见书》｛乌公[钢]诉字[2024]49号｝、《扣押决定书》｛米公（羊）扣字〔2023〕1225号、钢公（刑）扣字〔2024〕26号｝、《现场扣押清单》、《扣押笔录》、《搜查笔录》、现场指认照片、《讯问笔录》23份、被辨认人照片列表、努</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·沙</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提供的微信支付交易明细证明图5张、张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提供的微信个人信息截图和付款记录共2张、当事人前夫郑</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的微信个人信息截图、执法人员对当事人制作的《询问笔录》3份、对张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制作的《视频笔录》1份；证明当事人未建立食品进货查验记录制度、当事人销售给努</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·沙</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和张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kern w:val="2"/>
          <w:sz w:val="32"/>
          <w:szCs w:val="32"/>
          <w:u w:val="none"/>
          <w:lang w:val="en-US" w:eastAsia="zh-CN" w:bidi="ar-SA"/>
        </w:rPr>
        <w:t>两人涉案性保健品的事实以及可查证的两种性保健品的销售价格为老中医100元/瓶，虫草强肾王5元/粒、50元/盒。</w:t>
      </w:r>
    </w:p>
    <w:p w14:paraId="1322703F">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2025年12月27日，执法人员对当事人制作的第二次《询问笔录》，证明当事人对公安机关查获的黑色笔记本中记录的性保健品的销售记录不予认可。</w:t>
      </w:r>
    </w:p>
    <w:p w14:paraId="60092C0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2026年1月15日，执法人员对当事人制作的第三次《询问笔录》，证明当事人对公安机关询问笔录中记录的涉案性保健品的销售价格予以否认。</w:t>
      </w:r>
    </w:p>
    <w:p w14:paraId="75E3DDB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2026年2月25日，执法人员对市场相关经营主体制作并收集涉案物品价格的《问卷调查》5份，证明无法在市场上采集到涉案性保健品销售价格的事实。</w:t>
      </w:r>
    </w:p>
    <w:p w14:paraId="4A5ED20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8. 《送达地址确认书》，证明当事人向本局确认其接收法律文书的送达地址及送达方式。</w:t>
      </w:r>
    </w:p>
    <w:p w14:paraId="25A1BE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9. 米东区古牧地东路街道南苑社区出具的《情况说明》，证明当事人无固定职业。</w:t>
      </w:r>
    </w:p>
    <w:p w14:paraId="4AE87A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10. 执法人员从“国家企业信用信息公示系统”查询行政处罚信息的查询结果页面打印件，证明当事人无被行政处罚的记录。</w:t>
      </w:r>
    </w:p>
    <w:p w14:paraId="37E8B6A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2026年3月13日，我局向当事人张献珍送达了《乌鲁木齐市米东区市场监督管理局行政处罚告知书》（乌米市监告〔2025〕225号），告知当事人拟作出的行政处罚内容以及事实、理由、依据，并告知当事人依法享有陈述、申辩和要求听证的权利。当事人在法定期间未提出听证要求，但于2026年3月19日向本局提交陈述、申辩意见书，申请本局对其处罚幅度予以从轻、减轻处理，理由如下：一是当事人身患多种疾病，长期服药，被查处涉案问题食品后第一时间关停店铺，店铺关停后无经营收入，仅靠拾荒维生，家庭经济极度困难，无力承担高额罚款；二是当事人文化水平低，无主观恶意，违法所得仅410元、情节轻微，已深刻认错悔改。经复核，本局认为，当事人提交的贫困证明材料不足，不符合经济困难的认定条件，当事人不属于残疾或所患疾病不属于重大疾病（参考《重大疾病保险的疾病定义适用规范（2020修订版）》）；当事人在2023年11月首次被查获涉案问题食品后，仍持续销售，直至2024年3月第二次被查获，其“第一时间关停店铺”的陈述与事实不符，不具备减轻处罚的情节。本局已经综合考虑当事人违法行为的事实、性质、情节、社会危害程度、主观过错以及公平公正原则等法定因素，拟作出的决定已属从轻处罚，且为从轻处罚的最下限，当事人提交的证据不足以减轻处罚。鉴于此，本局依法对当事人的陈述、申辩意见不予采纳。</w:t>
      </w:r>
    </w:p>
    <w:p w14:paraId="6997E10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本局认为：当事人张献珍的行为构成以下违法行为：</w:t>
      </w:r>
    </w:p>
    <w:p w14:paraId="2B50AAB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1.当事人经营含有西地那非成分的红钻伟哥等11种食品的行为，违反了《中华人民共和国食品安全法》第三十八条“生产经营的食品中不得添加药品，但是可以添加按照传统既是食品又是中药材的物质。按照传统既是食品又是中药材的物质目录由国务院卫生行政部门会同国务院食品安全监督管理部门制定、公布。”的规定，构成经营添加药品的食品的行为。</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依据《中华人民共和国食品安全法》第一百二十三条第一款规定“违反本法规定，有下列情形之一，尚不构成犯罪的，由县级以上人民政府食品安全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六）生产经营添加药品的食品”的规定，应当给予当事人没收违法所得和违法生产经营的食品，并处十万元以上十五万元以下的罚款。</w:t>
      </w:r>
    </w:p>
    <w:p w14:paraId="0F376B66">
      <w:pPr>
        <w:keepNext w:val="0"/>
        <w:keepLines w:val="0"/>
        <w:pageBreakBefore w:val="0"/>
        <w:kinsoku/>
        <w:wordWrap w:val="0"/>
        <w:overflowPunct/>
        <w:topLinePunct w:val="0"/>
        <w:autoSpaceDE/>
        <w:autoSpaceDN/>
        <w:bidi w:val="0"/>
        <w:adjustRightInd w:val="0"/>
        <w:snapToGrid/>
        <w:spacing w:line="540" w:lineRule="exact"/>
        <w:ind w:firstLine="640" w:firstLineChars="200"/>
        <w:textAlignment w:val="baseline"/>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2.当事人采购食品时未查验供货商经营资质，食品出厂合格证的行为，违反了《中华人民共和国食品安全法》第五十三条第一款“第五十三条 食品经营者采购食品，应当查验供货者的许可证和食品出厂检验合格证或者其他合格证明(以下称合格证明文件)。”的规定，构成未履行食品进货查验义务的行为。</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依据《中华人民共和国食品安全法》第一百二十六条第一款规定“违反本法规定，有下列情形之一的，由县级以上人民政府食品安全监督管理部门责令改正，给予警告；拒不改正的，处五千元以上五万元以下罚款；情节严重的，责令停产停业，直至吊销许可证：（三）食品、食品添加剂生产经营者进货时未查验许可证和相关证明文件，或者未按规定建立并遵守进货查验记录、出厂检验记录和销售记录制度”的规定，应当责令当事人改正未履行食品进货查验义务的行为，给予警告的行政处罚。</w:t>
      </w:r>
    </w:p>
    <w:p w14:paraId="2E9ADBF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由于当事人的违法行为持续时间超过3个月，根据《中华人民共和国食品安全法实施条例》第六十七条第一款第（一）项，“有下列情形之一的，属于食品安全法第一百二十三条至第一百二十六条、以及本条例第七十二条、第七十三条规定的情节严重情形：（一）违法行为涉及的产品货值金额2万元以上或者违法行为持续时间3个月以上；”的规定，属于情节严重情形。依照该条第二款“对情节严重的违法行为处以罚款时，应当依法从重从严”的规定，对本案依法从重从严处罚。</w:t>
      </w:r>
    </w:p>
    <w:p w14:paraId="01E8F5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当事人经营期间，本局未收到消费者因食用涉案性保健品引发的投诉或举报，亦未发生由此导致的食品安全事故。当事人年龄较大，文化程度较低，仅有初中学历，法律意识淡薄，导致其未能履行相应的食品进货查验机制。在本局调查期间，当事人提供了离婚证书复印件和社区开具的无固定职业等证明，本案可查证的货值金额为7835元，未达到一万元，未销售的产品数量多，可查证的违法所得较少为410元。根据《中华人民共和国行政处罚法》第五条：“设定和实施行政处罚必须以事实为依据，与违法行为的事实、性质、情节以及社会危害程度相当”以及第六条：“实施行政处罚，纠正违法行为，应当坚持处罚与教育相结合，教育公民、法人或者其他组织自觉守法”的规定，综合考量当事人违法行为的事实、性质、情节、社会危害程度，结合其年龄、文化水平等因素，本局认为，为体现法律的教育与引导功能，同时也为维护市场监管执法的公正性与合理性，对当事人给予从轻行政处罚。</w:t>
      </w:r>
    </w:p>
    <w:p w14:paraId="517D488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综上，本局对当事人的上述行为作出以下行政处罚决定：</w:t>
      </w:r>
    </w:p>
    <w:p w14:paraId="42461A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1.当事人未落实食品进货查验的行为，违反了《中华人民共和国食品安全法》第五十三条的规定，依据《中华人民共和国食品安全法》第一百二十六条第一款第（三）项的规定，责令当事人改正未履行食品进货查验义务的行为，给予当事人警告的行政处罚。</w:t>
      </w:r>
    </w:p>
    <w:p w14:paraId="088E49F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2.当事人经营添加药品的食品的行为，违反了《中华人民共和国食品安全法》第三十八条的规定，依据《中华人民共和国食品安全法》第一百二十三条第一款第（六）项的规定，</w:t>
      </w:r>
      <w:r>
        <w:rPr>
          <w:rFonts w:hint="default" w:ascii="Times New Roman" w:hAnsi="Times New Roman" w:eastAsia="方正仿宋_GBK" w:cs="Times New Roman"/>
          <w:kern w:val="2"/>
          <w:sz w:val="32"/>
          <w:szCs w:val="32"/>
          <w:u w:val="none"/>
          <w:lang w:val="en-US" w:eastAsia="zh-CN" w:bidi="ar-SA"/>
        </w:rPr>
        <w:t>对当事人</w:t>
      </w:r>
      <w:r>
        <w:rPr>
          <w:rFonts w:hint="default" w:ascii="Times New Roman" w:hAnsi="Times New Roman" w:eastAsia="方正仿宋_GBK" w:cs="Times New Roman"/>
          <w:snapToGrid w:val="0"/>
          <w:color w:val="000000"/>
          <w:kern w:val="2"/>
          <w:sz w:val="32"/>
          <w:szCs w:val="32"/>
          <w:u w:val="none"/>
          <w:lang w:val="en-US" w:eastAsia="zh-CN" w:bidi="ar-SA"/>
        </w:rPr>
        <w:t>给予如下行政处罚：</w:t>
      </w:r>
    </w:p>
    <w:p w14:paraId="3CC090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1）没收违法经营的食品（鉴定后剩余）：金伟哥50盒（10粒/盒）、一粒神8盒（10粒/盒）、红钻伟哥30盒（10粒/盒）、黄金玛卡5盒（12粒/盒）、德国黑金刚9盒（10粒/盒）、黑倍王10盒（10粒/盒）、Vigour（6006）11盒（10粒/盒）、勃龙伟哥41盒（10粒/盒）、虫草强肾王27盒（10粒/盒）、鹿胎丸23盒（10丸/盒）、老中医55瓶（10粒/瓶）；</w:t>
      </w:r>
    </w:p>
    <w:p w14:paraId="245B2B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（2）没收违法所得410元。</w:t>
      </w:r>
    </w:p>
    <w:p w14:paraId="09ABA4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（3）罚款100000元（壹拾万元整）。</w:t>
      </w:r>
    </w:p>
    <w:p w14:paraId="6206823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当事人经营添加药品的食品的行为，与未履行食品进货查验义务并无牵连关系。依据《新疆维吾尔自治区 新疆建设兵团市场监督管理行政处罚裁量权适用规定》第十一条：“同一行政违法行为人的两种以上行政违法行为没有牵连关系的，遵循“分别处罚，一并执行”的原则，适用本规定实施行政处罚；两种以上行政违法行为有牵连关系的，适用吸收原则，选择较重的违法行为从重处罚。”的规定，决定对当事人给予行政处罚如下：</w:t>
      </w:r>
    </w:p>
    <w:p w14:paraId="45CBF3A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1.警告。</w:t>
      </w:r>
    </w:p>
    <w:p w14:paraId="63535D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2.没收违法经营的食品（鉴定后剩余）：金伟哥50盒（10粒/盒）、一粒神8盒（10粒/盒）、红钻伟哥30盒（10粒/盒）、黄金玛卡5盒（12粒/盒）、德国黑金刚9盒（10粒/盒）、黑倍王10盒（10粒/盒）、Vigour（6006）11盒（10粒/盒）、勃龙伟哥41盒（10粒/盒）、虫草强肾王27盒（10粒/盒）、鹿胎丸23盒（10丸/盒）、老中医55瓶（10粒/瓶）；</w:t>
      </w:r>
    </w:p>
    <w:p w14:paraId="318A71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3.没收违法所得410元。</w:t>
      </w:r>
    </w:p>
    <w:p w14:paraId="2BDBDE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4.罚款100000元（壹拾万元整）。</w:t>
      </w:r>
    </w:p>
    <w:p w14:paraId="5B29EA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当事人自接到本处罚决定书之日起十五日内到工行米东支行[账户：乌鲁木齐市米东区财政局（国有资产管理委员会办公室），账号：3004812109026300128]缴纳罚款。逾期不缴纳，依据《中华人民共和国行政处罚法》第七十二条第（一）项、第（四）项的规定，每日按罚款数额的3%加处罚款并申请法院强制执行。</w:t>
      </w:r>
    </w:p>
    <w:p w14:paraId="07F76BD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如不服本处罚决定，可在接到处罚决定书之日起六十日内向乌鲁木齐市米东区人民政府（乌鲁木齐市米东区府前中路555号）申请复议；也可以在接到本处罚决定书之日起六个月内依法直接向乌鲁木齐市米东区人民法院（乌鲁木齐市米东区振兴中路120号）提起行政诉讼。申请行政复议或者提起行政诉讼期间，行政处罚不停止执行。</w:t>
      </w:r>
    </w:p>
    <w:p w14:paraId="0337F656">
      <w:pPr>
        <w:keepNext w:val="0"/>
        <w:keepLines w:val="0"/>
        <w:pageBreakBefore w:val="0"/>
        <w:widowControl w:val="0"/>
        <w:kinsoku/>
        <w:wordWrap/>
        <w:overflowPunct/>
        <w:topLinePunct w:val="0"/>
        <w:autoSpaceDE/>
        <w:autoSpaceDN/>
        <w:bidi w:val="0"/>
        <w:adjustRightInd/>
        <w:snapToGrid/>
        <w:spacing w:line="560" w:lineRule="exact"/>
        <w:ind w:firstLine="3200" w:firstLineChars="1000"/>
        <w:textAlignment w:val="auto"/>
        <w:rPr>
          <w:rFonts w:hint="default" w:ascii="Times New Roman" w:hAnsi="Times New Roman" w:eastAsia="方正仿宋_GBK" w:cs="Times New Roman"/>
          <w:kern w:val="2"/>
          <w:sz w:val="32"/>
          <w:szCs w:val="32"/>
          <w:u w:val="none"/>
          <w:lang w:val="en-US" w:eastAsia="zh-CN" w:bidi="ar-SA"/>
        </w:rPr>
      </w:pPr>
    </w:p>
    <w:p w14:paraId="0FF3D29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kern w:val="2"/>
          <w:sz w:val="32"/>
          <w:szCs w:val="32"/>
          <w:u w:val="none"/>
          <w:lang w:val="en-US" w:eastAsia="zh-CN" w:bidi="ar-SA"/>
        </w:rPr>
      </w:pPr>
    </w:p>
    <w:p w14:paraId="21251134">
      <w:pPr>
        <w:keepNext w:val="0"/>
        <w:keepLines w:val="0"/>
        <w:pageBreakBefore w:val="0"/>
        <w:widowControl w:val="0"/>
        <w:kinsoku/>
        <w:wordWrap/>
        <w:overflowPunct/>
        <w:topLinePunct w:val="0"/>
        <w:autoSpaceDE/>
        <w:autoSpaceDN/>
        <w:bidi w:val="0"/>
        <w:adjustRightInd/>
        <w:snapToGrid/>
        <w:spacing w:line="560" w:lineRule="exact"/>
        <w:ind w:firstLine="2880" w:firstLineChars="900"/>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乌鲁木齐市米东区市场监督管理局</w:t>
      </w:r>
    </w:p>
    <w:p w14:paraId="55D60769">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（知识产权局、市场监管综合行政执法队）　　　　　　　　</w:t>
      </w:r>
    </w:p>
    <w:p w14:paraId="2C01AD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　　　　　　　　　</w:t>
      </w:r>
      <w:r>
        <w:rPr>
          <w:rFonts w:hint="eastAsia" w:ascii="Times New Roman" w:hAnsi="Times New Roman" w:eastAsia="方正仿宋_GBK" w:cs="Times New Roman"/>
          <w:kern w:val="2"/>
          <w:sz w:val="32"/>
          <w:szCs w:val="32"/>
          <w:u w:val="none"/>
          <w:lang w:val="en-US" w:eastAsia="zh-CN" w:bidi="ar-SA"/>
        </w:rPr>
        <w:t xml:space="preserve">     </w:t>
      </w:r>
      <w:r>
        <w:rPr>
          <w:rFonts w:hint="default" w:ascii="Times New Roman" w:hAnsi="Times New Roman" w:eastAsia="方正仿宋_GBK" w:cs="Times New Roman"/>
          <w:kern w:val="2"/>
          <w:sz w:val="32"/>
          <w:szCs w:val="32"/>
          <w:u w:val="none"/>
          <w:lang w:val="en-US" w:eastAsia="zh-CN" w:bidi="ar-SA"/>
        </w:rPr>
        <w:t>　</w:t>
      </w:r>
      <w:r>
        <w:rPr>
          <w:rFonts w:hint="eastAsia" w:ascii="Times New Roman" w:hAnsi="Times New Roman" w:eastAsia="方正仿宋_GBK" w:cs="Times New Roman"/>
          <w:kern w:val="2"/>
          <w:sz w:val="32"/>
          <w:szCs w:val="32"/>
          <w:u w:val="none"/>
          <w:lang w:val="en-US" w:eastAsia="zh-CN" w:bidi="ar-SA"/>
        </w:rPr>
        <w:t xml:space="preserve">    </w:t>
      </w:r>
      <w:r>
        <w:rPr>
          <w:rFonts w:hint="default" w:ascii="Times New Roman" w:hAnsi="Times New Roman" w:eastAsia="方正仿宋_GBK" w:cs="Times New Roman"/>
          <w:kern w:val="2"/>
          <w:sz w:val="32"/>
          <w:szCs w:val="32"/>
          <w:u w:val="none"/>
          <w:lang w:val="en-US" w:eastAsia="zh-CN" w:bidi="ar-SA"/>
        </w:rPr>
        <w:t>2026年</w:t>
      </w:r>
      <w:r>
        <w:rPr>
          <w:rFonts w:hint="default" w:ascii="Times New Roman" w:hAnsi="Times New Roman" w:eastAsia="方正仿宋_GBK" w:cs="Times New Roman"/>
          <w:snapToGrid w:val="0"/>
          <w:color w:val="000000"/>
          <w:kern w:val="2"/>
          <w:sz w:val="32"/>
          <w:szCs w:val="32"/>
          <w:u w:val="none"/>
          <w:lang w:val="en-US" w:eastAsia="zh-CN" w:bidi="ar-SA"/>
        </w:rPr>
        <w:t>4</w:t>
      </w:r>
      <w:r>
        <w:rPr>
          <w:rFonts w:hint="default" w:ascii="Times New Roman" w:hAnsi="Times New Roman" w:eastAsia="方正仿宋_GBK" w:cs="Times New Roman"/>
          <w:kern w:val="2"/>
          <w:sz w:val="32"/>
          <w:szCs w:val="32"/>
          <w:u w:val="none"/>
          <w:lang w:val="en-US" w:eastAsia="zh-CN" w:bidi="ar-SA"/>
        </w:rPr>
        <w:t>月</w:t>
      </w:r>
      <w:r>
        <w:rPr>
          <w:rFonts w:hint="default" w:ascii="Times New Roman" w:hAnsi="Times New Roman" w:eastAsia="方正仿宋_GBK" w:cs="Times New Roman"/>
          <w:snapToGrid w:val="0"/>
          <w:color w:val="000000"/>
          <w:kern w:val="2"/>
          <w:sz w:val="32"/>
          <w:szCs w:val="32"/>
          <w:u w:val="none"/>
          <w:lang w:val="en-US" w:eastAsia="zh-CN" w:bidi="ar-SA"/>
        </w:rPr>
        <w:t>7</w:t>
      </w:r>
      <w:r>
        <w:rPr>
          <w:rFonts w:hint="default" w:ascii="Times New Roman" w:hAnsi="Times New Roman" w:eastAsia="方正仿宋_GBK" w:cs="Times New Roman"/>
          <w:kern w:val="2"/>
          <w:sz w:val="32"/>
          <w:szCs w:val="32"/>
          <w:u w:val="none"/>
          <w:lang w:val="en-US" w:eastAsia="zh-CN" w:bidi="ar-SA"/>
        </w:rPr>
        <w:t>日</w:t>
      </w:r>
    </w:p>
    <w:p w14:paraId="5CC2C4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674F76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62BBCA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33FD60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375849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2C7AE3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369A5B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49B65C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71C8E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2F2CBF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6D2E25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073B310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kern w:val="2"/>
          <w:sz w:val="32"/>
          <w:szCs w:val="32"/>
          <w:u w:val="none"/>
          <w:lang w:val="en-US" w:eastAsia="zh-CN" w:bidi="ar-SA"/>
        </w:rPr>
      </w:pPr>
    </w:p>
    <w:p w14:paraId="006A8EF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kern w:val="2"/>
          <w:sz w:val="32"/>
          <w:szCs w:val="32"/>
          <w:u w:val="none"/>
          <w:lang w:val="en-US" w:eastAsia="zh-CN" w:bidi="ar-SA"/>
        </w:rPr>
      </w:pPr>
      <w:r>
        <w:rPr>
          <w:rFonts w:hint="default" w:ascii="Times New Roman" w:hAnsi="Times New Roman" w:eastAsia="宋体" w:cs="Times New Roman"/>
          <w:b/>
          <w:color w:val="231F20"/>
          <w:spacing w:val="-5"/>
          <w:sz w:val="32"/>
          <w:szCs w:val="32"/>
          <w:lang w:eastAsia="zh-CN"/>
        </w:rPr>
        <w:t>（市场监督管理部门将依法向社会公示本行政处罚决定信息）</w:t>
      </w:r>
    </w:p>
    <w:sectPr>
      <w:footerReference r:id="rId5" w:type="default"/>
      <w:pgSz w:w="11906" w:h="16838"/>
      <w:pgMar w:top="2098" w:right="1531" w:bottom="1984" w:left="1531"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B37F0">
    <w:pPr>
      <w:pStyle w:val="3"/>
      <w:tabs>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1E723">
                          <w:pPr>
                            <w:pStyle w:val="3"/>
                            <w:rPr>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  \* MERGEFORMAT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1</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C1E723">
                    <w:pPr>
                      <w:pStyle w:val="3"/>
                      <w:rPr>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  \* MERGEFORMAT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1</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w:t>
                    </w:r>
                  </w:p>
                </w:txbxContent>
              </v:textbox>
            </v:shape>
          </w:pict>
        </mc:Fallback>
      </mc:AlternateContent>
    </w:r>
    <w:r>
      <w:rPr>
        <w:rFonts w:hint="eastAsia" w:eastAsia="宋体"/>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F97AAA"/>
    <w:multiLevelType w:val="singleLevel"/>
    <w:tmpl w:val="EDF97AA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4ZDliODc4NmFhOWJiY2E3MjIxNmEzNjI4ZjZhYTYifQ=="/>
  </w:docVars>
  <w:rsids>
    <w:rsidRoot w:val="00000000"/>
    <w:rsid w:val="014118C4"/>
    <w:rsid w:val="02106390"/>
    <w:rsid w:val="05E02946"/>
    <w:rsid w:val="06473986"/>
    <w:rsid w:val="090C3043"/>
    <w:rsid w:val="0BF37C93"/>
    <w:rsid w:val="0C3101D7"/>
    <w:rsid w:val="0CAF1D78"/>
    <w:rsid w:val="0E5267C8"/>
    <w:rsid w:val="14835DF6"/>
    <w:rsid w:val="15180411"/>
    <w:rsid w:val="158A242A"/>
    <w:rsid w:val="15AC1606"/>
    <w:rsid w:val="17624B0D"/>
    <w:rsid w:val="1AEA7B4C"/>
    <w:rsid w:val="1B2B51E6"/>
    <w:rsid w:val="1B6B189E"/>
    <w:rsid w:val="1B79720A"/>
    <w:rsid w:val="1BAB159F"/>
    <w:rsid w:val="1CD8056A"/>
    <w:rsid w:val="1D7663C1"/>
    <w:rsid w:val="1ECA7633"/>
    <w:rsid w:val="21F01F31"/>
    <w:rsid w:val="220742E1"/>
    <w:rsid w:val="26B24BAB"/>
    <w:rsid w:val="271D48AB"/>
    <w:rsid w:val="2B450F48"/>
    <w:rsid w:val="309E7028"/>
    <w:rsid w:val="30D008B8"/>
    <w:rsid w:val="31306DDB"/>
    <w:rsid w:val="31F821B8"/>
    <w:rsid w:val="32A10777"/>
    <w:rsid w:val="343828E3"/>
    <w:rsid w:val="36F34334"/>
    <w:rsid w:val="37452463"/>
    <w:rsid w:val="37503220"/>
    <w:rsid w:val="37DC0F44"/>
    <w:rsid w:val="38ED03A5"/>
    <w:rsid w:val="3EC067C8"/>
    <w:rsid w:val="41FF6AE9"/>
    <w:rsid w:val="424526D7"/>
    <w:rsid w:val="429D1650"/>
    <w:rsid w:val="43473C6D"/>
    <w:rsid w:val="438651C6"/>
    <w:rsid w:val="43CE01F6"/>
    <w:rsid w:val="4460229E"/>
    <w:rsid w:val="4495671A"/>
    <w:rsid w:val="45205AD5"/>
    <w:rsid w:val="482D7C23"/>
    <w:rsid w:val="48E2274C"/>
    <w:rsid w:val="4F1A1ED7"/>
    <w:rsid w:val="52D00667"/>
    <w:rsid w:val="534872EF"/>
    <w:rsid w:val="54A64729"/>
    <w:rsid w:val="55A7299D"/>
    <w:rsid w:val="568C3922"/>
    <w:rsid w:val="5900436F"/>
    <w:rsid w:val="599830B9"/>
    <w:rsid w:val="5F9C3898"/>
    <w:rsid w:val="61394DD3"/>
    <w:rsid w:val="614A70A7"/>
    <w:rsid w:val="62526006"/>
    <w:rsid w:val="63AE0763"/>
    <w:rsid w:val="64F33989"/>
    <w:rsid w:val="6587531A"/>
    <w:rsid w:val="676E785C"/>
    <w:rsid w:val="677B10B4"/>
    <w:rsid w:val="692C0B2C"/>
    <w:rsid w:val="6B0E1857"/>
    <w:rsid w:val="6B1B2C36"/>
    <w:rsid w:val="6B510BBF"/>
    <w:rsid w:val="6C8931D7"/>
    <w:rsid w:val="6CEF556F"/>
    <w:rsid w:val="6D9319B2"/>
    <w:rsid w:val="6EB36ABE"/>
    <w:rsid w:val="6F310918"/>
    <w:rsid w:val="7298763E"/>
    <w:rsid w:val="760C44C1"/>
    <w:rsid w:val="78B41DD3"/>
    <w:rsid w:val="7AA10F6D"/>
    <w:rsid w:val="7B447FEE"/>
    <w:rsid w:val="7C006C7B"/>
    <w:rsid w:val="7D1F6BD6"/>
    <w:rsid w:val="7D67306A"/>
    <w:rsid w:val="7DE17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5489</Words>
  <Characters>5916</Characters>
  <Lines>0</Lines>
  <Paragraphs>0</Paragraphs>
  <TotalTime>45</TotalTime>
  <ScaleCrop>false</ScaleCrop>
  <LinksUpToDate>false</LinksUpToDate>
  <CharactersWithSpaces>5948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2021-10-18T07:49:00Z</dcterms:created>
  <dc:creator>Administrator</dc:creator>
  <cp:lastModifiedBy>Administrator</cp:lastModifiedBy>
  <cp:lastPrinted>2026-04-08T08:39:00Z</cp:lastPrinted>
  <dcterms:modified xsi:type="dcterms:W3CDTF">2026-04-13T10:55:38Z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073AF051064741349BD28698AF1D7A30_13</vt:lpwstr>
  </property>
  <property fmtid="{D5CDD505-2E9C-101B-9397-08002B2CF9AE}" pid="4" name="KSOTemplateDocerSaveRecord">
    <vt:lpwstr>eyJoZGlkIjoiOTQ4ZDliODc4NmFhOWJiY2E3MjIxNmEzNjI4ZjZhYTYifQ==</vt:lpwstr>
  </property>
</Properties>
</file>