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tabs>
          <w:tab w:val="left" w:pos="3518"/>
        </w:tabs>
        <w:kinsoku/>
        <w:wordWrap/>
        <w:overflowPunct/>
        <w:topLinePunct w:val="0"/>
        <w:autoSpaceDE/>
        <w:autoSpaceDN/>
        <w:bidi w:val="0"/>
        <w:adjustRightInd w:val="0"/>
        <w:snapToGrid/>
        <w:spacing w:line="560" w:lineRule="exact"/>
        <w:jc w:val="center"/>
        <w:textAlignment w:val="baseline"/>
        <w:rPr>
          <w:rFonts w:hint="default" w:ascii="Times New Roman" w:hAnsi="Times New Roman" w:eastAsia="方正小标宋_GBK" w:cs="Times New Roman"/>
          <w:b w:val="0"/>
          <w:bCs w:val="0"/>
          <w:spacing w:val="-2"/>
          <w:sz w:val="44"/>
          <w:szCs w:val="44"/>
          <w:u w:val="none" w:color="auto"/>
        </w:rPr>
      </w:pPr>
      <w:r>
        <w:rPr>
          <w:rFonts w:hint="default" w:ascii="Times New Roman" w:hAnsi="Times New Roman" w:eastAsia="方正小标宋_GBK" w:cs="Times New Roman"/>
          <w:b w:val="0"/>
          <w:bCs w:val="0"/>
          <w:sz w:val="44"/>
          <w:szCs w:val="44"/>
          <w:u w:val="none" w:color="auto"/>
          <w:lang w:val="en-US" w:eastAsia="zh-CN"/>
        </w:rPr>
        <w:t>乌鲁木齐市米东区</w:t>
      </w:r>
      <w:r>
        <w:rPr>
          <w:rFonts w:hint="default" w:ascii="Times New Roman" w:hAnsi="Times New Roman" w:eastAsia="方正小标宋_GBK" w:cs="Times New Roman"/>
          <w:b w:val="0"/>
          <w:bCs w:val="0"/>
          <w:spacing w:val="-2"/>
          <w:sz w:val="44"/>
          <w:szCs w:val="44"/>
          <w:u w:val="none" w:color="auto"/>
        </w:rPr>
        <w:t>市场监督管理局</w:t>
      </w:r>
    </w:p>
    <w:p>
      <w:pPr>
        <w:keepNext w:val="0"/>
        <w:keepLines w:val="0"/>
        <w:pageBreakBefore w:val="0"/>
        <w:widowControl w:val="0"/>
        <w:tabs>
          <w:tab w:val="left" w:pos="3518"/>
        </w:tabs>
        <w:kinsoku/>
        <w:wordWrap/>
        <w:overflowPunct/>
        <w:topLinePunct w:val="0"/>
        <w:autoSpaceDE/>
        <w:autoSpaceDN/>
        <w:bidi w:val="0"/>
        <w:adjustRightInd w:val="0"/>
        <w:snapToGrid/>
        <w:spacing w:line="560" w:lineRule="exact"/>
        <w:jc w:val="center"/>
        <w:textAlignment w:val="baseline"/>
        <w:rPr>
          <w:rFonts w:hint="default" w:ascii="Times New Roman" w:hAnsi="Times New Roman" w:eastAsia="方正小标宋_GBK" w:cs="Times New Roman"/>
          <w:b w:val="0"/>
          <w:bCs w:val="0"/>
          <w:spacing w:val="-2"/>
          <w:sz w:val="44"/>
          <w:szCs w:val="44"/>
          <w:u w:val="none" w:color="auto"/>
          <w:lang w:eastAsia="zh-CN"/>
        </w:rPr>
      </w:pPr>
      <w:r>
        <w:rPr>
          <w:rFonts w:hint="default" w:ascii="Times New Roman" w:hAnsi="Times New Roman" w:eastAsia="方正小标宋_GBK" w:cs="Times New Roman"/>
          <w:b w:val="0"/>
          <w:bCs w:val="0"/>
          <w:spacing w:val="-2"/>
          <w:sz w:val="44"/>
          <w:szCs w:val="44"/>
          <w:u w:val="none" w:color="auto"/>
          <w:lang w:eastAsia="zh-CN"/>
        </w:rPr>
        <w:t>（知识产权局、市场监管综合行政执法队）</w:t>
      </w:r>
    </w:p>
    <w:p>
      <w:pPr>
        <w:keepNext w:val="0"/>
        <w:keepLines w:val="0"/>
        <w:pageBreakBefore w:val="0"/>
        <w:tabs>
          <w:tab w:val="left" w:pos="3518"/>
        </w:tabs>
        <w:kinsoku/>
        <w:wordWrap/>
        <w:overflowPunct/>
        <w:topLinePunct w:val="0"/>
        <w:bidi w:val="0"/>
        <w:adjustRightInd w:val="0"/>
        <w:spacing w:line="560" w:lineRule="exact"/>
        <w:jc w:val="center"/>
        <w:textAlignment w:val="baseline"/>
        <w:rPr>
          <w:rFonts w:hint="default" w:ascii="Times New Roman" w:hAnsi="Times New Roman" w:eastAsia="方正小标宋_GBK" w:cs="Times New Roman"/>
          <w:b w:val="0"/>
          <w:bCs w:val="0"/>
          <w:spacing w:val="-2"/>
          <w:sz w:val="44"/>
          <w:szCs w:val="44"/>
          <w:lang w:bidi="ar-SA"/>
        </w:rPr>
      </w:pPr>
      <w:r>
        <w:rPr>
          <w:rFonts w:hint="default" w:ascii="Times New Roman" w:hAnsi="Times New Roman" w:eastAsia="方正小标宋_GBK" w:cs="Times New Roman"/>
          <w:b w:val="0"/>
          <w:bCs w:val="0"/>
          <w:spacing w:val="-2"/>
          <w:sz w:val="44"/>
          <w:szCs w:val="44"/>
          <w:lang w:bidi="ar-SA"/>
        </w:rPr>
        <w:t>行政</w:t>
      </w:r>
      <w:r>
        <w:rPr>
          <w:rFonts w:hint="eastAsia" w:ascii="Times New Roman" w:hAnsi="Times New Roman" w:eastAsia="方正小标宋_GBK" w:cs="Times New Roman"/>
          <w:b w:val="0"/>
          <w:bCs w:val="0"/>
          <w:spacing w:val="-2"/>
          <w:sz w:val="44"/>
          <w:szCs w:val="44"/>
          <w:lang w:eastAsia="zh-CN" w:bidi="ar-SA"/>
        </w:rPr>
        <w:t>处罚决定</w:t>
      </w:r>
      <w:r>
        <w:rPr>
          <w:rFonts w:hint="default" w:ascii="Times New Roman" w:hAnsi="Times New Roman" w:eastAsia="方正小标宋_GBK" w:cs="Times New Roman"/>
          <w:b w:val="0"/>
          <w:bCs w:val="0"/>
          <w:spacing w:val="-2"/>
          <w:sz w:val="44"/>
          <w:szCs w:val="44"/>
          <w:lang w:bidi="ar-SA"/>
        </w:rPr>
        <w:t>书</w:t>
      </w:r>
    </w:p>
    <w:p>
      <w:pPr>
        <w:keepNext w:val="0"/>
        <w:keepLines w:val="0"/>
        <w:pageBreakBefore w:val="0"/>
        <w:widowControl/>
        <w:tabs>
          <w:tab w:val="left" w:pos="4380"/>
        </w:tabs>
        <w:kinsoku/>
        <w:wordWrap w:val="0"/>
        <w:overflowPunct/>
        <w:topLinePunct w:val="0"/>
        <w:autoSpaceDE w:val="0"/>
        <w:autoSpaceDN w:val="0"/>
        <w:bidi w:val="0"/>
        <w:adjustRightInd w:val="0"/>
        <w:snapToGrid w:val="0"/>
        <w:spacing w:line="560" w:lineRule="exact"/>
        <w:ind w:left="0" w:right="0" w:firstLine="0" w:firstLineChars="0"/>
        <w:jc w:val="center"/>
        <w:textAlignment w:val="baseline"/>
        <w:rPr>
          <w:rFonts w:hint="default" w:ascii="Times New Roman" w:hAnsi="Times New Roman" w:eastAsia="方正仿宋_GBK" w:cs="Times New Roman"/>
          <w:color w:val="auto"/>
          <w:kern w:val="0"/>
          <w:sz w:val="32"/>
          <w:szCs w:val="32"/>
          <w:u w:val="none"/>
          <w:lang w:val="en-US" w:eastAsia="zh-CN" w:bidi="ar-SA"/>
        </w:rPr>
      </w:pPr>
      <w:r>
        <w:rPr>
          <w:rFonts w:hint="default" w:ascii="Times New Roman" w:hAnsi="Times New Roman" w:eastAsia="方正仿宋_GBK" w:cs="Times New Roman"/>
          <w:color w:val="auto"/>
          <w:kern w:val="0"/>
          <w:sz w:val="32"/>
          <w:szCs w:val="32"/>
          <w:u w:val="none"/>
          <w:lang w:val="en-US" w:eastAsia="zh-CN" w:bidi="ar-SA"/>
        </w:rPr>
        <w:t>乌米市监处罚〔2026〕113号</w:t>
      </w:r>
    </w:p>
    <w:p>
      <w:pPr>
        <w:keepNext w:val="0"/>
        <w:keepLines w:val="0"/>
        <w:pageBreakBefore w:val="0"/>
        <w:widowControl/>
        <w:tabs>
          <w:tab w:val="left" w:pos="4380"/>
        </w:tabs>
        <w:kinsoku/>
        <w:wordWrap w:val="0"/>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方正仿宋_GBK" w:cs="Times New Roman"/>
          <w:color w:val="000000"/>
          <w:kern w:val="0"/>
          <w:sz w:val="32"/>
          <w:szCs w:val="32"/>
          <w:u w:val="none"/>
          <w:lang w:val="en-US" w:eastAsia="zh-CN" w:bidi="ar-SA"/>
        </w:rPr>
      </w:pPr>
    </w:p>
    <w:p>
      <w:pPr>
        <w:keepNext w:val="0"/>
        <w:keepLines w:val="0"/>
        <w:pageBreakBefore w:val="0"/>
        <w:widowControl/>
        <w:tabs>
          <w:tab w:val="left" w:pos="4380"/>
        </w:tabs>
        <w:kinsoku/>
        <w:wordWrap w:val="0"/>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方正仿宋_GBK" w:cs="Times New Roman"/>
          <w:color w:val="000000"/>
          <w:spacing w:val="-12"/>
          <w:kern w:val="0"/>
          <w:sz w:val="32"/>
          <w:szCs w:val="32"/>
          <w:u w:val="none" w:color="auto"/>
          <w:lang w:val="en-US" w:eastAsia="zh-CN" w:bidi="ar-SA"/>
        </w:rPr>
      </w:pPr>
      <w:r>
        <w:rPr>
          <w:rFonts w:hint="default" w:ascii="Times New Roman" w:hAnsi="Times New Roman" w:eastAsia="方正仿宋_GBK" w:cs="Times New Roman"/>
          <w:color w:val="000000"/>
          <w:kern w:val="0"/>
          <w:sz w:val="32"/>
          <w:szCs w:val="32"/>
          <w:u w:val="none"/>
          <w:lang w:val="en-US" w:eastAsia="zh-CN" w:bidi="ar-SA"/>
        </w:rPr>
        <w:t>当事人：</w:t>
      </w:r>
      <w:r>
        <w:rPr>
          <w:rFonts w:hint="default" w:ascii="Times New Roman" w:hAnsi="Times New Roman" w:eastAsia="方正仿宋_GBK" w:cs="Times New Roman"/>
          <w:spacing w:val="-12"/>
          <w:sz w:val="32"/>
          <w:szCs w:val="32"/>
          <w:u w:val="none" w:color="auto"/>
          <w:lang w:eastAsia="zh-CN"/>
        </w:rPr>
        <w:t>马</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pacing w:val="-12"/>
          <w:sz w:val="32"/>
          <w:szCs w:val="32"/>
          <w:u w:val="none" w:color="auto"/>
          <w:lang w:eastAsia="zh-CN"/>
        </w:rPr>
        <w:t>，身份证号：652322</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pacing w:val="-12"/>
          <w:sz w:val="32"/>
          <w:szCs w:val="32"/>
          <w:u w:val="none" w:color="auto"/>
          <w:lang w:eastAsia="zh-CN"/>
        </w:rPr>
        <w:t>3010，职务：快递员，工作地址：新疆</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pacing w:val="-12"/>
          <w:sz w:val="32"/>
          <w:szCs w:val="32"/>
          <w:u w:val="none" w:color="auto"/>
          <w:lang w:eastAsia="zh-CN"/>
        </w:rPr>
        <w:t>服务点，现住址：乌鲁木齐市米东区羊毛工镇留子庙北</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pacing w:val="-12"/>
          <w:sz w:val="32"/>
          <w:szCs w:val="32"/>
          <w:u w:val="none" w:color="auto"/>
          <w:lang w:eastAsia="zh-CN"/>
        </w:rPr>
        <w:t>巷</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pacing w:val="-12"/>
          <w:sz w:val="32"/>
          <w:szCs w:val="32"/>
          <w:u w:val="none" w:color="auto"/>
          <w:lang w:eastAsia="zh-CN"/>
        </w:rPr>
        <w:t>号</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pacing w:val="-12"/>
          <w:sz w:val="32"/>
          <w:szCs w:val="32"/>
          <w:u w:val="none" w:color="auto"/>
          <w:lang w:eastAsia="zh-CN"/>
        </w:rPr>
        <w:t>栋</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pacing w:val="-12"/>
          <w:sz w:val="32"/>
          <w:szCs w:val="32"/>
          <w:u w:val="none" w:color="auto"/>
          <w:lang w:eastAsia="zh-CN"/>
        </w:rPr>
        <w:t>号。公安机关发现其违法行为时居住在乌鲁木齐市米东区羊毛工镇留子庙北</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pacing w:val="-12"/>
          <w:sz w:val="32"/>
          <w:szCs w:val="32"/>
          <w:u w:val="none" w:color="auto"/>
          <w:lang w:eastAsia="zh-CN"/>
        </w:rPr>
        <w:t>巷</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pacing w:val="-12"/>
          <w:sz w:val="32"/>
          <w:szCs w:val="32"/>
          <w:u w:val="none" w:color="auto"/>
          <w:lang w:eastAsia="zh-CN"/>
        </w:rPr>
        <w:t>号</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pacing w:val="-12"/>
          <w:sz w:val="32"/>
          <w:szCs w:val="32"/>
          <w:u w:val="none" w:color="auto"/>
          <w:lang w:eastAsia="zh-CN"/>
        </w:rPr>
        <w:t>栋</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pacing w:val="-12"/>
          <w:sz w:val="32"/>
          <w:szCs w:val="32"/>
          <w:u w:val="none" w:color="auto"/>
          <w:lang w:eastAsia="zh-CN"/>
        </w:rPr>
        <w:t>号。</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2026年2月26日，本局接到吐鲁番市人民检察院检查意见书（吐市检刑意〔2026〕4号），称其在办理黄</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、张</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等</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人涉嫌假冒注册商标、销售假冒注册商标的商品反向衔接案中发现，当事人马</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明知张</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生产假冒注册商标的伊力老窖白酒，仍提供微信转账、发货、送货等帮助行为，违反了《中华人民共和国商标法》五十七条第（六）项，现移交本局处理。本局执法人员认真查阅检察院移送的案卷材料，并对当事人依法进行询问，制作询问笔录，调取相关证据，确定其违法事实，2026年3月31日案件调查终结。本案未采取行政强制措施。</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经查，2023年1月至3月期间，当事人受雇于张</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，在明知所运输物品系假冒他人注册商标商品的情况下，仍多次帮助张</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从其生产场所将假冒的“伊力老窖”白酒运送至托运部，当事人通过现金或微信转账的方式获取劳动报酬，每次运输报酬为人民币100元至300元不等。当事人于2022年12月17日收取张</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（微信昵称“</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微信转账150元、2023年1月8日收取张*微信转账300元、2023年3月26日收取张*微信转账100元，共计收取550元，为其帮助运输张*生产的假冒“伊利老窖”白酒的报酬。当事人自述2023年1月至3月帮助张*运货8次，一次150元，共计获取劳动报酬1200元，而在转账记录中仅能查实3次微信转账收入，其余现金收入无任何书证、物证及其他佐证材料，无法核实其实际帮助张*送货次数及送货收取的现金报酬金额。</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2022年12月26日，当事人通过尾号0516的银行卡向张*转入代收的货款5000元。2023年1月8日至4月12日，累计收取帕</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（微信昵称“</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”）的微信转账51700元，为代收货款。2023年2月12日至3月26日，当事人多次以微信转账的方式给生产假酒的女工朱</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（微信昵称“朱玉兰”）代转工资5800元；2023年2月10日，当事人以微信转账的方式给生产假酒的女工魏</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（微信昵称“</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”）代转工资2000元。2023年2月12日至3月4日，当事人向废品站老板周</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（微信昵称“</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”）微信转账共计12100元，为代付酒瓶的费用。2023年1月，当事人将其位于乌鲁木齐市米东区羊毛工镇路留子庙村北</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巷</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号</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栋</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号的房子出租予张*，用于假冒白酒的仓储及生产加工。</w:t>
      </w:r>
    </w:p>
    <w:p>
      <w:pPr>
        <w:keepNext w:val="0"/>
        <w:keepLines w:val="0"/>
        <w:pageBreakBefore w:val="0"/>
        <w:widowControl/>
        <w:kinsoku/>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default" w:ascii="Times New Roman" w:hAnsi="Times New Roman" w:eastAsia="方正仿宋_GBK" w:cs="Times New Roman"/>
          <w:color w:val="auto"/>
          <w:spacing w:val="-9"/>
          <w:sz w:val="32"/>
          <w:szCs w:val="32"/>
          <w:u w:val="none" w:color="auto"/>
          <w:lang w:val="en-US" w:eastAsia="zh-CN"/>
        </w:rPr>
      </w:pPr>
      <w:r>
        <w:rPr>
          <w:rFonts w:hint="default" w:ascii="Times New Roman" w:hAnsi="Times New Roman" w:eastAsia="方正仿宋_GBK" w:cs="Times New Roman"/>
          <w:sz w:val="32"/>
          <w:szCs w:val="32"/>
          <w:lang w:val="en-US" w:eastAsia="zh-CN"/>
        </w:rPr>
        <w:t>综上，依据《商标侵权案件违法经营额计算办法》第十一条“故意为侵犯他人注册商标专用权提供便利条件的，按照帮助侵权获得的收入计算违法经营额；没有收入的，按照没有违法经营额处理。”和第十五条“根据上述规定均无法查证实际违法经营额的，按照没有违法经营额处理。对于仅能查证部分违法经营额的，按照已查证的违法经营额处理。”的规定，当事人帮助侵权获得的收入中微信转账部分为550元，其余收取的房屋租金及其他收入无任何书证、物证及其他佐证材料，因此无法核实其现金收入具体金额，最终认定当事人的违法经营额为550元。</w:t>
      </w:r>
    </w:p>
    <w:p>
      <w:pPr>
        <w:keepNext w:val="0"/>
        <w:keepLines w:val="0"/>
        <w:pageBreakBefore w:val="0"/>
        <w:widowControl/>
        <w:kinsoku/>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default" w:ascii="Times New Roman" w:hAnsi="Times New Roman" w:eastAsia="方正仿宋_GBK" w:cs="Times New Roman"/>
          <w:color w:val="auto"/>
          <w:sz w:val="32"/>
          <w:szCs w:val="32"/>
          <w:u w:val="none" w:color="auto"/>
          <w:lang w:val="en-US" w:eastAsia="zh-CN"/>
        </w:rPr>
      </w:pPr>
      <w:r>
        <w:rPr>
          <w:rFonts w:hint="default" w:ascii="Times New Roman" w:hAnsi="Times New Roman" w:eastAsia="方正仿宋_GBK" w:cs="Times New Roman"/>
          <w:color w:val="000000"/>
          <w:kern w:val="0"/>
          <w:sz w:val="32"/>
          <w:szCs w:val="32"/>
          <w:u w:val="none"/>
          <w:lang w:val="en-US" w:eastAsia="zh-CN" w:bidi="ar-SA"/>
        </w:rPr>
        <w:t>上述事实，主要有以下证据证明：</w:t>
      </w:r>
      <w:r>
        <w:rPr>
          <w:rFonts w:hint="default" w:ascii="Times New Roman" w:hAnsi="Times New Roman" w:eastAsia="方正仿宋_GBK" w:cs="Times New Roman"/>
          <w:color w:val="auto"/>
          <w:sz w:val="32"/>
          <w:szCs w:val="32"/>
          <w:u w:val="none" w:color="auto"/>
          <w:lang w:val="en-US" w:eastAsia="zh-CN"/>
        </w:rPr>
        <w:t xml:space="preserve">  </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吐鲁番市人民检察院的检查意见书（吐市检刑行意</w:t>
      </w:r>
    </w:p>
    <w:p>
      <w:pPr>
        <w:keepNext w:val="0"/>
        <w:keepLines w:val="0"/>
        <w:pageBreakBefore w:val="0"/>
        <w:widowControl/>
        <w:numPr>
          <w:numId w:val="0"/>
        </w:numPr>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2026〕4号），（含《吐鲁番市中级人民法院刑事附带民事判决书》（2025）新21刑初10号）、《吐鲁番市人民检察院不起诉决定书》（吐市检刑不诉〔2025〕2号）、马*、张*讯问笔录、搜查笔录、马*父亲马*（张*租用的房子房东）、女工朱*、魏*、帕*询问笔录、张*、马*等人微信支付交易明细证明一份），随卷光盘一张证明案件来源，证明案件来源及当事人故意为侵犯他人商标专用权行为提供便利条件，帮助他人实施侵犯商标专用权行为的事实；</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xml:space="preserve">2．马*身份证复印件一份，证明当事人马*的身份的书证； </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3．本局执法人员对当事人制作的询问笔录两份，证明当事人故意为侵犯他人商标专用权行为提供便利条件，帮助他人实施侵犯商标专用权行为的事实；</w:t>
      </w:r>
    </w:p>
    <w:p>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4．微信支付交易明细证明一份，证明当事人马*为侵犯他人商标专用权行为提供代收货款、代付员工工资、代付生产假酒材料费用等便利条件的事实；</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5．当事人微信账单中筛选出为张*提供货物运输服务、代替张*支付员工工资、代收货款有关的交易记录，证明证明当事人马*为侵犯他人商标专用权行为提供代收货款、代付员工工资、代付生产假酒材料费用等便利条件的事实；</w:t>
      </w:r>
    </w:p>
    <w:p>
      <w:pPr>
        <w:pStyle w:val="2"/>
        <w:keepNext w:val="0"/>
        <w:keepLines w:val="0"/>
        <w:pageBreakBefore w:val="0"/>
        <w:widowControl w:val="0"/>
        <w:kinsoku/>
        <w:wordWrap/>
        <w:overflowPunct/>
        <w:topLinePunct w:val="0"/>
        <w:autoSpaceDE w:val="0"/>
        <w:autoSpaceDN w:val="0"/>
        <w:bidi w:val="0"/>
        <w:adjustRightInd w:val="0"/>
        <w:snapToGrid w:val="0"/>
        <w:spacing w:line="560" w:lineRule="exact"/>
        <w:ind w:firstLine="640" w:firstLineChars="200"/>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6．银行卡转账截图一份，证明当事人通过尾号0516的银行卡向张*转入代收的货款5000元的事实。</w:t>
      </w:r>
    </w:p>
    <w:p>
      <w:pPr>
        <w:pStyle w:val="2"/>
        <w:keepNext w:val="0"/>
        <w:keepLines w:val="0"/>
        <w:pageBreakBefore w:val="0"/>
        <w:widowControl w:val="0"/>
        <w:kinsoku/>
        <w:wordWrap/>
        <w:overflowPunct/>
        <w:topLinePunct w:val="0"/>
        <w:autoSpaceDE w:val="0"/>
        <w:autoSpaceDN w:val="0"/>
        <w:bidi w:val="0"/>
        <w:adjustRightInd w:val="0"/>
        <w:snapToGrid w:val="0"/>
        <w:spacing w:line="560" w:lineRule="exact"/>
        <w:ind w:firstLine="640" w:firstLineChars="200"/>
        <w:textAlignment w:val="baseline"/>
        <w:rPr>
          <w:rFonts w:hint="default" w:ascii="Times New Roman" w:hAnsi="Times New Roman" w:eastAsia="方正仿宋_GBK" w:cs="Times New Roman"/>
          <w:color w:val="auto"/>
          <w:sz w:val="32"/>
          <w:szCs w:val="32"/>
          <w:u w:val="none"/>
          <w:lang w:val="en-US" w:eastAsia="zh-CN"/>
        </w:rPr>
      </w:pPr>
      <w:r>
        <w:rPr>
          <w:rFonts w:hint="default" w:ascii="Times New Roman" w:hAnsi="Times New Roman" w:eastAsia="方正仿宋_GBK" w:cs="Times New Roman"/>
          <w:sz w:val="32"/>
          <w:szCs w:val="32"/>
          <w:lang w:val="en-US" w:eastAsia="zh-CN" w:bidi="ar-SA"/>
        </w:rPr>
        <w:t>2026年4月23日，本局向当事人送达了《行政处罚告知书》（乌米市监罚告〔2026〕422号），告知当事人拟作出的行政处罚内容以及事实、理由、依据并告知当事人依法享有陈述、申辩的权利。</w:t>
      </w:r>
      <w:r>
        <w:rPr>
          <w:rFonts w:hint="default" w:ascii="Times New Roman" w:hAnsi="Times New Roman" w:eastAsia="方正仿宋_GBK" w:cs="Times New Roman"/>
          <w:color w:val="auto"/>
          <w:sz w:val="32"/>
          <w:szCs w:val="32"/>
          <w:u w:val="none"/>
          <w:lang w:val="en-US" w:eastAsia="zh-CN"/>
        </w:rPr>
        <w:t>当事人在规定时间内，未向我局提出陈述、申辩要求。</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本局认为，当事人在明知张*在实施侵犯他人注册商标专用权的情况下，仍帮助其仓储并运输假冒白酒的行为，依据《中华人民共和国商标法实施条例》第七十五条“为侵犯他人商标专用权提供仓储、运输、邮寄、印制、隐匿、经营场所、网络商品交易平台等，属于商标法第五十七条第六项规定的提供便利条件。”的规定，违反了《中华人民共和国商标法》第五十七条第（六）项：“有下列行为之一的，均属侵犯注册商标专用权：（六）故意为侵犯他人商标专用权行为提供便利条件，帮助他人实施侵犯商标专用权行为”的规定，构成故意为侵犯他人商标专用权行为提供便利条件，帮助他人实施侵犯商标专用权行为的违法行为。依据《中华人民共和国商标法》第六十条第二款“工商行政管理部门处理时，认定侵权行为成立的，责令立即停止侵权行为，没收、销毁侵权商品和主要用于制造侵权商品、伪造注册商标标识的工具，违法经营额五万元以上的，可以处违法经营额五倍以下的罚款，没有违法经营额或者违法经营额不足五万元的，可以处二十五万元以下的罚款。对五年内实施两次以上商标侵权行为或者有其他严重情节的，应当从重处罚。销售不知道是侵犯注册商标专用权的商品，能证明该商品是自己合法取得并说明提供者的，由工商行政管理部门责令停止销售”的规定，应当责令当事人立即停止侵权行为，可以处二十五万元以下罚款。</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鉴于当事人在案件调查处理过程中积极主动配合，如实供述违法行为，并主动提供证据材料。同时当事人违法经营额为550元，且违法行为持续3个月，持续时间较短。根据《中华人民共和国行政处罚法》第五条第二款“设定和实施行政处罚必须以事实为依据，与违法行为的事实、性质、情节以及社会危害程度相当。”的规定，参考市场监管总局《关于规范市场监督管理行政处罚裁量权的指导意见》第十四条：“有下列情形之一的，可以依法从轻或者减轻行政处罚：（二）积极配合市场监管部门调查并主动提供证据材料的；”的规定，参照《新疆维吾尔自治区 新疆生产建设兵团市场监督管理行政处罚裁量权适用规定》（新市监规〔2024〕5号）第十二条：“行使行政处罚裁量权，应当综合违法事实、性质、情节、社会危害程度等因素，全面考虑以下情况：（七）违法行为持续时间的长短；”和第十七条：“有下列情形之一的，可以依法从轻或者减轻行政处罚：（二）积极配合市场监管部门调查并主动提供证据材料的；”的规定，综合考虑本案违法事实、性质、情节、社会危害程度等因素，当事人的上述违法行为，符合从轻行政处罚的情形。</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综上，当事人故意为侵犯他人商标专用权行为提供便利条件，帮助他人实施侵犯商标专用权行为，违反了《中华人民共和国商标法》第五十七条第（六）项的规定；根据《中华人民共和国商标法》第六十条第二款的规定，并依据《中华人民共和国行政处罚法》第五条第二款的规定，参考市场监管总局《关于规范市场监督管理行政处罚裁量权的指导意见》第十四条第（二）项的规定，参照《新疆维吾尔自治区 新疆生产建设兵团市场监督管理行政处罚裁量权适用规定》（新市监规〔2024〕5号）第十二条第（七）项和第十七条第（二）项的规定，建议对当事人予以如下行政处罚：</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1．没收违法所得550元；</w:t>
      </w:r>
    </w:p>
    <w:p>
      <w:pPr>
        <w:keepNext w:val="0"/>
        <w:keepLines w:val="0"/>
        <w:pageBreakBefore w:val="0"/>
        <w:widowControl/>
        <w:kinsoku/>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default" w:ascii="Times New Roman" w:hAnsi="Times New Roman" w:eastAsia="方正仿宋_GBK" w:cs="Times New Roman"/>
          <w:color w:val="000000"/>
          <w:kern w:val="0"/>
          <w:sz w:val="32"/>
          <w:szCs w:val="32"/>
          <w:u w:val="none"/>
          <w:lang w:val="en-US" w:eastAsia="zh-CN" w:bidi="ar-SA"/>
        </w:rPr>
      </w:pPr>
      <w:r>
        <w:rPr>
          <w:rFonts w:hint="default" w:ascii="Times New Roman" w:hAnsi="Times New Roman" w:eastAsia="方正仿宋_GBK" w:cs="Times New Roman"/>
          <w:sz w:val="32"/>
          <w:szCs w:val="32"/>
          <w:lang w:val="en-US" w:eastAsia="zh-CN"/>
        </w:rPr>
        <w:t>2．罚款2000元。</w:t>
      </w:r>
    </w:p>
    <w:p>
      <w:pPr>
        <w:keepNext w:val="0"/>
        <w:keepLines w:val="0"/>
        <w:pageBreakBefore w:val="0"/>
        <w:widowControl/>
        <w:kinsoku/>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default" w:ascii="Times New Roman" w:hAnsi="Times New Roman" w:eastAsia="方正仿宋_GBK" w:cs="Times New Roman"/>
          <w:color w:val="000000"/>
          <w:kern w:val="0"/>
          <w:sz w:val="32"/>
          <w:szCs w:val="32"/>
          <w:u w:val="none"/>
          <w:lang w:val="en-US" w:eastAsia="zh-CN" w:bidi="ar-SA"/>
        </w:rPr>
      </w:pPr>
      <w:r>
        <w:rPr>
          <w:rFonts w:hint="default" w:ascii="Times New Roman" w:hAnsi="Times New Roman" w:eastAsia="方正仿宋_GBK" w:cs="Times New Roman"/>
          <w:color w:val="000000"/>
          <w:kern w:val="0"/>
          <w:sz w:val="32"/>
          <w:szCs w:val="32"/>
          <w:u w:val="none"/>
          <w:lang w:val="en-US" w:eastAsia="zh-CN" w:bidi="ar-SA"/>
        </w:rPr>
        <w:t>当事人自接到本处罚决定书之日起十五日内到工行米东支行【账户：乌鲁木齐市米东区财政局（国有资产管理委员会办公室），账号：3004812109026300128】缴纳罚款。逾期不缴纳，依据《中华人民共和国行政处罚法》第七十二条的规定，每日按罚款数额的3%加处罚款并申请人民法院强制执行。</w:t>
      </w:r>
    </w:p>
    <w:p>
      <w:pPr>
        <w:keepNext w:val="0"/>
        <w:keepLines w:val="0"/>
        <w:pageBreakBefore w:val="0"/>
        <w:widowControl/>
        <w:kinsoku/>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default" w:ascii="Times New Roman" w:hAnsi="Times New Roman" w:eastAsia="方正仿宋_GBK" w:cs="Times New Roman"/>
          <w:color w:val="000000"/>
          <w:kern w:val="0"/>
          <w:sz w:val="32"/>
          <w:szCs w:val="32"/>
          <w:u w:val="none"/>
          <w:lang w:val="en-US" w:eastAsia="zh-CN" w:bidi="ar-SA"/>
        </w:rPr>
      </w:pPr>
      <w:r>
        <w:rPr>
          <w:rFonts w:hint="default" w:ascii="Times New Roman" w:hAnsi="Times New Roman" w:eastAsia="方正仿宋_GBK" w:cs="Times New Roman"/>
          <w:color w:val="000000"/>
          <w:kern w:val="0"/>
          <w:sz w:val="32"/>
          <w:szCs w:val="32"/>
          <w:u w:val="none"/>
          <w:lang w:val="en-US" w:eastAsia="zh-CN" w:bidi="ar-SA"/>
        </w:rPr>
        <w:t>如不服本处罚决定，可在接到处罚决定书之日起六十日内向乌鲁木齐市米东区人民政府申请复议；也可以在接到本处罚决定书之日起六个月内依法向乌鲁木齐市米东区人民法院提起诉                                                                                                                                                                                                                                                                                                                                                                                                                                                                                                                                 讼。</w:t>
      </w:r>
    </w:p>
    <w:p>
      <w:pPr>
        <w:keepNext w:val="0"/>
        <w:keepLines w:val="0"/>
        <w:pageBreakBefore w:val="0"/>
        <w:widowControl/>
        <w:kinsoku/>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default" w:ascii="Times New Roman" w:hAnsi="Times New Roman" w:eastAsia="方正仿宋_GBK" w:cs="Times New Roman"/>
          <w:color w:val="000000"/>
          <w:kern w:val="0"/>
          <w:sz w:val="32"/>
          <w:szCs w:val="32"/>
          <w:u w:val="none"/>
          <w:lang w:val="en-US" w:eastAsia="zh-CN" w:bidi="ar-SA"/>
        </w:rPr>
      </w:pPr>
      <w:r>
        <w:rPr>
          <w:rFonts w:hint="default" w:ascii="Times New Roman" w:hAnsi="Times New Roman" w:eastAsia="方正仿宋_GBK" w:cs="Times New Roman"/>
          <w:color w:val="000000"/>
          <w:kern w:val="0"/>
          <w:sz w:val="32"/>
          <w:szCs w:val="32"/>
          <w:u w:val="none"/>
          <w:lang w:val="en-US" w:eastAsia="zh-CN" w:bidi="ar-SA"/>
        </w:rPr>
        <w:t>当事人对行政处罚决定不服申请行政复议或者提起行政诉讼的，行政处罚不停止执行。</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3520" w:firstLineChars="1100"/>
        <w:jc w:val="both"/>
        <w:textAlignment w:val="baseline"/>
        <w:rPr>
          <w:rFonts w:hint="default" w:ascii="Times New Roman" w:hAnsi="Times New Roman" w:eastAsia="方正仿宋_GBK" w:cs="Times New Roman"/>
          <w:color w:val="000000"/>
          <w:kern w:val="0"/>
          <w:sz w:val="32"/>
          <w:szCs w:val="32"/>
          <w:u w:val="none"/>
          <w:lang w:val="en-US" w:eastAsia="zh-CN" w:bidi="ar-SA"/>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3520" w:firstLineChars="1100"/>
        <w:jc w:val="both"/>
        <w:textAlignment w:val="baseline"/>
        <w:rPr>
          <w:rFonts w:hint="default" w:ascii="Times New Roman" w:hAnsi="Times New Roman" w:eastAsia="方正仿宋_GBK" w:cs="Times New Roman"/>
          <w:color w:val="000000"/>
          <w:kern w:val="0"/>
          <w:sz w:val="32"/>
          <w:szCs w:val="32"/>
          <w:u w:val="none"/>
          <w:lang w:val="en-US" w:eastAsia="zh-CN" w:bidi="ar-SA"/>
        </w:rPr>
      </w:pPr>
      <w:bookmarkStart w:id="0" w:name="_GoBack"/>
      <w:bookmarkEnd w:id="0"/>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3520" w:firstLineChars="1100"/>
        <w:jc w:val="both"/>
        <w:textAlignment w:val="baseline"/>
        <w:rPr>
          <w:rFonts w:hint="default" w:ascii="Times New Roman" w:hAnsi="Times New Roman" w:eastAsia="方正仿宋_GBK" w:cs="Times New Roman"/>
          <w:color w:val="000000"/>
          <w:kern w:val="0"/>
          <w:sz w:val="32"/>
          <w:szCs w:val="32"/>
          <w:u w:val="none"/>
          <w:lang w:val="en-US" w:eastAsia="zh-CN" w:bidi="ar-SA"/>
        </w:rPr>
      </w:pPr>
      <w:r>
        <w:rPr>
          <w:rFonts w:hint="default" w:ascii="Times New Roman" w:hAnsi="Times New Roman" w:eastAsia="方正仿宋_GBK" w:cs="Times New Roman"/>
          <w:color w:val="000000"/>
          <w:kern w:val="0"/>
          <w:sz w:val="32"/>
          <w:szCs w:val="32"/>
          <w:u w:val="none"/>
          <w:lang w:val="en-US" w:eastAsia="zh-CN" w:bidi="ar-SA"/>
        </w:rPr>
        <w:t>乌鲁木齐市米东区市场监督管理局</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2880" w:firstLineChars="900"/>
        <w:jc w:val="both"/>
        <w:textAlignment w:val="baseline"/>
        <w:rPr>
          <w:rFonts w:hint="default" w:ascii="Times New Roman" w:hAnsi="Times New Roman" w:eastAsia="方正仿宋_GBK" w:cs="Times New Roman"/>
          <w:color w:val="000000"/>
          <w:kern w:val="0"/>
          <w:sz w:val="32"/>
          <w:szCs w:val="32"/>
          <w:u w:val="none"/>
          <w:lang w:val="en-US" w:eastAsia="zh-CN" w:bidi="ar-SA"/>
        </w:rPr>
      </w:pPr>
      <w:r>
        <w:rPr>
          <w:rFonts w:hint="default" w:ascii="Times New Roman" w:hAnsi="Times New Roman" w:eastAsia="方正仿宋_GBK" w:cs="Times New Roman"/>
          <w:color w:val="000000"/>
          <w:kern w:val="0"/>
          <w:sz w:val="32"/>
          <w:szCs w:val="32"/>
          <w:u w:val="none"/>
          <w:lang w:val="en-US" w:eastAsia="zh-CN" w:bidi="ar-SA"/>
        </w:rPr>
        <w:t>（知识产权局、市场监管综合行政执法队）　　　　　　　　</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default" w:ascii="Times New Roman" w:hAnsi="Times New Roman" w:eastAsia="方正仿宋_GBK" w:cs="Times New Roman"/>
          <w:b/>
          <w:color w:val="231F20"/>
          <w:spacing w:val="-5"/>
          <w:sz w:val="32"/>
          <w:szCs w:val="32"/>
          <w:lang w:eastAsia="zh-CN"/>
        </w:rPr>
      </w:pPr>
      <w:r>
        <w:rPr>
          <w:rFonts w:hint="default" w:ascii="Times New Roman" w:hAnsi="Times New Roman" w:eastAsia="方正仿宋_GBK" w:cs="Times New Roman"/>
          <w:color w:val="000000"/>
          <w:kern w:val="0"/>
          <w:sz w:val="32"/>
          <w:szCs w:val="32"/>
          <w:u w:val="none"/>
          <w:lang w:val="en-US" w:eastAsia="zh-CN" w:bidi="ar-SA"/>
        </w:rPr>
        <w:t xml:space="preserve">　　　　　　　　　　　     </w:t>
      </w:r>
      <w:r>
        <w:rPr>
          <w:rFonts w:hint="eastAsia" w:ascii="Times New Roman" w:hAnsi="Times New Roman" w:eastAsia="方正仿宋_GBK" w:cs="Times New Roman"/>
          <w:color w:val="000000"/>
          <w:kern w:val="0"/>
          <w:sz w:val="32"/>
          <w:szCs w:val="32"/>
          <w:u w:val="none"/>
          <w:lang w:val="en-US" w:eastAsia="zh-CN" w:bidi="ar-SA"/>
        </w:rPr>
        <w:t xml:space="preserve">  </w:t>
      </w:r>
      <w:r>
        <w:rPr>
          <w:rFonts w:hint="default" w:ascii="Times New Roman" w:hAnsi="Times New Roman" w:eastAsia="方正仿宋_GBK" w:cs="Times New Roman"/>
          <w:color w:val="000000"/>
          <w:kern w:val="0"/>
          <w:sz w:val="32"/>
          <w:szCs w:val="32"/>
          <w:u w:val="none"/>
          <w:lang w:val="en-US" w:eastAsia="zh-CN" w:bidi="ar-SA"/>
        </w:rPr>
        <w:t>2026年6月18日</w:t>
      </w:r>
    </w:p>
    <w:p>
      <w:pPr>
        <w:keepNext w:val="0"/>
        <w:keepLines w:val="0"/>
        <w:pageBreakBefore w:val="0"/>
        <w:overflowPunct/>
        <w:topLinePunct w:val="0"/>
        <w:bidi w:val="0"/>
        <w:adjustRightInd w:val="0"/>
        <w:snapToGrid w:val="0"/>
        <w:spacing w:line="560" w:lineRule="exact"/>
        <w:jc w:val="center"/>
        <w:textAlignment w:val="baseline"/>
        <w:rPr>
          <w:rFonts w:hint="default" w:ascii="Times New Roman" w:hAnsi="Times New Roman" w:eastAsia="方正仿宋_GBK" w:cs="Times New Roman"/>
          <w:b/>
          <w:color w:val="231F20"/>
          <w:spacing w:val="-5"/>
          <w:sz w:val="32"/>
          <w:szCs w:val="32"/>
          <w:lang w:eastAsia="zh-CN"/>
        </w:rPr>
      </w:pPr>
    </w:p>
    <w:p>
      <w:pPr>
        <w:keepNext w:val="0"/>
        <w:keepLines w:val="0"/>
        <w:pageBreakBefore w:val="0"/>
        <w:overflowPunct/>
        <w:topLinePunct w:val="0"/>
        <w:bidi w:val="0"/>
        <w:adjustRightInd w:val="0"/>
        <w:snapToGrid w:val="0"/>
        <w:spacing w:line="560" w:lineRule="exact"/>
        <w:jc w:val="center"/>
        <w:textAlignment w:val="baseline"/>
        <w:rPr>
          <w:rFonts w:hint="default" w:ascii="Times New Roman" w:hAnsi="Times New Roman" w:eastAsia="方正仿宋_GBK" w:cs="Times New Roman"/>
          <w:b/>
          <w:bCs w:val="0"/>
          <w:kern w:val="2"/>
          <w:sz w:val="32"/>
          <w:szCs w:val="32"/>
          <w:u w:val="none"/>
          <w:lang w:val="en-US" w:eastAsia="zh-CN" w:bidi="ar-SA"/>
        </w:rPr>
      </w:pPr>
      <w:r>
        <w:rPr>
          <w:rFonts w:hint="default" w:ascii="Times New Roman" w:hAnsi="Times New Roman" w:eastAsia="方正仿宋_GBK" w:cs="Times New Roman"/>
          <w:b/>
          <w:bCs w:val="0"/>
          <w:color w:val="231F20"/>
          <w:spacing w:val="-5"/>
          <w:sz w:val="32"/>
          <w:szCs w:val="32"/>
          <w:lang w:eastAsia="zh-CN"/>
        </w:rPr>
        <w:t>（市场监督管理部门将依法向社会公示本行政处罚决定信息）</w:t>
      </w:r>
    </w:p>
    <w:sectPr>
      <w:footerReference r:id="rId3" w:type="default"/>
      <w:pgSz w:w="11906" w:h="16838"/>
      <w:pgMar w:top="2098" w:right="1531" w:bottom="1984" w:left="1531" w:header="851" w:footer="992" w:gutter="0"/>
      <w:pgNumType w:fmt="chineseCounting"/>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第 </w:t>
                          </w:r>
                          <w:r>
                            <w:rPr>
                              <w:rFonts w:hint="eastAsia" w:ascii="方正仿宋_GBK" w:hAnsi="方正仿宋_GBK" w:eastAsia="方正仿宋_GBK" w:cs="方正仿宋_GBK"/>
                              <w:sz w:val="28"/>
                              <w:szCs w:val="28"/>
                              <w:lang w:eastAsia="zh-CN"/>
                            </w:rPr>
                            <w:fldChar w:fldCharType="begin"/>
                          </w:r>
                          <w:r>
                            <w:rPr>
                              <w:rFonts w:hint="eastAsia" w:ascii="方正仿宋_GBK" w:hAnsi="方正仿宋_GBK" w:eastAsia="方正仿宋_GBK" w:cs="方正仿宋_GBK"/>
                              <w:sz w:val="28"/>
                              <w:szCs w:val="28"/>
                              <w:lang w:eastAsia="zh-CN"/>
                            </w:rPr>
                            <w:instrText xml:space="preserve"> PAGE  \* MERGEFORMAT </w:instrText>
                          </w:r>
                          <w:r>
                            <w:rPr>
                              <w:rFonts w:hint="eastAsia" w:ascii="方正仿宋_GBK" w:hAnsi="方正仿宋_GBK" w:eastAsia="方正仿宋_GBK" w:cs="方正仿宋_GBK"/>
                              <w:sz w:val="28"/>
                              <w:szCs w:val="28"/>
                              <w:lang w:eastAsia="zh-CN"/>
                            </w:rPr>
                            <w:fldChar w:fldCharType="separate"/>
                          </w:r>
                          <w:r>
                            <w:rPr>
                              <w:rFonts w:hint="eastAsia" w:ascii="方正仿宋_GBK" w:hAnsi="方正仿宋_GBK" w:eastAsia="方正仿宋_GBK" w:cs="方正仿宋_GBK"/>
                              <w:sz w:val="28"/>
                              <w:szCs w:val="28"/>
                              <w:lang w:eastAsia="zh-CN"/>
                            </w:rPr>
                            <w:t>1</w:t>
                          </w:r>
                          <w:r>
                            <w:rPr>
                              <w:rFonts w:hint="eastAsia" w:ascii="方正仿宋_GBK" w:hAnsi="方正仿宋_GBK" w:eastAsia="方正仿宋_GBK" w:cs="方正仿宋_GBK"/>
                              <w:sz w:val="28"/>
                              <w:szCs w:val="28"/>
                              <w:lang w:eastAsia="zh-CN"/>
                            </w:rPr>
                            <w:fldChar w:fldCharType="end"/>
                          </w:r>
                          <w:r>
                            <w:rPr>
                              <w:rFonts w:hint="eastAsia" w:ascii="方正仿宋_GBK" w:hAnsi="方正仿宋_GBK" w:eastAsia="方正仿宋_GBK" w:cs="方正仿宋_GBK"/>
                              <w:sz w:val="28"/>
                              <w:szCs w:val="28"/>
                              <w:lang w:eastAsia="zh-CN"/>
                            </w:rPr>
                            <w:t xml:space="preserve"> 页 共 </w:t>
                          </w:r>
                          <w:r>
                            <w:rPr>
                              <w:rFonts w:hint="eastAsia" w:ascii="方正仿宋_GBK" w:hAnsi="方正仿宋_GBK" w:eastAsia="方正仿宋_GBK" w:cs="方正仿宋_GBK"/>
                              <w:sz w:val="28"/>
                              <w:szCs w:val="28"/>
                              <w:lang w:eastAsia="zh-CN"/>
                            </w:rPr>
                            <w:fldChar w:fldCharType="begin"/>
                          </w:r>
                          <w:r>
                            <w:rPr>
                              <w:rFonts w:hint="eastAsia" w:ascii="方正仿宋_GBK" w:hAnsi="方正仿宋_GBK" w:eastAsia="方正仿宋_GBK" w:cs="方正仿宋_GBK"/>
                              <w:sz w:val="28"/>
                              <w:szCs w:val="28"/>
                              <w:lang w:eastAsia="zh-CN"/>
                            </w:rPr>
                            <w:instrText xml:space="preserve"> NUMPAGES \* CHINESENUM3 \* MERGEFORMAT </w:instrText>
                          </w:r>
                          <w:r>
                            <w:rPr>
                              <w:rFonts w:hint="eastAsia" w:ascii="方正仿宋_GBK" w:hAnsi="方正仿宋_GBK" w:eastAsia="方正仿宋_GBK" w:cs="方正仿宋_GBK"/>
                              <w:sz w:val="28"/>
                              <w:szCs w:val="28"/>
                              <w:lang w:eastAsia="zh-CN"/>
                            </w:rPr>
                            <w:fldChar w:fldCharType="separate"/>
                          </w:r>
                          <w:r>
                            <w:rPr>
                              <w:rFonts w:hint="eastAsia" w:ascii="方正仿宋_GBK" w:hAnsi="方正仿宋_GBK" w:eastAsia="方正仿宋_GBK" w:cs="方正仿宋_GBK"/>
                              <w:sz w:val="28"/>
                              <w:szCs w:val="28"/>
                              <w:lang w:eastAsia="zh-CN"/>
                            </w:rPr>
                            <w:t>六</w:t>
                          </w:r>
                          <w:r>
                            <w:rPr>
                              <w:rFonts w:hint="eastAsia" w:ascii="方正仿宋_GBK" w:hAnsi="方正仿宋_GBK" w:eastAsia="方正仿宋_GBK" w:cs="方正仿宋_GBK"/>
                              <w:sz w:val="28"/>
                              <w:szCs w:val="28"/>
                              <w:lang w:eastAsia="zh-CN"/>
                            </w:rPr>
                            <w:fldChar w:fldCharType="end"/>
                          </w:r>
                          <w:r>
                            <w:rPr>
                              <w:rFonts w:hint="eastAsia" w:ascii="方正仿宋_GBK" w:hAnsi="方正仿宋_GBK" w:eastAsia="方正仿宋_GBK" w:cs="方正仿宋_GBK"/>
                              <w:sz w:val="28"/>
                              <w:szCs w:val="2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3"/>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第 </w:t>
                    </w:r>
                    <w:r>
                      <w:rPr>
                        <w:rFonts w:hint="eastAsia" w:ascii="方正仿宋_GBK" w:hAnsi="方正仿宋_GBK" w:eastAsia="方正仿宋_GBK" w:cs="方正仿宋_GBK"/>
                        <w:sz w:val="28"/>
                        <w:szCs w:val="28"/>
                        <w:lang w:eastAsia="zh-CN"/>
                      </w:rPr>
                      <w:fldChar w:fldCharType="begin"/>
                    </w:r>
                    <w:r>
                      <w:rPr>
                        <w:rFonts w:hint="eastAsia" w:ascii="方正仿宋_GBK" w:hAnsi="方正仿宋_GBK" w:eastAsia="方正仿宋_GBK" w:cs="方正仿宋_GBK"/>
                        <w:sz w:val="28"/>
                        <w:szCs w:val="28"/>
                        <w:lang w:eastAsia="zh-CN"/>
                      </w:rPr>
                      <w:instrText xml:space="preserve"> PAGE  \* MERGEFORMAT </w:instrText>
                    </w:r>
                    <w:r>
                      <w:rPr>
                        <w:rFonts w:hint="eastAsia" w:ascii="方正仿宋_GBK" w:hAnsi="方正仿宋_GBK" w:eastAsia="方正仿宋_GBK" w:cs="方正仿宋_GBK"/>
                        <w:sz w:val="28"/>
                        <w:szCs w:val="28"/>
                        <w:lang w:eastAsia="zh-CN"/>
                      </w:rPr>
                      <w:fldChar w:fldCharType="separate"/>
                    </w:r>
                    <w:r>
                      <w:rPr>
                        <w:rFonts w:hint="eastAsia" w:ascii="方正仿宋_GBK" w:hAnsi="方正仿宋_GBK" w:eastAsia="方正仿宋_GBK" w:cs="方正仿宋_GBK"/>
                        <w:sz w:val="28"/>
                        <w:szCs w:val="28"/>
                        <w:lang w:eastAsia="zh-CN"/>
                      </w:rPr>
                      <w:t>1</w:t>
                    </w:r>
                    <w:r>
                      <w:rPr>
                        <w:rFonts w:hint="eastAsia" w:ascii="方正仿宋_GBK" w:hAnsi="方正仿宋_GBK" w:eastAsia="方正仿宋_GBK" w:cs="方正仿宋_GBK"/>
                        <w:sz w:val="28"/>
                        <w:szCs w:val="28"/>
                        <w:lang w:eastAsia="zh-CN"/>
                      </w:rPr>
                      <w:fldChar w:fldCharType="end"/>
                    </w:r>
                    <w:r>
                      <w:rPr>
                        <w:rFonts w:hint="eastAsia" w:ascii="方正仿宋_GBK" w:hAnsi="方正仿宋_GBK" w:eastAsia="方正仿宋_GBK" w:cs="方正仿宋_GBK"/>
                        <w:sz w:val="28"/>
                        <w:szCs w:val="28"/>
                        <w:lang w:eastAsia="zh-CN"/>
                      </w:rPr>
                      <w:t xml:space="preserve"> 页 共 </w:t>
                    </w:r>
                    <w:r>
                      <w:rPr>
                        <w:rFonts w:hint="eastAsia" w:ascii="方正仿宋_GBK" w:hAnsi="方正仿宋_GBK" w:eastAsia="方正仿宋_GBK" w:cs="方正仿宋_GBK"/>
                        <w:sz w:val="28"/>
                        <w:szCs w:val="28"/>
                        <w:lang w:eastAsia="zh-CN"/>
                      </w:rPr>
                      <w:fldChar w:fldCharType="begin"/>
                    </w:r>
                    <w:r>
                      <w:rPr>
                        <w:rFonts w:hint="eastAsia" w:ascii="方正仿宋_GBK" w:hAnsi="方正仿宋_GBK" w:eastAsia="方正仿宋_GBK" w:cs="方正仿宋_GBK"/>
                        <w:sz w:val="28"/>
                        <w:szCs w:val="28"/>
                        <w:lang w:eastAsia="zh-CN"/>
                      </w:rPr>
                      <w:instrText xml:space="preserve"> NUMPAGES \* CHINESENUM3 \* MERGEFORMAT </w:instrText>
                    </w:r>
                    <w:r>
                      <w:rPr>
                        <w:rFonts w:hint="eastAsia" w:ascii="方正仿宋_GBK" w:hAnsi="方正仿宋_GBK" w:eastAsia="方正仿宋_GBK" w:cs="方正仿宋_GBK"/>
                        <w:sz w:val="28"/>
                        <w:szCs w:val="28"/>
                        <w:lang w:eastAsia="zh-CN"/>
                      </w:rPr>
                      <w:fldChar w:fldCharType="separate"/>
                    </w:r>
                    <w:r>
                      <w:rPr>
                        <w:rFonts w:hint="eastAsia" w:ascii="方正仿宋_GBK" w:hAnsi="方正仿宋_GBK" w:eastAsia="方正仿宋_GBK" w:cs="方正仿宋_GBK"/>
                        <w:sz w:val="28"/>
                        <w:szCs w:val="28"/>
                        <w:lang w:eastAsia="zh-CN"/>
                      </w:rPr>
                      <w:t>六</w:t>
                    </w:r>
                    <w:r>
                      <w:rPr>
                        <w:rFonts w:hint="eastAsia" w:ascii="方正仿宋_GBK" w:hAnsi="方正仿宋_GBK" w:eastAsia="方正仿宋_GBK" w:cs="方正仿宋_GBK"/>
                        <w:sz w:val="28"/>
                        <w:szCs w:val="28"/>
                        <w:lang w:eastAsia="zh-CN"/>
                      </w:rPr>
                      <w:fldChar w:fldCharType="end"/>
                    </w:r>
                    <w:r>
                      <w:rPr>
                        <w:rFonts w:hint="eastAsia" w:ascii="方正仿宋_GBK" w:hAnsi="方正仿宋_GBK" w:eastAsia="方正仿宋_GBK" w:cs="方正仿宋_GBK"/>
                        <w:sz w:val="28"/>
                        <w:szCs w:val="2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BA6BA"/>
    <w:multiLevelType w:val="singleLevel"/>
    <w:tmpl w:val="06FBA6BA"/>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Q4ZDliODc4NmFhOWJiY2E3MjIxNmEzNjI4ZjZhYTYifQ=="/>
  </w:docVars>
  <w:rsids>
    <w:rsidRoot w:val="00000000"/>
    <w:rsid w:val="00173A4F"/>
    <w:rsid w:val="00CF5D75"/>
    <w:rsid w:val="01033952"/>
    <w:rsid w:val="01492863"/>
    <w:rsid w:val="01DA7A4A"/>
    <w:rsid w:val="020D5D9B"/>
    <w:rsid w:val="02136574"/>
    <w:rsid w:val="02F40FED"/>
    <w:rsid w:val="03A205A6"/>
    <w:rsid w:val="03A763C8"/>
    <w:rsid w:val="04FA0FA7"/>
    <w:rsid w:val="060A7142"/>
    <w:rsid w:val="06AF076D"/>
    <w:rsid w:val="07887757"/>
    <w:rsid w:val="07B6145E"/>
    <w:rsid w:val="07CD6162"/>
    <w:rsid w:val="08095B2F"/>
    <w:rsid w:val="085D5C17"/>
    <w:rsid w:val="088546CC"/>
    <w:rsid w:val="08F41760"/>
    <w:rsid w:val="0975198E"/>
    <w:rsid w:val="09753C9A"/>
    <w:rsid w:val="09AB20DD"/>
    <w:rsid w:val="09FC068D"/>
    <w:rsid w:val="0B691314"/>
    <w:rsid w:val="0B8A2752"/>
    <w:rsid w:val="0BB479ED"/>
    <w:rsid w:val="0BC422FC"/>
    <w:rsid w:val="0BF37C93"/>
    <w:rsid w:val="0C021315"/>
    <w:rsid w:val="0C8B2209"/>
    <w:rsid w:val="0D1F6876"/>
    <w:rsid w:val="0DA13099"/>
    <w:rsid w:val="0DFE5779"/>
    <w:rsid w:val="0FCC6793"/>
    <w:rsid w:val="10903E10"/>
    <w:rsid w:val="109410CB"/>
    <w:rsid w:val="10986350"/>
    <w:rsid w:val="10A544F9"/>
    <w:rsid w:val="10D4530E"/>
    <w:rsid w:val="110A32AE"/>
    <w:rsid w:val="110B19A1"/>
    <w:rsid w:val="125031A9"/>
    <w:rsid w:val="134D7B68"/>
    <w:rsid w:val="1368511C"/>
    <w:rsid w:val="13EA29FE"/>
    <w:rsid w:val="143E59C8"/>
    <w:rsid w:val="15155538"/>
    <w:rsid w:val="15180411"/>
    <w:rsid w:val="156E39F3"/>
    <w:rsid w:val="158A242A"/>
    <w:rsid w:val="15AC1606"/>
    <w:rsid w:val="15D63E32"/>
    <w:rsid w:val="15E12E9E"/>
    <w:rsid w:val="17624B0D"/>
    <w:rsid w:val="17FE7163"/>
    <w:rsid w:val="19B35C38"/>
    <w:rsid w:val="19FE6CA1"/>
    <w:rsid w:val="1A184CE0"/>
    <w:rsid w:val="1A2E0AAD"/>
    <w:rsid w:val="1A6A4C5B"/>
    <w:rsid w:val="1AB91166"/>
    <w:rsid w:val="1AF1196E"/>
    <w:rsid w:val="1B2B51E6"/>
    <w:rsid w:val="1B4E5A8B"/>
    <w:rsid w:val="1B79720A"/>
    <w:rsid w:val="1B832416"/>
    <w:rsid w:val="1BAB159F"/>
    <w:rsid w:val="1C110741"/>
    <w:rsid w:val="1C1C3721"/>
    <w:rsid w:val="1C206059"/>
    <w:rsid w:val="1D1E4EAA"/>
    <w:rsid w:val="1D253D5E"/>
    <w:rsid w:val="1D962818"/>
    <w:rsid w:val="1DBE0159"/>
    <w:rsid w:val="1E2C7A36"/>
    <w:rsid w:val="1E332956"/>
    <w:rsid w:val="1EE33650"/>
    <w:rsid w:val="1F0B1587"/>
    <w:rsid w:val="1F48629D"/>
    <w:rsid w:val="1FA37075"/>
    <w:rsid w:val="1FBD7C1F"/>
    <w:rsid w:val="202919A4"/>
    <w:rsid w:val="203D7746"/>
    <w:rsid w:val="208D5577"/>
    <w:rsid w:val="20B00128"/>
    <w:rsid w:val="210A56C3"/>
    <w:rsid w:val="21194658"/>
    <w:rsid w:val="21270079"/>
    <w:rsid w:val="21AC2F13"/>
    <w:rsid w:val="21F01F31"/>
    <w:rsid w:val="22154C2C"/>
    <w:rsid w:val="22212AB3"/>
    <w:rsid w:val="227B1683"/>
    <w:rsid w:val="237F18D9"/>
    <w:rsid w:val="23CF3D9E"/>
    <w:rsid w:val="23E0654C"/>
    <w:rsid w:val="242D5517"/>
    <w:rsid w:val="24B05E33"/>
    <w:rsid w:val="25006CCF"/>
    <w:rsid w:val="25241CA9"/>
    <w:rsid w:val="25C3267A"/>
    <w:rsid w:val="266E3D3D"/>
    <w:rsid w:val="26774AA1"/>
    <w:rsid w:val="26966C43"/>
    <w:rsid w:val="26B24BAB"/>
    <w:rsid w:val="270E31EF"/>
    <w:rsid w:val="27365218"/>
    <w:rsid w:val="27DE5B19"/>
    <w:rsid w:val="27F770BA"/>
    <w:rsid w:val="27F9177C"/>
    <w:rsid w:val="284E1833"/>
    <w:rsid w:val="28C42CAC"/>
    <w:rsid w:val="29303E9E"/>
    <w:rsid w:val="29940D67"/>
    <w:rsid w:val="29A01193"/>
    <w:rsid w:val="29C73B2E"/>
    <w:rsid w:val="2A1C009F"/>
    <w:rsid w:val="2A76223B"/>
    <w:rsid w:val="2A864636"/>
    <w:rsid w:val="2AD06481"/>
    <w:rsid w:val="2AE21719"/>
    <w:rsid w:val="2AFB1004"/>
    <w:rsid w:val="2B420CF2"/>
    <w:rsid w:val="2B426057"/>
    <w:rsid w:val="2B446827"/>
    <w:rsid w:val="2B450F48"/>
    <w:rsid w:val="2B994928"/>
    <w:rsid w:val="2BB0256A"/>
    <w:rsid w:val="2C3442BA"/>
    <w:rsid w:val="2C7E16D0"/>
    <w:rsid w:val="2C90433C"/>
    <w:rsid w:val="2D1D3F5E"/>
    <w:rsid w:val="2D663A6F"/>
    <w:rsid w:val="2DBD7BBF"/>
    <w:rsid w:val="2DED5796"/>
    <w:rsid w:val="2EA90FB7"/>
    <w:rsid w:val="2EC96F38"/>
    <w:rsid w:val="2EFF469C"/>
    <w:rsid w:val="2F1E7104"/>
    <w:rsid w:val="2FC2279D"/>
    <w:rsid w:val="301D722A"/>
    <w:rsid w:val="30215891"/>
    <w:rsid w:val="303D6271"/>
    <w:rsid w:val="30622C43"/>
    <w:rsid w:val="30690A58"/>
    <w:rsid w:val="30755B76"/>
    <w:rsid w:val="309839ED"/>
    <w:rsid w:val="30D008B8"/>
    <w:rsid w:val="31306DDB"/>
    <w:rsid w:val="31527FC0"/>
    <w:rsid w:val="318108AA"/>
    <w:rsid w:val="319213B6"/>
    <w:rsid w:val="3252231D"/>
    <w:rsid w:val="32C157C1"/>
    <w:rsid w:val="32C51CF4"/>
    <w:rsid w:val="32CA07B2"/>
    <w:rsid w:val="32CF5803"/>
    <w:rsid w:val="338A2D03"/>
    <w:rsid w:val="33902D7E"/>
    <w:rsid w:val="343828E3"/>
    <w:rsid w:val="3576355E"/>
    <w:rsid w:val="35787F44"/>
    <w:rsid w:val="35EF4AB0"/>
    <w:rsid w:val="36872EC2"/>
    <w:rsid w:val="37452463"/>
    <w:rsid w:val="37503220"/>
    <w:rsid w:val="379C3AC9"/>
    <w:rsid w:val="37DF0398"/>
    <w:rsid w:val="389A3AA4"/>
    <w:rsid w:val="38AD1357"/>
    <w:rsid w:val="38F87599"/>
    <w:rsid w:val="397A193F"/>
    <w:rsid w:val="39B03B2F"/>
    <w:rsid w:val="39CD0FC3"/>
    <w:rsid w:val="39E70EDD"/>
    <w:rsid w:val="39ED1367"/>
    <w:rsid w:val="3B8A7E03"/>
    <w:rsid w:val="3B914DF7"/>
    <w:rsid w:val="3C10660D"/>
    <w:rsid w:val="3C55692F"/>
    <w:rsid w:val="3C840BE7"/>
    <w:rsid w:val="3CB432DB"/>
    <w:rsid w:val="3CB925E5"/>
    <w:rsid w:val="3D770ECA"/>
    <w:rsid w:val="3DA03EDE"/>
    <w:rsid w:val="3DCF70B5"/>
    <w:rsid w:val="3DD43739"/>
    <w:rsid w:val="3EC067C8"/>
    <w:rsid w:val="3EC36466"/>
    <w:rsid w:val="3ED13FF5"/>
    <w:rsid w:val="3EDF7E2E"/>
    <w:rsid w:val="3EE31102"/>
    <w:rsid w:val="400805D6"/>
    <w:rsid w:val="402E19D8"/>
    <w:rsid w:val="40607E1A"/>
    <w:rsid w:val="406461E7"/>
    <w:rsid w:val="40D504C9"/>
    <w:rsid w:val="41130A14"/>
    <w:rsid w:val="41453EC0"/>
    <w:rsid w:val="41FF6AE9"/>
    <w:rsid w:val="42616C40"/>
    <w:rsid w:val="426E085D"/>
    <w:rsid w:val="42752049"/>
    <w:rsid w:val="42835580"/>
    <w:rsid w:val="42AB58D3"/>
    <w:rsid w:val="42AC69AA"/>
    <w:rsid w:val="43473C6D"/>
    <w:rsid w:val="438651C6"/>
    <w:rsid w:val="43CE01F6"/>
    <w:rsid w:val="43E70E5D"/>
    <w:rsid w:val="4460229E"/>
    <w:rsid w:val="4495671A"/>
    <w:rsid w:val="44CD7E1D"/>
    <w:rsid w:val="44FE211C"/>
    <w:rsid w:val="45032098"/>
    <w:rsid w:val="45B7374D"/>
    <w:rsid w:val="45D833F1"/>
    <w:rsid w:val="462A6736"/>
    <w:rsid w:val="4657751D"/>
    <w:rsid w:val="466028D0"/>
    <w:rsid w:val="466C08D0"/>
    <w:rsid w:val="47753D37"/>
    <w:rsid w:val="487F0008"/>
    <w:rsid w:val="48DB566E"/>
    <w:rsid w:val="4AB659EA"/>
    <w:rsid w:val="4B095F03"/>
    <w:rsid w:val="4B4C4D12"/>
    <w:rsid w:val="4C284CB6"/>
    <w:rsid w:val="4C2C4A5C"/>
    <w:rsid w:val="4C6D5E8C"/>
    <w:rsid w:val="4CC67332"/>
    <w:rsid w:val="4D8B0EAA"/>
    <w:rsid w:val="4DBD4153"/>
    <w:rsid w:val="4E183B8B"/>
    <w:rsid w:val="4E741219"/>
    <w:rsid w:val="4E8E2CA3"/>
    <w:rsid w:val="4F1A1ED7"/>
    <w:rsid w:val="50080F1F"/>
    <w:rsid w:val="5056328E"/>
    <w:rsid w:val="506A59D5"/>
    <w:rsid w:val="50983E13"/>
    <w:rsid w:val="50D562D1"/>
    <w:rsid w:val="50DA639B"/>
    <w:rsid w:val="511B22FD"/>
    <w:rsid w:val="515535B9"/>
    <w:rsid w:val="51921F35"/>
    <w:rsid w:val="52AC0CE9"/>
    <w:rsid w:val="52C07D2E"/>
    <w:rsid w:val="52D00667"/>
    <w:rsid w:val="54247E57"/>
    <w:rsid w:val="54E268AA"/>
    <w:rsid w:val="55F2183B"/>
    <w:rsid w:val="56207CC0"/>
    <w:rsid w:val="562705F2"/>
    <w:rsid w:val="563E73BD"/>
    <w:rsid w:val="567315FF"/>
    <w:rsid w:val="568C3922"/>
    <w:rsid w:val="571A78C3"/>
    <w:rsid w:val="58A9753B"/>
    <w:rsid w:val="597F3B34"/>
    <w:rsid w:val="599830B9"/>
    <w:rsid w:val="5A0A2F99"/>
    <w:rsid w:val="5A6F545A"/>
    <w:rsid w:val="5AC60C79"/>
    <w:rsid w:val="5B0D47B6"/>
    <w:rsid w:val="5C2449E0"/>
    <w:rsid w:val="5C8C1086"/>
    <w:rsid w:val="5CA53FDD"/>
    <w:rsid w:val="5CD13CD0"/>
    <w:rsid w:val="5CF90FFD"/>
    <w:rsid w:val="5D7E07E4"/>
    <w:rsid w:val="5E6515F4"/>
    <w:rsid w:val="5EA57A8F"/>
    <w:rsid w:val="5EAA704E"/>
    <w:rsid w:val="5F3B651A"/>
    <w:rsid w:val="5F4408D8"/>
    <w:rsid w:val="5F9C3898"/>
    <w:rsid w:val="5FC32209"/>
    <w:rsid w:val="603C7235"/>
    <w:rsid w:val="60471818"/>
    <w:rsid w:val="604E1B9D"/>
    <w:rsid w:val="61394DD3"/>
    <w:rsid w:val="61A550D6"/>
    <w:rsid w:val="61E22A3D"/>
    <w:rsid w:val="63601379"/>
    <w:rsid w:val="639B4315"/>
    <w:rsid w:val="63AE0763"/>
    <w:rsid w:val="6401616C"/>
    <w:rsid w:val="6587531A"/>
    <w:rsid w:val="65E91D04"/>
    <w:rsid w:val="661940D7"/>
    <w:rsid w:val="67D61DD6"/>
    <w:rsid w:val="685B2144"/>
    <w:rsid w:val="686D134D"/>
    <w:rsid w:val="687722B9"/>
    <w:rsid w:val="68985682"/>
    <w:rsid w:val="68F54D10"/>
    <w:rsid w:val="69EE1243"/>
    <w:rsid w:val="6B0E1857"/>
    <w:rsid w:val="6B155E10"/>
    <w:rsid w:val="6B3720F3"/>
    <w:rsid w:val="6C0B0EB1"/>
    <w:rsid w:val="6C0D6ABE"/>
    <w:rsid w:val="6C347C11"/>
    <w:rsid w:val="6C8931D7"/>
    <w:rsid w:val="6C9A62B8"/>
    <w:rsid w:val="6CEF556F"/>
    <w:rsid w:val="6D0D30C4"/>
    <w:rsid w:val="6D184FCC"/>
    <w:rsid w:val="6E116B6F"/>
    <w:rsid w:val="6E6438B7"/>
    <w:rsid w:val="6EF22D68"/>
    <w:rsid w:val="6EFE69E8"/>
    <w:rsid w:val="6F310918"/>
    <w:rsid w:val="6F4D5D91"/>
    <w:rsid w:val="6F5D04A7"/>
    <w:rsid w:val="70887D5B"/>
    <w:rsid w:val="709B23CE"/>
    <w:rsid w:val="71A3496A"/>
    <w:rsid w:val="71A67303"/>
    <w:rsid w:val="71EF2C18"/>
    <w:rsid w:val="726932C8"/>
    <w:rsid w:val="731B3652"/>
    <w:rsid w:val="737357D8"/>
    <w:rsid w:val="73DA124E"/>
    <w:rsid w:val="7492746C"/>
    <w:rsid w:val="74AC62F7"/>
    <w:rsid w:val="74B13864"/>
    <w:rsid w:val="74DC3FE8"/>
    <w:rsid w:val="7516751B"/>
    <w:rsid w:val="758F5275"/>
    <w:rsid w:val="75EA4DCE"/>
    <w:rsid w:val="75F4505A"/>
    <w:rsid w:val="760C44C1"/>
    <w:rsid w:val="76FA6C6D"/>
    <w:rsid w:val="779415BD"/>
    <w:rsid w:val="77D84FF4"/>
    <w:rsid w:val="783E19B9"/>
    <w:rsid w:val="7845768F"/>
    <w:rsid w:val="78A81576"/>
    <w:rsid w:val="78B41DD3"/>
    <w:rsid w:val="790E71AF"/>
    <w:rsid w:val="79134A03"/>
    <w:rsid w:val="79CD137A"/>
    <w:rsid w:val="7A400F5B"/>
    <w:rsid w:val="7A5743DE"/>
    <w:rsid w:val="7AA10F6D"/>
    <w:rsid w:val="7AF368B8"/>
    <w:rsid w:val="7AF83915"/>
    <w:rsid w:val="7B4459FA"/>
    <w:rsid w:val="7B447FEE"/>
    <w:rsid w:val="7BD754E0"/>
    <w:rsid w:val="7C0F1F6E"/>
    <w:rsid w:val="7C896ADF"/>
    <w:rsid w:val="7CC8489E"/>
    <w:rsid w:val="7D1F6BD6"/>
    <w:rsid w:val="7DE33188"/>
    <w:rsid w:val="7E1B72DC"/>
    <w:rsid w:val="7F0C0604"/>
    <w:rsid w:val="7F622959"/>
    <w:rsid w:val="7FEB66FE"/>
    <w:rsid w:val="7FFB07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7">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Normal Indent"/>
    <w:basedOn w:val="1"/>
    <w:qFormat/>
    <w:uiPriority w:val="0"/>
    <w:pPr>
      <w:widowControl w:val="0"/>
      <w:ind w:firstLine="200" w:firstLineChars="200"/>
      <w:jc w:val="both"/>
    </w:pPr>
    <w:rPr>
      <w:rFonts w:ascii="Calibri" w:hAnsi="Calibri" w:eastAsia="宋体" w:cs="Times New Roman"/>
      <w:kern w:val="2"/>
      <w:sz w:val="21"/>
      <w:szCs w:val="24"/>
      <w:lang w:val="en-US" w:eastAsia="zh-CN"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8">
    <w:name w:val="Table Paragraph"/>
    <w:basedOn w:val="1"/>
    <w:qFormat/>
    <w:uiPriority w:val="1"/>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3997</Words>
  <Characters>4244</Characters>
  <Lines>0</Lines>
  <Paragraphs>0</Paragraphs>
  <TotalTime>22</TotalTime>
  <ScaleCrop>false</ScaleCrop>
  <LinksUpToDate>false</LinksUpToDate>
  <CharactersWithSpaces>4273</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2021-10-18T07:49:00Z</dcterms:created>
  <dc:creator>Administrator</dc:creator>
  <cp:lastModifiedBy>Administrator</cp:lastModifiedBy>
  <cp:lastPrinted>2026-07-08T08:21:44Z</cp:lastPrinted>
  <dcterms:modified xsi:type="dcterms:W3CDTF">2026-07-08T08:23:12Z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y fmtid="{D5CDD505-2E9C-101B-9397-08002B2CF9AE}" pid="3" name="ICV">
    <vt:lpwstr>D72CC3817FD846FC8B0D496F3B5FD83A_13</vt:lpwstr>
  </property>
  <property fmtid="{D5CDD505-2E9C-101B-9397-08002B2CF9AE}" pid="4" name="KSOTemplateDocerSaveRecord">
    <vt:lpwstr>eyJoZGlkIjoiOWZmMWEzMjljZmQ5YjlmMWI2NTExYzVmYTVlMzZiMzEifQ==</vt:lpwstr>
  </property>
</Properties>
</file>