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sz w:val="32"/>
          <w:szCs w:val="32"/>
          <w:lang w:val="en-US"/>
        </w:rPr>
      </w:pPr>
      <w:bookmarkStart w:id="0" w:name="_GoBack"/>
      <w:bookmarkEnd w:id="0"/>
      <w:r>
        <w:rPr>
          <w:rFonts w:hint="eastAsia" w:ascii="Times New Roman"/>
          <w:sz w:val="32"/>
          <w:szCs w:val="32"/>
          <w:lang w:val="en-US"/>
        </w:rPr>
        <w:t>米东区发改委（工信局）行政权力清单和责任清单（行政许可类）</w:t>
      </w:r>
    </w:p>
    <w:p>
      <w:pPr>
        <w:pStyle w:val="2"/>
        <w:spacing w:before="2"/>
        <w:rPr>
          <w:rFonts w:ascii="Times New Roman"/>
          <w:sz w:val="32"/>
          <w:szCs w:val="32"/>
        </w:rPr>
      </w:pPr>
    </w:p>
    <w:tbl>
      <w:tblPr>
        <w:tblStyle w:val="5"/>
        <w:tblW w:w="14881" w:type="dxa"/>
        <w:tblInd w:w="15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528"/>
        <w:gridCol w:w="960"/>
        <w:gridCol w:w="3120"/>
        <w:gridCol w:w="432"/>
        <w:gridCol w:w="768"/>
        <w:gridCol w:w="845"/>
        <w:gridCol w:w="521"/>
        <w:gridCol w:w="3497"/>
        <w:gridCol w:w="34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vMerge w:val="restart"/>
          </w:tcPr>
          <w:p>
            <w:pPr>
              <w:pStyle w:val="9"/>
              <w:spacing w:before="2"/>
              <w:rPr>
                <w:rFonts w:ascii="黑体" w:hAnsi="黑体" w:eastAsia="黑体" w:cs="黑体"/>
                <w:sz w:val="21"/>
              </w:rPr>
            </w:pPr>
          </w:p>
          <w:p>
            <w:pPr>
              <w:pStyle w:val="9"/>
              <w:spacing w:line="230" w:lineRule="auto"/>
              <w:ind w:left="81" w:right="52"/>
              <w:rPr>
                <w:rFonts w:ascii="黑体" w:hAnsi="黑体" w:eastAsia="黑体" w:cs="黑体"/>
                <w:b/>
                <w:sz w:val="18"/>
              </w:rPr>
            </w:pPr>
            <w:r>
              <w:rPr>
                <w:rFonts w:hint="eastAsia" w:ascii="黑体" w:hAnsi="黑体" w:eastAsia="黑体" w:cs="黑体"/>
                <w:bCs/>
                <w:sz w:val="18"/>
              </w:rPr>
              <w:t>序号</w:t>
            </w:r>
          </w:p>
        </w:tc>
        <w:tc>
          <w:tcPr>
            <w:tcW w:w="444" w:type="dxa"/>
            <w:vMerge w:val="restart"/>
          </w:tcPr>
          <w:p>
            <w:pPr>
              <w:pStyle w:val="9"/>
              <w:spacing w:before="2"/>
              <w:rPr>
                <w:rFonts w:ascii="黑体" w:hAnsi="黑体" w:eastAsia="黑体" w:cs="黑体"/>
                <w:sz w:val="21"/>
              </w:rPr>
            </w:pPr>
          </w:p>
          <w:p>
            <w:pPr>
              <w:pStyle w:val="9"/>
              <w:spacing w:line="230" w:lineRule="auto"/>
              <w:ind w:left="44" w:right="13"/>
              <w:rPr>
                <w:rFonts w:ascii="黑体" w:hAnsi="黑体" w:eastAsia="黑体" w:cs="黑体"/>
                <w:sz w:val="18"/>
              </w:rPr>
            </w:pPr>
            <w:r>
              <w:rPr>
                <w:rFonts w:hint="eastAsia" w:ascii="黑体" w:hAnsi="黑体" w:eastAsia="黑体" w:cs="黑体"/>
                <w:sz w:val="18"/>
              </w:rPr>
              <w:t>职权编码</w:t>
            </w:r>
          </w:p>
        </w:tc>
        <w:tc>
          <w:tcPr>
            <w:tcW w:w="1488" w:type="dxa"/>
            <w:gridSpan w:val="2"/>
          </w:tcPr>
          <w:p>
            <w:pPr>
              <w:pStyle w:val="9"/>
              <w:spacing w:before="117"/>
              <w:ind w:left="205"/>
              <w:rPr>
                <w:rFonts w:ascii="黑体" w:hAnsi="黑体" w:eastAsia="黑体" w:cs="黑体"/>
                <w:sz w:val="18"/>
              </w:rPr>
            </w:pPr>
            <w:r>
              <w:rPr>
                <w:rFonts w:hint="eastAsia" w:ascii="黑体" w:hAnsi="黑体" w:eastAsia="黑体" w:cs="黑体"/>
                <w:sz w:val="18"/>
              </w:rPr>
              <w:t>职权名称</w:t>
            </w:r>
          </w:p>
        </w:tc>
        <w:tc>
          <w:tcPr>
            <w:tcW w:w="3120" w:type="dxa"/>
            <w:vMerge w:val="restart"/>
          </w:tcPr>
          <w:p>
            <w:pPr>
              <w:pStyle w:val="9"/>
              <w:rPr>
                <w:rFonts w:ascii="黑体" w:hAnsi="黑体" w:eastAsia="黑体" w:cs="黑体"/>
                <w:sz w:val="18"/>
              </w:rPr>
            </w:pPr>
          </w:p>
          <w:p>
            <w:pPr>
              <w:pStyle w:val="9"/>
              <w:spacing w:before="140"/>
              <w:ind w:left="1181" w:right="1156"/>
              <w:jc w:val="center"/>
              <w:rPr>
                <w:rFonts w:ascii="黑体" w:hAnsi="黑体" w:eastAsia="黑体" w:cs="黑体"/>
                <w:sz w:val="18"/>
              </w:rPr>
            </w:pPr>
            <w:r>
              <w:rPr>
                <w:rFonts w:hint="eastAsia" w:ascii="黑体" w:hAnsi="黑体" w:eastAsia="黑体" w:cs="黑体"/>
                <w:sz w:val="18"/>
              </w:rPr>
              <w:t>实施依据</w:t>
            </w:r>
          </w:p>
        </w:tc>
        <w:tc>
          <w:tcPr>
            <w:tcW w:w="432" w:type="dxa"/>
            <w:vMerge w:val="restart"/>
          </w:tcPr>
          <w:p>
            <w:pPr>
              <w:pStyle w:val="9"/>
              <w:spacing w:before="2"/>
              <w:rPr>
                <w:rFonts w:ascii="黑体" w:hAnsi="黑体" w:eastAsia="黑体" w:cs="黑体"/>
                <w:sz w:val="21"/>
              </w:rPr>
            </w:pPr>
          </w:p>
          <w:p>
            <w:pPr>
              <w:pStyle w:val="9"/>
              <w:spacing w:line="230" w:lineRule="auto"/>
              <w:ind w:left="38" w:right="7"/>
              <w:rPr>
                <w:rFonts w:ascii="黑体" w:hAnsi="黑体" w:eastAsia="黑体" w:cs="黑体"/>
                <w:sz w:val="18"/>
              </w:rPr>
            </w:pPr>
            <w:r>
              <w:rPr>
                <w:rFonts w:hint="eastAsia" w:ascii="黑体" w:hAnsi="黑体" w:eastAsia="黑体" w:cs="黑体"/>
                <w:sz w:val="18"/>
              </w:rPr>
              <w:t>实施对象</w:t>
            </w:r>
          </w:p>
        </w:tc>
        <w:tc>
          <w:tcPr>
            <w:tcW w:w="768" w:type="dxa"/>
            <w:vMerge w:val="restart"/>
          </w:tcPr>
          <w:p>
            <w:pPr>
              <w:pStyle w:val="9"/>
              <w:spacing w:before="129" w:line="232" w:lineRule="auto"/>
              <w:ind w:left="115" w:right="83"/>
              <w:jc w:val="both"/>
              <w:rPr>
                <w:rFonts w:ascii="黑体" w:hAnsi="黑体" w:eastAsia="黑体" w:cs="黑体"/>
                <w:sz w:val="18"/>
              </w:rPr>
            </w:pPr>
            <w:r>
              <w:rPr>
                <w:rFonts w:hint="eastAsia" w:ascii="黑体" w:hAnsi="黑体" w:eastAsia="黑体" w:cs="黑体"/>
                <w:sz w:val="18"/>
              </w:rPr>
              <w:t>承办机构及监督电话</w:t>
            </w:r>
          </w:p>
        </w:tc>
        <w:tc>
          <w:tcPr>
            <w:tcW w:w="845" w:type="dxa"/>
            <w:vMerge w:val="restart"/>
          </w:tcPr>
          <w:p>
            <w:pPr>
              <w:pStyle w:val="9"/>
              <w:spacing w:line="240" w:lineRule="exact"/>
              <w:jc w:val="center"/>
              <w:rPr>
                <w:rFonts w:ascii="黑体" w:hAnsi="黑体" w:eastAsia="黑体" w:cs="黑体"/>
                <w:sz w:val="18"/>
              </w:rPr>
            </w:pPr>
            <w:r>
              <w:rPr>
                <w:rFonts w:hint="eastAsia" w:ascii="黑体" w:hAnsi="黑体" w:eastAsia="黑体" w:cs="黑体"/>
                <w:sz w:val="18"/>
              </w:rPr>
              <w:t>收费（征收）依据和标准</w:t>
            </w:r>
          </w:p>
        </w:tc>
        <w:tc>
          <w:tcPr>
            <w:tcW w:w="521" w:type="dxa"/>
            <w:vMerge w:val="restart"/>
          </w:tcPr>
          <w:p>
            <w:pPr>
              <w:pStyle w:val="9"/>
              <w:spacing w:before="2"/>
              <w:rPr>
                <w:rFonts w:ascii="黑体" w:hAnsi="黑体" w:eastAsia="黑体" w:cs="黑体"/>
                <w:sz w:val="21"/>
              </w:rPr>
            </w:pPr>
          </w:p>
          <w:p>
            <w:pPr>
              <w:pStyle w:val="9"/>
              <w:spacing w:line="230" w:lineRule="auto"/>
              <w:ind w:left="52" w:right="23"/>
              <w:rPr>
                <w:rFonts w:ascii="黑体" w:hAnsi="黑体" w:eastAsia="黑体" w:cs="黑体"/>
                <w:sz w:val="18"/>
              </w:rPr>
            </w:pPr>
            <w:r>
              <w:rPr>
                <w:rFonts w:hint="eastAsia" w:ascii="黑体" w:hAnsi="黑体" w:eastAsia="黑体" w:cs="黑体"/>
                <w:sz w:val="18"/>
              </w:rPr>
              <w:t>责任主体</w:t>
            </w:r>
          </w:p>
        </w:tc>
        <w:tc>
          <w:tcPr>
            <w:tcW w:w="3497" w:type="dxa"/>
            <w:vMerge w:val="restart"/>
          </w:tcPr>
          <w:p>
            <w:pPr>
              <w:pStyle w:val="9"/>
              <w:rPr>
                <w:rFonts w:ascii="黑体" w:hAnsi="黑体" w:eastAsia="黑体" w:cs="黑体"/>
                <w:sz w:val="18"/>
              </w:rPr>
            </w:pPr>
          </w:p>
          <w:p>
            <w:pPr>
              <w:pStyle w:val="9"/>
              <w:spacing w:before="140"/>
              <w:ind w:left="1370" w:right="1343"/>
              <w:jc w:val="center"/>
              <w:rPr>
                <w:rFonts w:ascii="黑体" w:hAnsi="黑体" w:eastAsia="黑体" w:cs="黑体"/>
                <w:sz w:val="18"/>
              </w:rPr>
            </w:pPr>
            <w:r>
              <w:rPr>
                <w:rFonts w:hint="eastAsia" w:ascii="黑体" w:hAnsi="黑体" w:eastAsia="黑体" w:cs="黑体"/>
                <w:sz w:val="18"/>
              </w:rPr>
              <w:t>责任事项</w:t>
            </w:r>
          </w:p>
        </w:tc>
        <w:tc>
          <w:tcPr>
            <w:tcW w:w="3430" w:type="dxa"/>
            <w:vMerge w:val="restart"/>
          </w:tcPr>
          <w:p>
            <w:pPr>
              <w:pStyle w:val="9"/>
              <w:rPr>
                <w:rFonts w:ascii="黑体" w:hAnsi="黑体" w:eastAsia="黑体" w:cs="黑体"/>
                <w:sz w:val="18"/>
              </w:rPr>
            </w:pPr>
          </w:p>
          <w:p>
            <w:pPr>
              <w:pStyle w:val="9"/>
              <w:spacing w:before="140"/>
              <w:ind w:left="1336" w:right="1310"/>
              <w:jc w:val="center"/>
              <w:rPr>
                <w:rFonts w:ascii="黑体" w:hAnsi="黑体" w:eastAsia="黑体" w:cs="黑体"/>
                <w:sz w:val="18"/>
              </w:rPr>
            </w:pPr>
            <w:r>
              <w:rPr>
                <w:rFonts w:hint="eastAsia" w:ascii="黑体" w:hAnsi="黑体" w:eastAsia="黑体" w:cs="黑体"/>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vMerge w:val="continue"/>
            <w:tcBorders>
              <w:top w:val="nil"/>
            </w:tcBorders>
          </w:tcPr>
          <w:p>
            <w:pPr>
              <w:rPr>
                <w:sz w:val="2"/>
                <w:szCs w:val="2"/>
              </w:rPr>
            </w:pPr>
          </w:p>
        </w:tc>
        <w:tc>
          <w:tcPr>
            <w:tcW w:w="444" w:type="dxa"/>
            <w:vMerge w:val="continue"/>
            <w:tcBorders>
              <w:top w:val="nil"/>
            </w:tcBorders>
          </w:tcPr>
          <w:p>
            <w:pPr>
              <w:rPr>
                <w:sz w:val="2"/>
                <w:szCs w:val="2"/>
              </w:rPr>
            </w:pPr>
          </w:p>
        </w:tc>
        <w:tc>
          <w:tcPr>
            <w:tcW w:w="528" w:type="dxa"/>
          </w:tcPr>
          <w:p>
            <w:pPr>
              <w:pStyle w:val="9"/>
              <w:spacing w:before="117"/>
              <w:ind w:left="85"/>
              <w:rPr>
                <w:rFonts w:ascii="黑体" w:eastAsia="黑体"/>
                <w:bCs/>
                <w:sz w:val="18"/>
              </w:rPr>
            </w:pPr>
            <w:r>
              <w:rPr>
                <w:rFonts w:hint="eastAsia" w:ascii="黑体" w:eastAsia="黑体"/>
                <w:bCs/>
                <w:sz w:val="18"/>
              </w:rPr>
              <w:t>项目</w:t>
            </w:r>
          </w:p>
        </w:tc>
        <w:tc>
          <w:tcPr>
            <w:tcW w:w="960" w:type="dxa"/>
          </w:tcPr>
          <w:p>
            <w:pPr>
              <w:pStyle w:val="9"/>
              <w:spacing w:before="117"/>
              <w:ind w:left="126"/>
              <w:rPr>
                <w:rFonts w:ascii="黑体" w:eastAsia="黑体"/>
                <w:bCs/>
                <w:sz w:val="18"/>
              </w:rPr>
            </w:pPr>
            <w:r>
              <w:rPr>
                <w:rFonts w:hint="eastAsia" w:ascii="黑体" w:eastAsia="黑体"/>
                <w:bCs/>
                <w:sz w:val="18"/>
              </w:rPr>
              <w:t>子项</w:t>
            </w:r>
          </w:p>
        </w:tc>
        <w:tc>
          <w:tcPr>
            <w:tcW w:w="3120" w:type="dxa"/>
            <w:vMerge w:val="continue"/>
            <w:tcBorders>
              <w:top w:val="nil"/>
            </w:tcBorders>
          </w:tcPr>
          <w:p>
            <w:pPr>
              <w:rPr>
                <w:sz w:val="2"/>
                <w:szCs w:val="2"/>
              </w:rPr>
            </w:pPr>
          </w:p>
        </w:tc>
        <w:tc>
          <w:tcPr>
            <w:tcW w:w="432" w:type="dxa"/>
            <w:vMerge w:val="continue"/>
            <w:tcBorders>
              <w:top w:val="nil"/>
            </w:tcBorders>
          </w:tcPr>
          <w:p>
            <w:pPr>
              <w:rPr>
                <w:sz w:val="2"/>
                <w:szCs w:val="2"/>
              </w:rPr>
            </w:pPr>
          </w:p>
        </w:tc>
        <w:tc>
          <w:tcPr>
            <w:tcW w:w="768" w:type="dxa"/>
            <w:vMerge w:val="continue"/>
            <w:tcBorders>
              <w:top w:val="nil"/>
            </w:tcBorders>
          </w:tcPr>
          <w:p>
            <w:pPr>
              <w:rPr>
                <w:sz w:val="2"/>
                <w:szCs w:val="2"/>
              </w:rPr>
            </w:pPr>
          </w:p>
        </w:tc>
        <w:tc>
          <w:tcPr>
            <w:tcW w:w="845" w:type="dxa"/>
            <w:vMerge w:val="continue"/>
            <w:tcBorders>
              <w:top w:val="nil"/>
            </w:tcBorders>
          </w:tcPr>
          <w:p>
            <w:pPr>
              <w:rPr>
                <w:sz w:val="2"/>
                <w:szCs w:val="2"/>
              </w:rPr>
            </w:pPr>
          </w:p>
        </w:tc>
        <w:tc>
          <w:tcPr>
            <w:tcW w:w="521" w:type="dxa"/>
            <w:vMerge w:val="continue"/>
            <w:tcBorders>
              <w:top w:val="nil"/>
            </w:tcBorders>
          </w:tcPr>
          <w:p>
            <w:pPr>
              <w:rPr>
                <w:sz w:val="2"/>
                <w:szCs w:val="2"/>
              </w:rPr>
            </w:pPr>
          </w:p>
        </w:tc>
        <w:tc>
          <w:tcPr>
            <w:tcW w:w="3497" w:type="dxa"/>
            <w:vMerge w:val="continue"/>
            <w:tcBorders>
              <w:top w:val="nil"/>
            </w:tcBorders>
          </w:tcPr>
          <w:p>
            <w:pPr>
              <w:rPr>
                <w:sz w:val="2"/>
                <w:szCs w:val="2"/>
              </w:rPr>
            </w:pPr>
          </w:p>
        </w:tc>
        <w:tc>
          <w:tcPr>
            <w:tcW w:w="3430"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376" w:hRule="atLeast"/>
        </w:trPr>
        <w:tc>
          <w:tcPr>
            <w:tcW w:w="336" w:type="dxa"/>
            <w:vAlign w:val="center"/>
          </w:tcPr>
          <w:p>
            <w:pPr>
              <w:pStyle w:val="9"/>
              <w:jc w:val="both"/>
              <w:rPr>
                <w:rFonts w:ascii="Times New Roman"/>
                <w:sz w:val="16"/>
                <w:szCs w:val="16"/>
              </w:rPr>
            </w:pPr>
          </w:p>
          <w:p>
            <w:pPr>
              <w:pStyle w:val="9"/>
              <w:spacing w:before="112"/>
              <w:ind w:left="28"/>
              <w:jc w:val="both"/>
              <w:rPr>
                <w:rFonts w:ascii="Times New Roman"/>
                <w:sz w:val="16"/>
                <w:szCs w:val="16"/>
              </w:rPr>
            </w:pPr>
            <w:r>
              <w:rPr>
                <w:rFonts w:hint="eastAsia" w:ascii="Times New Roman"/>
                <w:w w:val="102"/>
                <w:sz w:val="16"/>
                <w:szCs w:val="16"/>
                <w:lang w:val="en-US"/>
              </w:rPr>
              <w:t>1</w:t>
            </w:r>
          </w:p>
        </w:tc>
        <w:tc>
          <w:tcPr>
            <w:tcW w:w="444" w:type="dxa"/>
            <w:vAlign w:val="center"/>
          </w:tcPr>
          <w:p>
            <w:pPr>
              <w:pStyle w:val="9"/>
              <w:jc w:val="both"/>
              <w:rPr>
                <w:rFonts w:ascii="Times New Roman"/>
                <w:sz w:val="16"/>
                <w:szCs w:val="16"/>
              </w:rPr>
            </w:pPr>
            <w:r>
              <w:rPr>
                <w:rFonts w:ascii="Times New Roman"/>
                <w:w w:val="105"/>
                <w:sz w:val="16"/>
                <w:szCs w:val="16"/>
              </w:rPr>
              <w:t>65010</w:t>
            </w:r>
          </w:p>
          <w:p>
            <w:pPr>
              <w:pStyle w:val="9"/>
              <w:spacing w:before="27"/>
              <w:ind w:left="33"/>
              <w:jc w:val="both"/>
              <w:rPr>
                <w:rFonts w:ascii="Times New Roman"/>
                <w:sz w:val="16"/>
                <w:szCs w:val="16"/>
              </w:rPr>
            </w:pPr>
            <w:r>
              <w:rPr>
                <w:rFonts w:hint="eastAsia" w:ascii="Times New Roman"/>
                <w:w w:val="105"/>
                <w:sz w:val="16"/>
                <w:szCs w:val="16"/>
                <w:lang w:val="en-US"/>
              </w:rPr>
              <w:t>9</w:t>
            </w:r>
            <w:r>
              <w:rPr>
                <w:rFonts w:ascii="Times New Roman"/>
                <w:w w:val="105"/>
                <w:sz w:val="16"/>
                <w:szCs w:val="16"/>
              </w:rPr>
              <w:t>201</w:t>
            </w:r>
          </w:p>
          <w:p>
            <w:pPr>
              <w:pStyle w:val="9"/>
              <w:spacing w:before="26" w:line="278" w:lineRule="auto"/>
              <w:ind w:left="33" w:right="28"/>
              <w:jc w:val="both"/>
              <w:rPr>
                <w:rFonts w:ascii="Times New Roman"/>
                <w:sz w:val="16"/>
                <w:szCs w:val="16"/>
              </w:rPr>
            </w:pPr>
            <w:r>
              <w:rPr>
                <w:rFonts w:ascii="Times New Roman"/>
                <w:sz w:val="16"/>
                <w:szCs w:val="16"/>
              </w:rPr>
              <w:t xml:space="preserve">XK00 </w:t>
            </w:r>
            <w:r>
              <w:rPr>
                <w:rFonts w:hint="eastAsia" w:ascii="Times New Roman"/>
                <w:w w:val="105"/>
                <w:sz w:val="16"/>
                <w:szCs w:val="16"/>
                <w:lang w:val="en-US"/>
              </w:rPr>
              <w:t>1</w:t>
            </w:r>
          </w:p>
        </w:tc>
        <w:tc>
          <w:tcPr>
            <w:tcW w:w="528" w:type="dxa"/>
            <w:vAlign w:val="center"/>
          </w:tcPr>
          <w:p>
            <w:pPr>
              <w:pStyle w:val="9"/>
              <w:spacing w:line="189" w:lineRule="auto"/>
              <w:ind w:left="32" w:right="39"/>
              <w:jc w:val="both"/>
              <w:rPr>
                <w:sz w:val="16"/>
                <w:szCs w:val="16"/>
              </w:rPr>
            </w:pPr>
            <w:r>
              <w:rPr>
                <w:spacing w:val="-5"/>
                <w:w w:val="105"/>
                <w:sz w:val="16"/>
                <w:szCs w:val="16"/>
              </w:rPr>
              <w:t>权限内固定资产投资项目节能评估和审查</w:t>
            </w:r>
          </w:p>
        </w:tc>
        <w:tc>
          <w:tcPr>
            <w:tcW w:w="960" w:type="dxa"/>
            <w:vAlign w:val="center"/>
          </w:tcPr>
          <w:p>
            <w:pPr>
              <w:pStyle w:val="9"/>
              <w:jc w:val="both"/>
              <w:rPr>
                <w:rFonts w:ascii="Times New Roman"/>
                <w:sz w:val="16"/>
                <w:szCs w:val="16"/>
              </w:rPr>
            </w:pPr>
          </w:p>
        </w:tc>
        <w:tc>
          <w:tcPr>
            <w:tcW w:w="3120" w:type="dxa"/>
            <w:vAlign w:val="center"/>
          </w:tcPr>
          <w:p>
            <w:pPr>
              <w:pStyle w:val="9"/>
              <w:spacing w:before="5"/>
              <w:jc w:val="both"/>
              <w:rPr>
                <w:rFonts w:ascii="Times New Roman"/>
                <w:color w:val="auto"/>
                <w:sz w:val="16"/>
                <w:szCs w:val="16"/>
              </w:rPr>
            </w:pPr>
            <w:r>
              <w:rPr>
                <w:rFonts w:hint="eastAsia" w:ascii="Times New Roman"/>
                <w:color w:val="auto"/>
                <w:sz w:val="16"/>
                <w:szCs w:val="16"/>
              </w:rPr>
              <w:t>《中华人民共和国节约能源法》（中华人民共和国主席令第</w:t>
            </w:r>
            <w:r>
              <w:rPr>
                <w:rFonts w:ascii="Times New Roman"/>
                <w:color w:val="auto"/>
                <w:sz w:val="16"/>
                <w:szCs w:val="16"/>
              </w:rPr>
              <w:t>77号，2007年10月28日由第十届全国人民代表大会常务委员会第三十次会议修订通过，自2008年4月1日起施行。）</w:t>
            </w:r>
          </w:p>
          <w:p>
            <w:pPr>
              <w:pStyle w:val="9"/>
              <w:spacing w:before="5"/>
              <w:jc w:val="both"/>
              <w:rPr>
                <w:rFonts w:ascii="Times New Roman"/>
                <w:color w:val="auto"/>
                <w:sz w:val="16"/>
                <w:szCs w:val="16"/>
              </w:rPr>
            </w:pPr>
            <w:r>
              <w:rPr>
                <w:rFonts w:ascii="Times New Roman"/>
                <w:color w:val="auto"/>
                <w:sz w:val="16"/>
                <w:szCs w:val="16"/>
              </w:rPr>
              <w:t>第十五条 国家实行固定资产投资项目节能评估和审查制度。不符合强制性节能标准的项目，依法负责项目审批或者核准的机关不得批准或者核准建设；建设单位不得开工建设；已经建成的，不得投入生产、使用。具体办法由国务院管理节能工作的部门会同国务院有关部门制定。</w:t>
            </w:r>
          </w:p>
          <w:p>
            <w:pPr>
              <w:pStyle w:val="9"/>
              <w:spacing w:before="1" w:line="189" w:lineRule="auto"/>
              <w:ind w:left="33" w:right="21"/>
              <w:jc w:val="both"/>
              <w:rPr>
                <w:sz w:val="16"/>
                <w:szCs w:val="16"/>
              </w:rPr>
            </w:pPr>
            <w:r>
              <w:rPr>
                <w:sz w:val="16"/>
                <w:szCs w:val="16"/>
              </w:rPr>
              <w:t>《国务院关于加强节能工作的决定》（二十三） 建立固定资产投资项目节能评估和审查制度。有</w:t>
            </w:r>
            <w:r>
              <w:rPr>
                <w:w w:val="105"/>
                <w:sz w:val="16"/>
                <w:szCs w:val="16"/>
              </w:rPr>
              <w:t>关部门和地方人民政府要对固定资产投资项目</w:t>
            </w:r>
          </w:p>
          <w:p>
            <w:pPr>
              <w:pStyle w:val="9"/>
              <w:spacing w:before="3" w:line="189" w:lineRule="auto"/>
              <w:ind w:left="33" w:right="22"/>
              <w:jc w:val="both"/>
              <w:rPr>
                <w:sz w:val="16"/>
                <w:szCs w:val="16"/>
              </w:rPr>
            </w:pPr>
            <w:r>
              <w:rPr>
                <w:sz w:val="16"/>
                <w:szCs w:val="16"/>
              </w:rPr>
              <w:t>（含新建、改建、扩建项目）进行节能评估和审查。对未进行节能审查或未能通过节能审查的项目一律不得审批、核准，从源头杜绝能源的浪费</w:t>
            </w:r>
          </w:p>
          <w:p>
            <w:pPr>
              <w:pStyle w:val="9"/>
              <w:spacing w:before="2" w:line="192" w:lineRule="auto"/>
              <w:ind w:left="33" w:right="21"/>
              <w:jc w:val="both"/>
              <w:rPr>
                <w:sz w:val="16"/>
                <w:szCs w:val="16"/>
              </w:rPr>
            </w:pPr>
            <w:r>
              <w:rPr>
                <w:sz w:val="16"/>
                <w:szCs w:val="16"/>
              </w:rPr>
              <w:t>。对擅自批准项目建设的，要依法依规追究直接责任人的责任。发展改革委要会同有关部门制定固定资产投资项目节能评估和审查的具体办法。国家发改委《固定资产投资项目节能评估和审查</w:t>
            </w:r>
            <w:r>
              <w:rPr>
                <w:spacing w:val="-5"/>
                <w:w w:val="105"/>
                <w:sz w:val="16"/>
                <w:szCs w:val="16"/>
              </w:rPr>
              <w:t>暂行办法》第九条 固定资产投资项目节能审查</w:t>
            </w:r>
            <w:r>
              <w:rPr>
                <w:spacing w:val="-5"/>
                <w:sz w:val="16"/>
                <w:szCs w:val="16"/>
              </w:rPr>
              <w:t>按照项目管理权限实行分级管理。由国家发展改革委核报国务院审批或核准的项目以及由国家发展改革委审批或核准的项目，其节能审查由国家发展改革委负责；由地方人民政府发展改革部门审批、核准、备案或核报本级人民政府审批、核准的项目，其节能审查由地方人民政府发展改革部门负责。据此，</w:t>
            </w:r>
            <w:r>
              <w:rPr>
                <w:rFonts w:hint="eastAsia"/>
                <w:spacing w:val="-5"/>
                <w:sz w:val="16"/>
                <w:szCs w:val="16"/>
              </w:rPr>
              <w:t>米东区</w:t>
            </w:r>
            <w:r>
              <w:rPr>
                <w:spacing w:val="-5"/>
                <w:sz w:val="16"/>
                <w:szCs w:val="16"/>
              </w:rPr>
              <w:t>发改委依法继续实施权限内</w:t>
            </w:r>
            <w:r>
              <w:rPr>
                <w:spacing w:val="-5"/>
                <w:w w:val="105"/>
                <w:sz w:val="16"/>
                <w:szCs w:val="16"/>
              </w:rPr>
              <w:t>重大和限制类固定资产投资项目申请报告的核准，也应相应实施节能审查。</w:t>
            </w:r>
          </w:p>
        </w:tc>
        <w:tc>
          <w:tcPr>
            <w:tcW w:w="432" w:type="dxa"/>
            <w:vAlign w:val="center"/>
          </w:tcPr>
          <w:p>
            <w:pPr>
              <w:pStyle w:val="9"/>
              <w:spacing w:line="203" w:lineRule="exact"/>
              <w:ind w:left="76"/>
              <w:jc w:val="both"/>
              <w:rPr>
                <w:sz w:val="16"/>
                <w:szCs w:val="16"/>
              </w:rPr>
            </w:pPr>
            <w:r>
              <w:rPr>
                <w:sz w:val="16"/>
                <w:szCs w:val="16"/>
              </w:rPr>
              <w:t>企业</w:t>
            </w:r>
          </w:p>
          <w:p>
            <w:pPr>
              <w:pStyle w:val="9"/>
              <w:spacing w:before="10" w:line="189" w:lineRule="auto"/>
              <w:ind w:left="76" w:right="44"/>
              <w:jc w:val="both"/>
              <w:rPr>
                <w:sz w:val="16"/>
                <w:szCs w:val="16"/>
              </w:rPr>
            </w:pPr>
            <w:r>
              <w:rPr>
                <w:spacing w:val="-9"/>
                <w:w w:val="105"/>
                <w:sz w:val="16"/>
                <w:szCs w:val="16"/>
              </w:rPr>
              <w:t>、社</w:t>
            </w:r>
            <w:r>
              <w:rPr>
                <w:spacing w:val="-8"/>
                <w:w w:val="105"/>
                <w:sz w:val="16"/>
                <w:szCs w:val="16"/>
              </w:rPr>
              <w:t>会组织或</w:t>
            </w:r>
            <w:r>
              <w:rPr>
                <w:spacing w:val="-8"/>
                <w:sz w:val="16"/>
                <w:szCs w:val="16"/>
              </w:rPr>
              <w:t>公民</w:t>
            </w:r>
          </w:p>
        </w:tc>
        <w:tc>
          <w:tcPr>
            <w:tcW w:w="768" w:type="dxa"/>
            <w:vAlign w:val="center"/>
          </w:tcPr>
          <w:p>
            <w:pPr>
              <w:pStyle w:val="9"/>
              <w:spacing w:before="7"/>
              <w:ind w:left="97" w:right="66"/>
              <w:jc w:val="both"/>
              <w:rPr>
                <w:rFonts w:ascii="Times New Roman"/>
                <w:sz w:val="16"/>
                <w:szCs w:val="16"/>
              </w:rPr>
            </w:pPr>
            <w:r>
              <w:rPr>
                <w:rFonts w:hint="eastAsia" w:ascii="Times New Roman"/>
                <w:sz w:val="16"/>
                <w:szCs w:val="16"/>
              </w:rPr>
              <w:t>能源科</w:t>
            </w:r>
          </w:p>
          <w:p>
            <w:pPr>
              <w:pStyle w:val="9"/>
              <w:spacing w:before="7"/>
              <w:ind w:left="97" w:right="66"/>
              <w:jc w:val="both"/>
              <w:rPr>
                <w:rFonts w:ascii="Times New Roman"/>
                <w:sz w:val="16"/>
                <w:szCs w:val="16"/>
                <w:lang w:val="en-US"/>
              </w:rPr>
            </w:pPr>
            <w:r>
              <w:rPr>
                <w:rFonts w:hint="eastAsia" w:ascii="Times New Roman"/>
                <w:sz w:val="16"/>
                <w:szCs w:val="16"/>
                <w:lang w:val="en-US"/>
              </w:rPr>
              <w:t>6884337</w:t>
            </w:r>
          </w:p>
        </w:tc>
        <w:tc>
          <w:tcPr>
            <w:tcW w:w="845" w:type="dxa"/>
            <w:vAlign w:val="center"/>
          </w:tcPr>
          <w:p>
            <w:pPr>
              <w:pStyle w:val="9"/>
              <w:jc w:val="center"/>
              <w:rPr>
                <w:sz w:val="16"/>
                <w:szCs w:val="16"/>
              </w:rPr>
            </w:pPr>
            <w:r>
              <w:rPr>
                <w:w w:val="102"/>
                <w:sz w:val="16"/>
                <w:szCs w:val="16"/>
              </w:rPr>
              <w:t>无</w:t>
            </w:r>
          </w:p>
        </w:tc>
        <w:tc>
          <w:tcPr>
            <w:tcW w:w="521" w:type="dxa"/>
            <w:vAlign w:val="center"/>
          </w:tcPr>
          <w:p>
            <w:pPr>
              <w:pStyle w:val="9"/>
              <w:spacing w:line="192" w:lineRule="auto"/>
              <w:ind w:left="90" w:right="28"/>
              <w:jc w:val="both"/>
              <w:rPr>
                <w:sz w:val="16"/>
                <w:szCs w:val="16"/>
              </w:rPr>
            </w:pPr>
            <w:r>
              <w:rPr>
                <w:rFonts w:hint="eastAsia"/>
                <w:w w:val="105"/>
                <w:sz w:val="16"/>
                <w:szCs w:val="16"/>
              </w:rPr>
              <w:t>米东区发改委（工信局）</w:t>
            </w:r>
          </w:p>
        </w:tc>
        <w:tc>
          <w:tcPr>
            <w:tcW w:w="3497" w:type="dxa"/>
            <w:vAlign w:val="center"/>
          </w:tcPr>
          <w:p>
            <w:pPr>
              <w:pStyle w:val="9"/>
              <w:numPr>
                <w:ilvl w:val="0"/>
                <w:numId w:val="1"/>
              </w:numPr>
              <w:tabs>
                <w:tab w:val="left" w:pos="146"/>
              </w:tabs>
              <w:spacing w:before="114" w:line="192" w:lineRule="auto"/>
              <w:ind w:right="109" w:firstLine="0"/>
              <w:jc w:val="both"/>
              <w:rPr>
                <w:sz w:val="16"/>
                <w:szCs w:val="16"/>
              </w:rPr>
            </w:pPr>
            <w:r>
              <w:rPr>
                <w:sz w:val="16"/>
                <w:szCs w:val="16"/>
              </w:rPr>
              <w:t>受理责任：公示依法应当提交的材料；一次性告知 补正材料；依法受理或不予受理（不予受理应当告知</w:t>
            </w:r>
            <w:r>
              <w:rPr>
                <w:w w:val="105"/>
                <w:sz w:val="16"/>
                <w:szCs w:val="16"/>
              </w:rPr>
              <w:t>理由）。</w:t>
            </w:r>
          </w:p>
          <w:p>
            <w:pPr>
              <w:pStyle w:val="9"/>
              <w:numPr>
                <w:ilvl w:val="0"/>
                <w:numId w:val="1"/>
              </w:numPr>
              <w:tabs>
                <w:tab w:val="left" w:pos="146"/>
              </w:tabs>
              <w:spacing w:before="10" w:line="194" w:lineRule="auto"/>
              <w:ind w:right="108" w:firstLine="0"/>
              <w:jc w:val="both"/>
              <w:rPr>
                <w:sz w:val="16"/>
                <w:szCs w:val="16"/>
              </w:rPr>
            </w:pPr>
            <w:r>
              <w:rPr>
                <w:sz w:val="16"/>
                <w:szCs w:val="16"/>
              </w:rPr>
              <w:t>审查责任：受理部门出具节能评审委托书委托节能 评审机构，对固定资产节能评估报告书（登记表、报</w:t>
            </w:r>
            <w:r>
              <w:rPr>
                <w:w w:val="105"/>
                <w:sz w:val="16"/>
                <w:szCs w:val="16"/>
              </w:rPr>
              <w:t>告表）进行审查；提出审查意见。</w:t>
            </w:r>
          </w:p>
          <w:p>
            <w:pPr>
              <w:pStyle w:val="9"/>
              <w:numPr>
                <w:ilvl w:val="0"/>
                <w:numId w:val="1"/>
              </w:numPr>
              <w:tabs>
                <w:tab w:val="left" w:pos="146"/>
              </w:tabs>
              <w:spacing w:before="8" w:line="192" w:lineRule="auto"/>
              <w:ind w:right="108" w:firstLine="0"/>
              <w:jc w:val="both"/>
              <w:rPr>
                <w:sz w:val="16"/>
                <w:szCs w:val="16"/>
              </w:rPr>
            </w:pPr>
            <w:r>
              <w:rPr>
                <w:w w:val="105"/>
                <w:sz w:val="16"/>
                <w:szCs w:val="16"/>
              </w:rPr>
              <w:t>决定责任：根据固定资产投资项目年能耗量的不</w:t>
            </w:r>
            <w:r>
              <w:rPr>
                <w:sz w:val="16"/>
                <w:szCs w:val="16"/>
              </w:rPr>
              <w:t>同，对固定资产项目节能评估报告书（登记表、报告表）予以行政审批；在规定期限内作出准予行政许可</w:t>
            </w:r>
            <w:r>
              <w:rPr>
                <w:w w:val="105"/>
                <w:sz w:val="16"/>
                <w:szCs w:val="16"/>
              </w:rPr>
              <w:t>或不予行政许可的决定。</w:t>
            </w:r>
          </w:p>
          <w:p>
            <w:pPr>
              <w:pStyle w:val="9"/>
              <w:numPr>
                <w:ilvl w:val="0"/>
                <w:numId w:val="1"/>
              </w:numPr>
              <w:tabs>
                <w:tab w:val="left" w:pos="146"/>
              </w:tabs>
              <w:spacing w:line="185" w:lineRule="exact"/>
              <w:ind w:left="145"/>
              <w:jc w:val="both"/>
              <w:rPr>
                <w:sz w:val="16"/>
                <w:szCs w:val="16"/>
              </w:rPr>
            </w:pPr>
            <w:r>
              <w:rPr>
                <w:w w:val="105"/>
                <w:sz w:val="16"/>
                <w:szCs w:val="16"/>
              </w:rPr>
              <w:t>送达责任：出具书面材料，并送达申请人确认信息</w:t>
            </w:r>
          </w:p>
          <w:p>
            <w:pPr>
              <w:pStyle w:val="9"/>
              <w:spacing w:line="187" w:lineRule="exact"/>
              <w:ind w:left="33"/>
              <w:jc w:val="both"/>
              <w:rPr>
                <w:rFonts w:hint="eastAsia"/>
                <w:color w:val="auto"/>
                <w:sz w:val="16"/>
                <w:szCs w:val="16"/>
              </w:rPr>
            </w:pPr>
            <w:r>
              <w:rPr>
                <w:color w:val="auto"/>
                <w:sz w:val="16"/>
                <w:szCs w:val="16"/>
              </w:rPr>
              <w:t>5.事后责任：建立实施监督检查的运行机制和管理制度，开展定期和不定期检查，依法采取相关处置措施。</w:t>
            </w:r>
          </w:p>
          <w:p>
            <w:pPr>
              <w:pStyle w:val="9"/>
              <w:numPr>
                <w:ilvl w:val="0"/>
                <w:numId w:val="1"/>
              </w:numPr>
              <w:tabs>
                <w:tab w:val="left" w:pos="146"/>
              </w:tabs>
              <w:spacing w:line="207" w:lineRule="exact"/>
              <w:ind w:left="145"/>
              <w:jc w:val="both"/>
              <w:rPr>
                <w:sz w:val="16"/>
                <w:szCs w:val="16"/>
              </w:rPr>
            </w:pPr>
            <w:r>
              <w:rPr>
                <w:w w:val="105"/>
                <w:sz w:val="16"/>
                <w:szCs w:val="16"/>
              </w:rPr>
              <w:t>其他法律法规规章文件规定应当履行的责任。</w:t>
            </w:r>
          </w:p>
        </w:tc>
        <w:tc>
          <w:tcPr>
            <w:tcW w:w="3430" w:type="dxa"/>
            <w:vAlign w:val="center"/>
          </w:tcPr>
          <w:p>
            <w:pPr>
              <w:pStyle w:val="9"/>
              <w:spacing w:line="199" w:lineRule="auto"/>
              <w:ind w:left="32" w:right="42"/>
              <w:jc w:val="both"/>
              <w:rPr>
                <w:sz w:val="16"/>
                <w:szCs w:val="16"/>
              </w:rPr>
            </w:pPr>
            <w:r>
              <w:rPr>
                <w:sz w:val="16"/>
                <w:szCs w:val="16"/>
              </w:rPr>
              <w:t>因不履行或不正确履行行政职责，有下列情形的行政</w:t>
            </w:r>
            <w:r>
              <w:rPr>
                <w:w w:val="105"/>
                <w:sz w:val="16"/>
                <w:szCs w:val="16"/>
              </w:rPr>
              <w:t>机关及相关工作人员应承担相应责任：</w:t>
            </w:r>
          </w:p>
          <w:p>
            <w:pPr>
              <w:pStyle w:val="9"/>
              <w:numPr>
                <w:ilvl w:val="0"/>
                <w:numId w:val="2"/>
              </w:numPr>
              <w:tabs>
                <w:tab w:val="left" w:pos="145"/>
              </w:tabs>
              <w:spacing w:line="184" w:lineRule="exact"/>
              <w:ind w:hanging="113"/>
              <w:jc w:val="both"/>
              <w:rPr>
                <w:sz w:val="16"/>
                <w:szCs w:val="16"/>
              </w:rPr>
            </w:pPr>
            <w:r>
              <w:rPr>
                <w:w w:val="105"/>
                <w:sz w:val="16"/>
                <w:szCs w:val="16"/>
              </w:rPr>
              <w:t>不能一次性告知和说明所需材料的；</w:t>
            </w:r>
          </w:p>
          <w:p>
            <w:pPr>
              <w:pStyle w:val="9"/>
              <w:numPr>
                <w:ilvl w:val="0"/>
                <w:numId w:val="2"/>
              </w:numPr>
              <w:tabs>
                <w:tab w:val="left" w:pos="145"/>
              </w:tabs>
              <w:spacing w:line="187" w:lineRule="exact"/>
              <w:ind w:hanging="113"/>
              <w:jc w:val="both"/>
              <w:rPr>
                <w:sz w:val="16"/>
                <w:szCs w:val="16"/>
              </w:rPr>
            </w:pPr>
            <w:r>
              <w:rPr>
                <w:w w:val="105"/>
                <w:sz w:val="16"/>
                <w:szCs w:val="16"/>
              </w:rPr>
              <w:t>对符合条件的不予受理且不说明原因和依据的；</w:t>
            </w:r>
          </w:p>
          <w:p>
            <w:pPr>
              <w:pStyle w:val="9"/>
              <w:numPr>
                <w:ilvl w:val="0"/>
                <w:numId w:val="2"/>
              </w:numPr>
              <w:tabs>
                <w:tab w:val="left" w:pos="145"/>
              </w:tabs>
              <w:spacing w:line="187" w:lineRule="exact"/>
              <w:ind w:hanging="113"/>
              <w:jc w:val="both"/>
              <w:rPr>
                <w:sz w:val="16"/>
                <w:szCs w:val="16"/>
              </w:rPr>
            </w:pPr>
            <w:r>
              <w:rPr>
                <w:w w:val="105"/>
                <w:sz w:val="16"/>
                <w:szCs w:val="16"/>
              </w:rPr>
              <w:t>对不符合条件而予以受理的；</w:t>
            </w:r>
          </w:p>
          <w:p>
            <w:pPr>
              <w:pStyle w:val="9"/>
              <w:numPr>
                <w:ilvl w:val="0"/>
                <w:numId w:val="2"/>
              </w:numPr>
              <w:tabs>
                <w:tab w:val="left" w:pos="145"/>
              </w:tabs>
              <w:spacing w:line="187" w:lineRule="exact"/>
              <w:ind w:hanging="113"/>
              <w:jc w:val="both"/>
              <w:rPr>
                <w:sz w:val="16"/>
                <w:szCs w:val="16"/>
              </w:rPr>
            </w:pPr>
            <w:r>
              <w:rPr>
                <w:w w:val="105"/>
                <w:sz w:val="16"/>
                <w:szCs w:val="16"/>
              </w:rPr>
              <w:t>对不符合规定条件的申请审查的；</w:t>
            </w:r>
          </w:p>
          <w:p>
            <w:pPr>
              <w:pStyle w:val="9"/>
              <w:numPr>
                <w:ilvl w:val="0"/>
                <w:numId w:val="2"/>
              </w:numPr>
              <w:tabs>
                <w:tab w:val="left" w:pos="145"/>
              </w:tabs>
              <w:spacing w:before="11" w:line="194" w:lineRule="auto"/>
              <w:ind w:left="32" w:right="77" w:firstLine="0"/>
              <w:jc w:val="both"/>
              <w:rPr>
                <w:sz w:val="16"/>
                <w:szCs w:val="16"/>
              </w:rPr>
            </w:pPr>
            <w:r>
              <w:rPr>
                <w:sz w:val="16"/>
                <w:szCs w:val="16"/>
              </w:rPr>
              <w:t>对符合规定条件的申请不予审查或者未在规定期限</w:t>
            </w:r>
            <w:r>
              <w:rPr>
                <w:w w:val="105"/>
                <w:sz w:val="16"/>
                <w:szCs w:val="16"/>
              </w:rPr>
              <w:t>内作出审查决定的；</w:t>
            </w:r>
          </w:p>
          <w:p>
            <w:pPr>
              <w:pStyle w:val="9"/>
              <w:numPr>
                <w:ilvl w:val="0"/>
                <w:numId w:val="2"/>
              </w:numPr>
              <w:tabs>
                <w:tab w:val="left" w:pos="145"/>
              </w:tabs>
              <w:spacing w:line="186" w:lineRule="exact"/>
              <w:ind w:hanging="113"/>
              <w:jc w:val="both"/>
              <w:rPr>
                <w:sz w:val="16"/>
                <w:szCs w:val="16"/>
              </w:rPr>
            </w:pPr>
            <w:r>
              <w:rPr>
                <w:w w:val="105"/>
                <w:sz w:val="16"/>
                <w:szCs w:val="16"/>
              </w:rPr>
              <w:t>超越法定职权作出审查决定的；</w:t>
            </w:r>
          </w:p>
          <w:p>
            <w:pPr>
              <w:pStyle w:val="9"/>
              <w:numPr>
                <w:ilvl w:val="0"/>
                <w:numId w:val="2"/>
              </w:numPr>
              <w:tabs>
                <w:tab w:val="left" w:pos="145"/>
              </w:tabs>
              <w:spacing w:line="187" w:lineRule="exact"/>
              <w:ind w:hanging="113"/>
              <w:jc w:val="both"/>
              <w:rPr>
                <w:sz w:val="16"/>
                <w:szCs w:val="16"/>
              </w:rPr>
            </w:pPr>
            <w:r>
              <w:rPr>
                <w:w w:val="105"/>
                <w:sz w:val="16"/>
                <w:szCs w:val="16"/>
              </w:rPr>
              <w:t>未将办理结果在规定期限内送达的；</w:t>
            </w:r>
          </w:p>
          <w:p>
            <w:pPr>
              <w:pStyle w:val="9"/>
              <w:numPr>
                <w:ilvl w:val="0"/>
                <w:numId w:val="2"/>
              </w:numPr>
              <w:tabs>
                <w:tab w:val="left" w:pos="145"/>
              </w:tabs>
              <w:spacing w:line="206" w:lineRule="exact"/>
              <w:ind w:hanging="113"/>
              <w:jc w:val="both"/>
              <w:rPr>
                <w:sz w:val="16"/>
                <w:szCs w:val="16"/>
              </w:rPr>
            </w:pPr>
            <w:r>
              <w:rPr>
                <w:w w:val="105"/>
                <w:sz w:val="16"/>
                <w:szCs w:val="16"/>
              </w:rPr>
              <w:t>其他违反法律法规规章文件规定的行为。</w:t>
            </w:r>
          </w:p>
        </w:tc>
      </w:tr>
    </w:tbl>
    <w:p>
      <w:pPr>
        <w:spacing w:line="206" w:lineRule="exact"/>
        <w:rPr>
          <w:sz w:val="14"/>
        </w:rPr>
        <w:sectPr>
          <w:pgSz w:w="16840" w:h="11910" w:orient="landscape"/>
          <w:pgMar w:top="1100" w:right="1040" w:bottom="280" w:left="1020" w:header="720" w:footer="720" w:gutter="0"/>
          <w:cols w:space="720" w:num="1"/>
        </w:sectPr>
      </w:pPr>
    </w:p>
    <w:p>
      <w:pPr>
        <w:pStyle w:val="2"/>
        <w:rPr>
          <w:rFonts w:ascii="Times New Roman"/>
          <w:sz w:val="20"/>
        </w:rPr>
      </w:pPr>
    </w:p>
    <w:p>
      <w:pPr>
        <w:pStyle w:val="2"/>
        <w:spacing w:before="142"/>
        <w:ind w:right="3412" w:firstLine="1920" w:firstLineChars="600"/>
        <w:jc w:val="both"/>
        <w:rPr>
          <w:sz w:val="32"/>
          <w:szCs w:val="32"/>
        </w:rPr>
        <w:sectPr>
          <w:pgSz w:w="16840" w:h="11910" w:orient="landscape"/>
          <w:pgMar w:top="1100" w:right="1040" w:bottom="280" w:left="1020" w:header="720" w:footer="720" w:gutter="0"/>
          <w:cols w:space="720" w:num="1"/>
        </w:sectPr>
      </w:pPr>
      <w:r>
        <w:rPr>
          <w:rFonts w:hint="eastAsia" w:ascii="Times New Roman"/>
          <w:sz w:val="32"/>
          <w:szCs w:val="32"/>
          <w:lang w:val="en-US"/>
        </w:rPr>
        <w:t>米东区发改委（工信局）行政权力清单和责任清单</w:t>
      </w:r>
      <w:r>
        <w:rPr>
          <w:rFonts w:hint="eastAsia" w:ascii="Times New Roman"/>
          <w:sz w:val="32"/>
          <w:szCs w:val="32"/>
          <w:lang w:val="en-US"/>
        </w:rPr>
        <mc:AlternateContent>
          <mc:Choice Requires="wps">
            <w:drawing>
              <wp:anchor distT="0" distB="0" distL="114300" distR="114300" simplePos="0" relativeHeight="251659264" behindDoc="0" locked="0" layoutInCell="1" allowOverlap="1">
                <wp:simplePos x="0" y="0"/>
                <wp:positionH relativeFrom="page">
                  <wp:posOffset>714375</wp:posOffset>
                </wp:positionH>
                <wp:positionV relativeFrom="paragraph">
                  <wp:posOffset>468630</wp:posOffset>
                </wp:positionV>
                <wp:extent cx="9231630" cy="4939665"/>
                <wp:effectExtent l="0" t="0" r="0" b="0"/>
                <wp:wrapNone/>
                <wp:docPr id="1" name="文本框 3"/>
                <wp:cNvGraphicFramePr/>
                <a:graphic xmlns:a="http://schemas.openxmlformats.org/drawingml/2006/main">
                  <a:graphicData uri="http://schemas.microsoft.com/office/word/2010/wordprocessingShape">
                    <wps:wsp>
                      <wps:cNvSpPr txBox="1"/>
                      <wps:spPr>
                        <a:xfrm>
                          <a:off x="0" y="0"/>
                          <a:ext cx="9231630" cy="4939665"/>
                        </a:xfrm>
                        <a:prstGeom prst="rect">
                          <a:avLst/>
                        </a:prstGeom>
                        <a:noFill/>
                        <a:ln>
                          <a:noFill/>
                        </a:ln>
                      </wps:spPr>
                      <wps:txbx>
                        <w:txbxContent>
                          <w:tbl>
                            <w:tblPr>
                              <w:tblStyle w:val="5"/>
                              <w:tblW w:w="14317" w:type="dxa"/>
                              <w:tblInd w:w="15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36"/>
                              <w:gridCol w:w="567"/>
                              <w:gridCol w:w="567"/>
                              <w:gridCol w:w="567"/>
                              <w:gridCol w:w="2819"/>
                              <w:gridCol w:w="444"/>
                              <w:gridCol w:w="744"/>
                              <w:gridCol w:w="876"/>
                              <w:gridCol w:w="444"/>
                              <w:gridCol w:w="3538"/>
                              <w:gridCol w:w="331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436" w:type="dxa"/>
                                  <w:vMerge w:val="restart"/>
                                </w:tcPr>
                                <w:p>
                                  <w:pPr>
                                    <w:pStyle w:val="9"/>
                                    <w:spacing w:before="9"/>
                                    <w:rPr>
                                      <w:rFonts w:ascii="方正小标宋_GBK"/>
                                      <w:sz w:val="13"/>
                                    </w:rPr>
                                  </w:pPr>
                                </w:p>
                                <w:p>
                                  <w:pPr>
                                    <w:pStyle w:val="9"/>
                                    <w:rPr>
                                      <w:rFonts w:ascii="黑体" w:eastAsia="黑体"/>
                                      <w:b/>
                                      <w:sz w:val="18"/>
                                    </w:rPr>
                                  </w:pPr>
                                  <w:r>
                                    <w:rPr>
                                      <w:rFonts w:hint="eastAsia" w:ascii="黑体" w:eastAsia="黑体"/>
                                      <w:b/>
                                      <w:sz w:val="18"/>
                                    </w:rPr>
                                    <w:t>序号</w:t>
                                  </w:r>
                                </w:p>
                              </w:tc>
                              <w:tc>
                                <w:tcPr>
                                  <w:tcW w:w="567" w:type="dxa"/>
                                  <w:vMerge w:val="restart"/>
                                </w:tcPr>
                                <w:p>
                                  <w:pPr>
                                    <w:pStyle w:val="9"/>
                                    <w:spacing w:before="9"/>
                                    <w:rPr>
                                      <w:rFonts w:ascii="方正小标宋_GBK"/>
                                      <w:sz w:val="13"/>
                                    </w:rPr>
                                  </w:pPr>
                                </w:p>
                                <w:p>
                                  <w:pPr>
                                    <w:pStyle w:val="9"/>
                                    <w:spacing w:before="1" w:line="232" w:lineRule="auto"/>
                                    <w:ind w:left="33" w:right="25"/>
                                    <w:rPr>
                                      <w:rFonts w:ascii="黑体" w:eastAsia="黑体"/>
                                      <w:b/>
                                      <w:sz w:val="18"/>
                                    </w:rPr>
                                  </w:pPr>
                                  <w:r>
                                    <w:rPr>
                                      <w:rFonts w:hint="eastAsia" w:ascii="黑体" w:eastAsia="黑体"/>
                                      <w:b/>
                                      <w:sz w:val="18"/>
                                    </w:rPr>
                                    <w:t>职权编码</w:t>
                                  </w:r>
                                </w:p>
                              </w:tc>
                              <w:tc>
                                <w:tcPr>
                                  <w:tcW w:w="1134" w:type="dxa"/>
                                  <w:gridSpan w:val="2"/>
                                </w:tcPr>
                                <w:p>
                                  <w:pPr>
                                    <w:pStyle w:val="9"/>
                                    <w:spacing w:before="116"/>
                                    <w:ind w:left="201"/>
                                    <w:rPr>
                                      <w:rFonts w:ascii="黑体" w:eastAsia="黑体"/>
                                      <w:b/>
                                      <w:sz w:val="18"/>
                                    </w:rPr>
                                  </w:pPr>
                                  <w:r>
                                    <w:rPr>
                                      <w:rFonts w:hint="eastAsia" w:ascii="黑体" w:eastAsia="黑体"/>
                                      <w:b/>
                                      <w:sz w:val="18"/>
                                    </w:rPr>
                                    <w:t>职权名称</w:t>
                                  </w:r>
                                </w:p>
                              </w:tc>
                              <w:tc>
                                <w:tcPr>
                                  <w:tcW w:w="2819" w:type="dxa"/>
                                  <w:vMerge w:val="restart"/>
                                </w:tcPr>
                                <w:p>
                                  <w:pPr>
                                    <w:pStyle w:val="9"/>
                                    <w:spacing w:before="10"/>
                                    <w:rPr>
                                      <w:rFonts w:ascii="方正小标宋_GBK"/>
                                      <w:sz w:val="19"/>
                                    </w:rPr>
                                  </w:pPr>
                                </w:p>
                                <w:p>
                                  <w:pPr>
                                    <w:pStyle w:val="9"/>
                                    <w:ind w:left="1150" w:right="1120"/>
                                    <w:jc w:val="center"/>
                                    <w:rPr>
                                      <w:rFonts w:ascii="黑体" w:eastAsia="黑体"/>
                                      <w:b/>
                                      <w:sz w:val="18"/>
                                    </w:rPr>
                                  </w:pPr>
                                  <w:r>
                                    <w:rPr>
                                      <w:rFonts w:hint="eastAsia" w:ascii="黑体" w:eastAsia="黑体"/>
                                      <w:b/>
                                      <w:sz w:val="18"/>
                                    </w:rPr>
                                    <w:t>实施依据</w:t>
                                  </w:r>
                                </w:p>
                              </w:tc>
                              <w:tc>
                                <w:tcPr>
                                  <w:tcW w:w="444" w:type="dxa"/>
                                  <w:vMerge w:val="restart"/>
                                </w:tcPr>
                                <w:p>
                                  <w:pPr>
                                    <w:pStyle w:val="9"/>
                                    <w:spacing w:before="9"/>
                                    <w:rPr>
                                      <w:rFonts w:ascii="方正小标宋_GBK"/>
                                      <w:sz w:val="13"/>
                                    </w:rPr>
                                  </w:pPr>
                                </w:p>
                                <w:p>
                                  <w:pPr>
                                    <w:pStyle w:val="9"/>
                                    <w:spacing w:before="1" w:line="232" w:lineRule="auto"/>
                                    <w:ind w:left="42" w:right="15"/>
                                    <w:rPr>
                                      <w:rFonts w:ascii="黑体" w:eastAsia="黑体"/>
                                      <w:b/>
                                      <w:sz w:val="18"/>
                                    </w:rPr>
                                  </w:pPr>
                                  <w:r>
                                    <w:rPr>
                                      <w:rFonts w:hint="eastAsia" w:ascii="黑体" w:eastAsia="黑体"/>
                                      <w:b/>
                                      <w:sz w:val="18"/>
                                    </w:rPr>
                                    <w:t>实施对象</w:t>
                                  </w:r>
                                </w:p>
                              </w:tc>
                              <w:tc>
                                <w:tcPr>
                                  <w:tcW w:w="744" w:type="dxa"/>
                                  <w:vMerge w:val="restart"/>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76" w:type="dxa"/>
                                  <w:vMerge w:val="restart"/>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44" w:type="dxa"/>
                                  <w:vMerge w:val="restart"/>
                                </w:tcPr>
                                <w:p>
                                  <w:pPr>
                                    <w:pStyle w:val="9"/>
                                    <w:spacing w:before="9"/>
                                    <w:rPr>
                                      <w:rFonts w:ascii="方正小标宋_GBK"/>
                                      <w:sz w:val="13"/>
                                    </w:rPr>
                                  </w:pPr>
                                </w:p>
                                <w:p>
                                  <w:pPr>
                                    <w:pStyle w:val="9"/>
                                    <w:spacing w:before="1" w:line="232" w:lineRule="auto"/>
                                    <w:ind w:left="42" w:right="15"/>
                                    <w:rPr>
                                      <w:rFonts w:ascii="黑体" w:eastAsia="黑体"/>
                                      <w:b/>
                                      <w:sz w:val="18"/>
                                    </w:rPr>
                                  </w:pPr>
                                  <w:r>
                                    <w:rPr>
                                      <w:rFonts w:hint="eastAsia" w:ascii="黑体" w:eastAsia="黑体"/>
                                      <w:b/>
                                      <w:sz w:val="18"/>
                                    </w:rPr>
                                    <w:t>责任主体</w:t>
                                  </w:r>
                                </w:p>
                              </w:tc>
                              <w:tc>
                                <w:tcPr>
                                  <w:tcW w:w="3538" w:type="dxa"/>
                                  <w:vMerge w:val="restart"/>
                                </w:tcPr>
                                <w:p>
                                  <w:pPr>
                                    <w:pStyle w:val="9"/>
                                    <w:spacing w:before="10"/>
                                    <w:rPr>
                                      <w:rFonts w:ascii="方正小标宋_GBK"/>
                                      <w:sz w:val="19"/>
                                    </w:rPr>
                                  </w:pPr>
                                </w:p>
                                <w:p>
                                  <w:pPr>
                                    <w:pStyle w:val="9"/>
                                    <w:ind w:left="1392" w:right="1363"/>
                                    <w:jc w:val="center"/>
                                    <w:rPr>
                                      <w:rFonts w:ascii="黑体" w:eastAsia="黑体"/>
                                      <w:b/>
                                      <w:sz w:val="18"/>
                                    </w:rPr>
                                  </w:pPr>
                                  <w:r>
                                    <w:rPr>
                                      <w:rFonts w:hint="eastAsia" w:ascii="黑体" w:eastAsia="黑体"/>
                                      <w:b/>
                                      <w:sz w:val="18"/>
                                    </w:rPr>
                                    <w:t>责任事项</w:t>
                                  </w:r>
                                </w:p>
                              </w:tc>
                              <w:tc>
                                <w:tcPr>
                                  <w:tcW w:w="3315" w:type="dxa"/>
                                  <w:vMerge w:val="restart"/>
                                </w:tcPr>
                                <w:p>
                                  <w:pPr>
                                    <w:pStyle w:val="9"/>
                                    <w:spacing w:before="10"/>
                                    <w:rPr>
                                      <w:rFonts w:ascii="方正小标宋_GBK"/>
                                      <w:sz w:val="19"/>
                                    </w:rPr>
                                  </w:pPr>
                                </w:p>
                                <w:p>
                                  <w:pPr>
                                    <w:pStyle w:val="9"/>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436" w:type="dxa"/>
                                  <w:vMerge w:val="continue"/>
                                  <w:tcBorders>
                                    <w:top w:val="nil"/>
                                  </w:tcBorders>
                                </w:tcPr>
                                <w:p>
                                  <w:pPr>
                                    <w:rPr>
                                      <w:sz w:val="2"/>
                                      <w:szCs w:val="2"/>
                                    </w:rPr>
                                  </w:pPr>
                                </w:p>
                              </w:tc>
                              <w:tc>
                                <w:tcPr>
                                  <w:tcW w:w="567" w:type="dxa"/>
                                  <w:vMerge w:val="continue"/>
                                  <w:tcBorders>
                                    <w:top w:val="nil"/>
                                  </w:tcBorders>
                                </w:tcPr>
                                <w:p>
                                  <w:pPr>
                                    <w:rPr>
                                      <w:sz w:val="2"/>
                                      <w:szCs w:val="2"/>
                                    </w:rPr>
                                  </w:pPr>
                                </w:p>
                              </w:tc>
                              <w:tc>
                                <w:tcPr>
                                  <w:tcW w:w="567" w:type="dxa"/>
                                </w:tcPr>
                                <w:p>
                                  <w:pPr>
                                    <w:pStyle w:val="9"/>
                                    <w:spacing w:before="116"/>
                                    <w:ind w:left="85"/>
                                    <w:rPr>
                                      <w:rFonts w:ascii="黑体" w:eastAsia="黑体"/>
                                      <w:b/>
                                      <w:sz w:val="18"/>
                                    </w:rPr>
                                  </w:pPr>
                                  <w:r>
                                    <w:rPr>
                                      <w:rFonts w:hint="eastAsia" w:ascii="黑体" w:eastAsia="黑体"/>
                                      <w:b/>
                                      <w:sz w:val="18"/>
                                    </w:rPr>
                                    <w:t>项目</w:t>
                                  </w:r>
                                </w:p>
                              </w:tc>
                              <w:tc>
                                <w:tcPr>
                                  <w:tcW w:w="567" w:type="dxa"/>
                                </w:tcPr>
                                <w:p>
                                  <w:pPr>
                                    <w:pStyle w:val="9"/>
                                    <w:spacing w:before="116"/>
                                    <w:ind w:left="119"/>
                                    <w:rPr>
                                      <w:rFonts w:ascii="黑体" w:eastAsia="黑体"/>
                                      <w:b/>
                                      <w:sz w:val="18"/>
                                    </w:rPr>
                                  </w:pPr>
                                  <w:r>
                                    <w:rPr>
                                      <w:rFonts w:hint="eastAsia" w:ascii="黑体" w:eastAsia="黑体"/>
                                      <w:b/>
                                      <w:sz w:val="18"/>
                                    </w:rPr>
                                    <w:t>子项</w:t>
                                  </w:r>
                                </w:p>
                              </w:tc>
                              <w:tc>
                                <w:tcPr>
                                  <w:tcW w:w="2819" w:type="dxa"/>
                                  <w:vMerge w:val="continue"/>
                                  <w:tcBorders>
                                    <w:top w:val="nil"/>
                                  </w:tcBorders>
                                </w:tcPr>
                                <w:p>
                                  <w:pPr>
                                    <w:rPr>
                                      <w:sz w:val="2"/>
                                      <w:szCs w:val="2"/>
                                    </w:rPr>
                                  </w:pPr>
                                </w:p>
                              </w:tc>
                              <w:tc>
                                <w:tcPr>
                                  <w:tcW w:w="444" w:type="dxa"/>
                                  <w:vMerge w:val="continue"/>
                                  <w:tcBorders>
                                    <w:top w:val="nil"/>
                                  </w:tcBorders>
                                </w:tcPr>
                                <w:p>
                                  <w:pPr>
                                    <w:rPr>
                                      <w:sz w:val="2"/>
                                      <w:szCs w:val="2"/>
                                    </w:rPr>
                                  </w:pPr>
                                </w:p>
                              </w:tc>
                              <w:tc>
                                <w:tcPr>
                                  <w:tcW w:w="744" w:type="dxa"/>
                                  <w:vMerge w:val="continue"/>
                                  <w:tcBorders>
                                    <w:top w:val="nil"/>
                                  </w:tcBorders>
                                </w:tcPr>
                                <w:p>
                                  <w:pPr>
                                    <w:rPr>
                                      <w:sz w:val="2"/>
                                      <w:szCs w:val="2"/>
                                    </w:rPr>
                                  </w:pPr>
                                </w:p>
                              </w:tc>
                              <w:tc>
                                <w:tcPr>
                                  <w:tcW w:w="876" w:type="dxa"/>
                                  <w:vMerge w:val="continue"/>
                                  <w:tcBorders>
                                    <w:top w:val="nil"/>
                                  </w:tcBorders>
                                </w:tcPr>
                                <w:p>
                                  <w:pPr>
                                    <w:rPr>
                                      <w:sz w:val="2"/>
                                      <w:szCs w:val="2"/>
                                    </w:rPr>
                                  </w:pPr>
                                </w:p>
                              </w:tc>
                              <w:tc>
                                <w:tcPr>
                                  <w:tcW w:w="444" w:type="dxa"/>
                                  <w:vMerge w:val="continue"/>
                                  <w:tcBorders>
                                    <w:top w:val="nil"/>
                                  </w:tcBorders>
                                </w:tcPr>
                                <w:p>
                                  <w:pPr>
                                    <w:rPr>
                                      <w:sz w:val="2"/>
                                      <w:szCs w:val="2"/>
                                    </w:rPr>
                                  </w:pPr>
                                </w:p>
                              </w:tc>
                              <w:tc>
                                <w:tcPr>
                                  <w:tcW w:w="3538" w:type="dxa"/>
                                  <w:vMerge w:val="continue"/>
                                  <w:tcBorders>
                                    <w:top w:val="nil"/>
                                  </w:tcBorders>
                                </w:tcPr>
                                <w:p>
                                  <w:pPr>
                                    <w:rPr>
                                      <w:sz w:val="2"/>
                                      <w:szCs w:val="2"/>
                                    </w:rPr>
                                  </w:pPr>
                                </w:p>
                              </w:tc>
                              <w:tc>
                                <w:tcPr>
                                  <w:tcW w:w="3315"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820" w:hRule="atLeast"/>
                              </w:trPr>
                              <w:tc>
                                <w:tcPr>
                                  <w:tcW w:w="436" w:type="dxa"/>
                                  <w:vAlign w:val="center"/>
                                </w:tcPr>
                                <w:p>
                                  <w:pPr>
                                    <w:pStyle w:val="9"/>
                                    <w:jc w:val="both"/>
                                    <w:rPr>
                                      <w:rFonts w:ascii="Times New Roman"/>
                                      <w:sz w:val="15"/>
                                      <w:szCs w:val="15"/>
                                    </w:rPr>
                                  </w:pPr>
                                  <w:r>
                                    <w:rPr>
                                      <w:rFonts w:ascii="Times New Roman"/>
                                      <w:w w:val="102"/>
                                      <w:sz w:val="15"/>
                                      <w:szCs w:val="15"/>
                                    </w:rPr>
                                    <w:t>1</w:t>
                                  </w:r>
                                </w:p>
                              </w:tc>
                              <w:tc>
                                <w:tcPr>
                                  <w:tcW w:w="567" w:type="dxa"/>
                                  <w:vAlign w:val="center"/>
                                </w:tcPr>
                                <w:p>
                                  <w:pPr>
                                    <w:pStyle w:val="9"/>
                                    <w:ind w:left="33"/>
                                    <w:jc w:val="both"/>
                                    <w:rPr>
                                      <w:rFonts w:ascii="Times New Roman"/>
                                      <w:sz w:val="15"/>
                                      <w:szCs w:val="15"/>
                                    </w:rPr>
                                  </w:pPr>
                                  <w:r>
                                    <w:rPr>
                                      <w:rFonts w:ascii="Times New Roman"/>
                                      <w:w w:val="105"/>
                                      <w:sz w:val="15"/>
                                      <w:szCs w:val="15"/>
                                    </w:rPr>
                                    <w:t>65010</w:t>
                                  </w:r>
                                </w:p>
                                <w:p>
                                  <w:pPr>
                                    <w:pStyle w:val="9"/>
                                    <w:spacing w:before="26"/>
                                    <w:ind w:left="33"/>
                                    <w:jc w:val="both"/>
                                    <w:rPr>
                                      <w:rFonts w:ascii="Times New Roman"/>
                                      <w:sz w:val="15"/>
                                      <w:szCs w:val="15"/>
                                    </w:rPr>
                                  </w:pPr>
                                  <w:r>
                                    <w:rPr>
                                      <w:rFonts w:hint="eastAsia" w:ascii="Times New Roman"/>
                                      <w:w w:val="105"/>
                                      <w:sz w:val="15"/>
                                      <w:szCs w:val="15"/>
                                      <w:lang w:val="en-US"/>
                                    </w:rPr>
                                    <w:t>9</w:t>
                                  </w:r>
                                  <w:r>
                                    <w:rPr>
                                      <w:rFonts w:ascii="Times New Roman"/>
                                      <w:w w:val="105"/>
                                      <w:sz w:val="15"/>
                                      <w:szCs w:val="15"/>
                                    </w:rPr>
                                    <w:t>201</w:t>
                                  </w:r>
                                </w:p>
                                <w:p>
                                  <w:pPr>
                                    <w:pStyle w:val="9"/>
                                    <w:spacing w:before="26" w:line="278" w:lineRule="auto"/>
                                    <w:ind w:left="33" w:right="59"/>
                                    <w:jc w:val="both"/>
                                    <w:rPr>
                                      <w:rFonts w:ascii="Times New Roman"/>
                                      <w:sz w:val="15"/>
                                      <w:szCs w:val="15"/>
                                    </w:rPr>
                                  </w:pPr>
                                  <w:r>
                                    <w:rPr>
                                      <w:rFonts w:ascii="Times New Roman"/>
                                      <w:sz w:val="15"/>
                                      <w:szCs w:val="15"/>
                                    </w:rPr>
                                    <w:t xml:space="preserve">CF00 </w:t>
                                  </w:r>
                                  <w:r>
                                    <w:rPr>
                                      <w:rFonts w:ascii="Times New Roman"/>
                                      <w:w w:val="105"/>
                                      <w:sz w:val="15"/>
                                      <w:szCs w:val="15"/>
                                    </w:rPr>
                                    <w:t>1</w:t>
                                  </w:r>
                                </w:p>
                              </w:tc>
                              <w:tc>
                                <w:tcPr>
                                  <w:tcW w:w="567" w:type="dxa"/>
                                  <w:vAlign w:val="center"/>
                                </w:tcPr>
                                <w:p>
                                  <w:pPr>
                                    <w:pStyle w:val="9"/>
                                    <w:spacing w:line="189" w:lineRule="auto"/>
                                    <w:ind w:left="32" w:right="39"/>
                                    <w:jc w:val="both"/>
                                    <w:rPr>
                                      <w:sz w:val="15"/>
                                      <w:szCs w:val="15"/>
                                    </w:rPr>
                                  </w:pPr>
                                  <w:r>
                                    <w:rPr>
                                      <w:spacing w:val="-5"/>
                                      <w:w w:val="105"/>
                                      <w:sz w:val="15"/>
                                      <w:szCs w:val="15"/>
                                    </w:rPr>
                                    <w:t>对使用国家明令淘汰的用能设备或者生产工艺的</w:t>
                                  </w:r>
                                  <w:r>
                                    <w:rPr>
                                      <w:w w:val="105"/>
                                      <w:sz w:val="15"/>
                                      <w:szCs w:val="15"/>
                                    </w:rPr>
                                    <w:t>处罚</w:t>
                                  </w:r>
                                </w:p>
                              </w:tc>
                              <w:tc>
                                <w:tcPr>
                                  <w:tcW w:w="567" w:type="dxa"/>
                                  <w:vAlign w:val="center"/>
                                </w:tcPr>
                                <w:p>
                                  <w:pPr>
                                    <w:pStyle w:val="9"/>
                                    <w:jc w:val="both"/>
                                    <w:rPr>
                                      <w:rFonts w:ascii="Times New Roman"/>
                                      <w:sz w:val="15"/>
                                      <w:szCs w:val="15"/>
                                    </w:rPr>
                                  </w:pPr>
                                </w:p>
                              </w:tc>
                              <w:tc>
                                <w:tcPr>
                                  <w:tcW w:w="2819" w:type="dxa"/>
                                  <w:vAlign w:val="center"/>
                                </w:tcPr>
                                <w:p>
                                  <w:pPr>
                                    <w:pStyle w:val="9"/>
                                    <w:spacing w:line="192" w:lineRule="auto"/>
                                    <w:ind w:left="33" w:right="26"/>
                                    <w:jc w:val="both"/>
                                    <w:rPr>
                                      <w:sz w:val="15"/>
                                      <w:szCs w:val="15"/>
                                    </w:rPr>
                                  </w:pPr>
                                  <w:r>
                                    <w:rPr>
                                      <w:spacing w:val="-7"/>
                                      <w:w w:val="105"/>
                                      <w:sz w:val="15"/>
                                      <w:szCs w:val="15"/>
                                    </w:rPr>
                                    <w:t>《中华人民共和国节约能源法》 第七十一条 使用国家明令淘汰的用能设备或者生产工艺的， 由管理节能工作的部门责令停止使用，没收国家明令淘汰的用能设备；情节严重的，可以由管理节能工作的部门提出意见，报请本级人民政府按照国务院规定的权限责令停业整顿或者关闭。</w:t>
                                  </w:r>
                                </w:p>
                                <w:p>
                                  <w:pPr>
                                    <w:pStyle w:val="9"/>
                                    <w:spacing w:line="194" w:lineRule="auto"/>
                                    <w:ind w:left="33" w:right="62"/>
                                    <w:jc w:val="both"/>
                                    <w:rPr>
                                      <w:sz w:val="15"/>
                                      <w:szCs w:val="15"/>
                                    </w:rPr>
                                  </w:pPr>
                                  <w:r>
                                    <w:rPr>
                                      <w:sz w:val="15"/>
                                      <w:szCs w:val="15"/>
                                    </w:rPr>
                                    <w:t>《新疆维吾尔自治区实施〈中华人民共和国节约能源法〉办法》第四十一条第二款 违反本办法第十六条第二款规定，使用国家和自治区明令淘汰的用能设备和生产工艺的，由县级以上人民政府节能主管部门责令停止使用，没收明令淘汰的用能设备；情节严重的，报请本级人民政府按照国务院规定的权限责令停业整顿或</w:t>
                                  </w:r>
                                  <w:r>
                                    <w:rPr>
                                      <w:w w:val="105"/>
                                      <w:sz w:val="15"/>
                                      <w:szCs w:val="15"/>
                                    </w:rPr>
                                    <w:t>者关闭。</w:t>
                                  </w:r>
                                </w:p>
                                <w:p>
                                  <w:pPr>
                                    <w:pStyle w:val="9"/>
                                    <w:spacing w:line="189" w:lineRule="auto"/>
                                    <w:ind w:left="33" w:right="62"/>
                                    <w:jc w:val="both"/>
                                    <w:rPr>
                                      <w:sz w:val="15"/>
                                      <w:szCs w:val="15"/>
                                    </w:rPr>
                                  </w:pPr>
                                  <w:r>
                                    <w:rPr>
                                      <w:sz w:val="15"/>
                                      <w:szCs w:val="15"/>
                                    </w:rPr>
                                    <w:t>第四十一条第三款 违反本办法第十六条第三款规定，转让、出租或者出借国家和自治区明令淘汰的用能产品、设备、生产工艺给他人使用的，由县级以上人民政府节能主管部门和有关部门按职责分工，责令停止违法行为，没收转让、出租或者出借的用能产品、设备、生产工艺，处该用能产品、设备、生产工艺价值金额或者年租金以下的罚款；有违法所得的，并处没收违法所得；情节严重的，由工商行政管理</w:t>
                                  </w:r>
                                  <w:r>
                                    <w:rPr>
                                      <w:w w:val="105"/>
                                      <w:sz w:val="15"/>
                                      <w:szCs w:val="15"/>
                                    </w:rPr>
                                    <w:t>部门吊销营业执照。</w:t>
                                  </w:r>
                                </w:p>
                              </w:tc>
                              <w:tc>
                                <w:tcPr>
                                  <w:tcW w:w="444" w:type="dxa"/>
                                  <w:vAlign w:val="center"/>
                                </w:tcPr>
                                <w:p>
                                  <w:pPr>
                                    <w:pStyle w:val="9"/>
                                    <w:spacing w:line="192" w:lineRule="auto"/>
                                    <w:ind w:left="83" w:right="23"/>
                                    <w:jc w:val="both"/>
                                    <w:rPr>
                                      <w:sz w:val="15"/>
                                      <w:szCs w:val="15"/>
                                    </w:rPr>
                                  </w:pPr>
                                  <w:r>
                                    <w:rPr>
                                      <w:w w:val="105"/>
                                      <w:sz w:val="15"/>
                                      <w:szCs w:val="15"/>
                                    </w:rPr>
                                    <w:t>用能单位</w:t>
                                  </w:r>
                                </w:p>
                              </w:tc>
                              <w:tc>
                                <w:tcPr>
                                  <w:tcW w:w="744" w:type="dxa"/>
                                  <w:vAlign w:val="center"/>
                                </w:tcPr>
                                <w:p>
                                  <w:pPr>
                                    <w:pStyle w:val="9"/>
                                    <w:spacing w:before="7"/>
                                    <w:ind w:left="97" w:right="66"/>
                                    <w:jc w:val="both"/>
                                    <w:rPr>
                                      <w:rFonts w:ascii="Times New Roman"/>
                                      <w:sz w:val="15"/>
                                      <w:szCs w:val="15"/>
                                    </w:rPr>
                                  </w:pPr>
                                  <w:r>
                                    <w:rPr>
                                      <w:rFonts w:hint="eastAsia" w:ascii="Times New Roman"/>
                                      <w:sz w:val="15"/>
                                      <w:szCs w:val="15"/>
                                    </w:rPr>
                                    <w:t>能源科</w:t>
                                  </w:r>
                                </w:p>
                                <w:p>
                                  <w:pPr>
                                    <w:pStyle w:val="9"/>
                                    <w:spacing w:before="7"/>
                                    <w:ind w:left="97" w:right="66"/>
                                    <w:jc w:val="both"/>
                                    <w:rPr>
                                      <w:rFonts w:ascii="Times New Roman" w:eastAsia="Times New Roman"/>
                                      <w:sz w:val="15"/>
                                      <w:szCs w:val="15"/>
                                    </w:rPr>
                                  </w:pPr>
                                  <w:r>
                                    <w:rPr>
                                      <w:rFonts w:hint="eastAsia" w:ascii="Times New Roman"/>
                                      <w:sz w:val="15"/>
                                      <w:szCs w:val="15"/>
                                      <w:lang w:val="en-US"/>
                                    </w:rPr>
                                    <w:t>6884337</w:t>
                                  </w:r>
                                </w:p>
                              </w:tc>
                              <w:tc>
                                <w:tcPr>
                                  <w:tcW w:w="876" w:type="dxa"/>
                                  <w:vAlign w:val="center"/>
                                </w:tcPr>
                                <w:p>
                                  <w:pPr>
                                    <w:pStyle w:val="9"/>
                                    <w:ind w:left="32"/>
                                    <w:jc w:val="both"/>
                                    <w:rPr>
                                      <w:sz w:val="15"/>
                                      <w:szCs w:val="15"/>
                                    </w:rPr>
                                  </w:pPr>
                                  <w:r>
                                    <w:rPr>
                                      <w:w w:val="102"/>
                                      <w:sz w:val="15"/>
                                      <w:szCs w:val="15"/>
                                    </w:rPr>
                                    <w:t>无</w:t>
                                  </w:r>
                                </w:p>
                              </w:tc>
                              <w:tc>
                                <w:tcPr>
                                  <w:tcW w:w="444" w:type="dxa"/>
                                  <w:vAlign w:val="center"/>
                                </w:tcPr>
                                <w:p>
                                  <w:pPr>
                                    <w:pStyle w:val="9"/>
                                    <w:spacing w:line="192" w:lineRule="auto"/>
                                    <w:ind w:left="90" w:right="28"/>
                                    <w:jc w:val="both"/>
                                    <w:rPr>
                                      <w:sz w:val="15"/>
                                      <w:szCs w:val="15"/>
                                    </w:rPr>
                                  </w:pPr>
                                  <w:r>
                                    <w:rPr>
                                      <w:rFonts w:hint="eastAsia"/>
                                      <w:w w:val="105"/>
                                      <w:sz w:val="15"/>
                                      <w:szCs w:val="15"/>
                                    </w:rPr>
                                    <w:t>米东区发改委（工信局）</w:t>
                                  </w:r>
                                </w:p>
                              </w:tc>
                              <w:tc>
                                <w:tcPr>
                                  <w:tcW w:w="3538" w:type="dxa"/>
                                  <w:vAlign w:val="center"/>
                                </w:tcPr>
                                <w:p>
                                  <w:pPr>
                                    <w:pStyle w:val="9"/>
                                    <w:numPr>
                                      <w:ilvl w:val="0"/>
                                      <w:numId w:val="3"/>
                                    </w:numPr>
                                    <w:tabs>
                                      <w:tab w:val="left" w:pos="146"/>
                                    </w:tabs>
                                    <w:spacing w:line="194" w:lineRule="auto"/>
                                    <w:ind w:right="5" w:firstLine="0"/>
                                    <w:jc w:val="both"/>
                                    <w:rPr>
                                      <w:sz w:val="15"/>
                                      <w:szCs w:val="15"/>
                                    </w:rPr>
                                  </w:pPr>
                                  <w:r>
                                    <w:rPr>
                                      <w:sz w:val="15"/>
                                      <w:szCs w:val="15"/>
                                    </w:rPr>
                                    <w:t>立案责任：按照立案条件在规定期限内进行审查并决 定是否立案（不予立案应当告知理由）；对需要补充材</w:t>
                                  </w:r>
                                  <w:r>
                                    <w:rPr>
                                      <w:w w:val="105"/>
                                      <w:sz w:val="15"/>
                                      <w:szCs w:val="15"/>
                                    </w:rPr>
                                    <w:t>料的，应当场一次性告知。</w:t>
                                  </w:r>
                                </w:p>
                                <w:p>
                                  <w:pPr>
                                    <w:pStyle w:val="9"/>
                                    <w:numPr>
                                      <w:ilvl w:val="0"/>
                                      <w:numId w:val="3"/>
                                    </w:numPr>
                                    <w:tabs>
                                      <w:tab w:val="left" w:pos="146"/>
                                    </w:tabs>
                                    <w:spacing w:before="9" w:line="192" w:lineRule="auto"/>
                                    <w:ind w:right="5" w:firstLine="0"/>
                                    <w:jc w:val="both"/>
                                    <w:rPr>
                                      <w:sz w:val="15"/>
                                      <w:szCs w:val="15"/>
                                    </w:rPr>
                                  </w:pPr>
                                  <w:r>
                                    <w:rPr>
                                      <w:sz w:val="15"/>
                                      <w:szCs w:val="15"/>
                                    </w:rPr>
                                    <w:t>调查责任：对违法违规行为进行调查，依法收集整理 证据材料；执法人员不得少于两人，调查时应出示执法身份证件，允许当事人陈述申辩，并严格执行监察回避</w:t>
                                  </w:r>
                                  <w:r>
                                    <w:rPr>
                                      <w:w w:val="105"/>
                                      <w:sz w:val="15"/>
                                      <w:szCs w:val="15"/>
                                    </w:rPr>
                                    <w:t>制度。</w:t>
                                  </w:r>
                                </w:p>
                                <w:p>
                                  <w:pPr>
                                    <w:pStyle w:val="9"/>
                                    <w:numPr>
                                      <w:ilvl w:val="0"/>
                                      <w:numId w:val="3"/>
                                    </w:numPr>
                                    <w:tabs>
                                      <w:tab w:val="left" w:pos="146"/>
                                    </w:tabs>
                                    <w:spacing w:before="10" w:line="192" w:lineRule="auto"/>
                                    <w:ind w:right="4" w:firstLine="0"/>
                                    <w:jc w:val="both"/>
                                    <w:rPr>
                                      <w:sz w:val="15"/>
                                      <w:szCs w:val="15"/>
                                    </w:rPr>
                                  </w:pPr>
                                  <w:r>
                                    <w:rPr>
                                      <w:sz w:val="15"/>
                                      <w:szCs w:val="15"/>
                                    </w:rPr>
                                    <w:t>审查责任：应当对案件违法事实、证据、调查取证程 序、法律适用、处罚种类和幅度以及当事人陈述申辩理由等方面进行审查，并提出处理意见。对情节复杂或者重大违法行为给予较重的行政处罚，由市发改委案件审</w:t>
                                  </w:r>
                                  <w:r>
                                    <w:rPr>
                                      <w:w w:val="105"/>
                                      <w:sz w:val="15"/>
                                      <w:szCs w:val="15"/>
                                    </w:rPr>
                                    <w:t>理委员会议研究提出审查意见。</w:t>
                                  </w:r>
                                </w:p>
                                <w:p>
                                  <w:pPr>
                                    <w:pStyle w:val="9"/>
                                    <w:numPr>
                                      <w:ilvl w:val="0"/>
                                      <w:numId w:val="3"/>
                                    </w:numPr>
                                    <w:tabs>
                                      <w:tab w:val="left" w:pos="146"/>
                                    </w:tabs>
                                    <w:spacing w:before="9" w:line="196" w:lineRule="auto"/>
                                    <w:ind w:right="5" w:firstLine="0"/>
                                    <w:jc w:val="both"/>
                                    <w:rPr>
                                      <w:sz w:val="15"/>
                                      <w:szCs w:val="15"/>
                                    </w:rPr>
                                  </w:pPr>
                                  <w:r>
                                    <w:rPr>
                                      <w:sz w:val="15"/>
                                      <w:szCs w:val="15"/>
                                    </w:rPr>
                                    <w:t xml:space="preserve">告知责任：在做出行政处罚决定前，应书面告知当事 人违法事实及其享有的陈述、申辩、要求听证等权利。 </w:t>
                                  </w:r>
                                  <w:r>
                                    <w:rPr>
                                      <w:rFonts w:ascii="Times New Roman" w:eastAsia="Times New Roman"/>
                                      <w:sz w:val="15"/>
                                      <w:szCs w:val="15"/>
                                    </w:rPr>
                                    <w:t>5.</w:t>
                                  </w:r>
                                  <w:r>
                                    <w:rPr>
                                      <w:sz w:val="15"/>
                                      <w:szCs w:val="15"/>
                                    </w:rPr>
                                    <w:t>决定责任：决定给予行政处罚的，应制作《行政处罚 决定书》，载明违法事实和证据、处罚依据和内容、申</w:t>
                                  </w:r>
                                  <w:r>
                                    <w:rPr>
                                      <w:w w:val="105"/>
                                      <w:sz w:val="15"/>
                                      <w:szCs w:val="15"/>
                                    </w:rPr>
                                    <w:t>请行政复议或提起行政诉讼的途径和期限等。</w:t>
                                  </w:r>
                                </w:p>
                                <w:p>
                                  <w:pPr>
                                    <w:pStyle w:val="9"/>
                                    <w:numPr>
                                      <w:ilvl w:val="0"/>
                                      <w:numId w:val="4"/>
                                    </w:numPr>
                                    <w:tabs>
                                      <w:tab w:val="left" w:pos="146"/>
                                    </w:tabs>
                                    <w:spacing w:before="5" w:line="196" w:lineRule="auto"/>
                                    <w:ind w:right="38" w:firstLine="0"/>
                                    <w:jc w:val="both"/>
                                    <w:rPr>
                                      <w:sz w:val="15"/>
                                      <w:szCs w:val="15"/>
                                    </w:rPr>
                                  </w:pPr>
                                  <w:r>
                                    <w:rPr>
                                      <w:sz w:val="15"/>
                                      <w:szCs w:val="15"/>
                                    </w:rPr>
                                    <w:t>送达责任：《行政处罚决定书》应在规定期限内依法</w:t>
                                  </w:r>
                                  <w:r>
                                    <w:rPr>
                                      <w:w w:val="105"/>
                                      <w:sz w:val="15"/>
                                      <w:szCs w:val="15"/>
                                    </w:rPr>
                                    <w:t>送达当事人。</w:t>
                                  </w:r>
                                </w:p>
                                <w:p>
                                  <w:pPr>
                                    <w:pStyle w:val="9"/>
                                    <w:numPr>
                                      <w:ilvl w:val="0"/>
                                      <w:numId w:val="4"/>
                                    </w:numPr>
                                    <w:tabs>
                                      <w:tab w:val="left" w:pos="146"/>
                                    </w:tabs>
                                    <w:spacing w:before="8" w:line="192" w:lineRule="auto"/>
                                    <w:ind w:right="4" w:firstLine="0"/>
                                    <w:jc w:val="both"/>
                                    <w:rPr>
                                      <w:sz w:val="15"/>
                                      <w:szCs w:val="15"/>
                                    </w:rPr>
                                  </w:pPr>
                                  <w:r>
                                    <w:rPr>
                                      <w:sz w:val="15"/>
                                      <w:szCs w:val="15"/>
                                    </w:rPr>
                                    <w:t>执行责任：监督当事人在规定的期限内履行生效的行 政处罚决定。当事人在法定期限内既不申请行政复议或者提起行政诉讼，又不履行处罚决定的，可依法采取加</w:t>
                                  </w:r>
                                  <w:r>
                                    <w:rPr>
                                      <w:w w:val="105"/>
                                      <w:sz w:val="15"/>
                                      <w:szCs w:val="15"/>
                                    </w:rPr>
                                    <w:t>处罚款或向人民法院申请强制执行等措施。</w:t>
                                  </w:r>
                                </w:p>
                                <w:p>
                                  <w:pPr>
                                    <w:pStyle w:val="9"/>
                                    <w:numPr>
                                      <w:ilvl w:val="0"/>
                                      <w:numId w:val="4"/>
                                    </w:numPr>
                                    <w:tabs>
                                      <w:tab w:val="left" w:pos="146"/>
                                    </w:tabs>
                                    <w:spacing w:line="205" w:lineRule="exact"/>
                                    <w:ind w:left="145"/>
                                    <w:jc w:val="both"/>
                                    <w:rPr>
                                      <w:sz w:val="15"/>
                                      <w:szCs w:val="15"/>
                                    </w:rPr>
                                  </w:pPr>
                                  <w:r>
                                    <w:rPr>
                                      <w:sz w:val="15"/>
                                      <w:szCs w:val="15"/>
                                    </w:rPr>
                                    <w:t>其他法律法规政策规定应履行的责任。</w:t>
                                  </w:r>
                                </w:p>
                              </w:tc>
                              <w:tc>
                                <w:tcPr>
                                  <w:tcW w:w="3315" w:type="dxa"/>
                                  <w:vAlign w:val="center"/>
                                </w:tcPr>
                                <w:p>
                                  <w:pPr>
                                    <w:pStyle w:val="9"/>
                                    <w:spacing w:line="194" w:lineRule="auto"/>
                                    <w:ind w:left="33" w:right="125"/>
                                    <w:jc w:val="both"/>
                                    <w:rPr>
                                      <w:sz w:val="15"/>
                                      <w:szCs w:val="15"/>
                                    </w:rPr>
                                  </w:pPr>
                                  <w:r>
                                    <w:rPr>
                                      <w:sz w:val="15"/>
                                      <w:szCs w:val="15"/>
                                    </w:rPr>
                                    <w:t>行政主管部门及其工作人员有下列行为之一的，对直接负责的主管人员和其他直接责任人员，依法给予处</w:t>
                                  </w:r>
                                  <w:r>
                                    <w:rPr>
                                      <w:w w:val="105"/>
                                      <w:sz w:val="15"/>
                                      <w:szCs w:val="15"/>
                                    </w:rPr>
                                    <w:t>分；构成犯罪的，依法追究刑事责任：</w:t>
                                  </w:r>
                                </w:p>
                                <w:p>
                                  <w:pPr>
                                    <w:pStyle w:val="9"/>
                                    <w:numPr>
                                      <w:ilvl w:val="0"/>
                                      <w:numId w:val="5"/>
                                    </w:numPr>
                                    <w:tabs>
                                      <w:tab w:val="left" w:pos="144"/>
                                    </w:tabs>
                                    <w:spacing w:before="10" w:line="192" w:lineRule="auto"/>
                                    <w:ind w:right="13" w:firstLine="0"/>
                                    <w:jc w:val="both"/>
                                    <w:rPr>
                                      <w:sz w:val="15"/>
                                      <w:szCs w:val="15"/>
                                    </w:rPr>
                                  </w:pPr>
                                  <w:r>
                                    <w:rPr>
                                      <w:sz w:val="15"/>
                                      <w:szCs w:val="15"/>
                                    </w:rPr>
                                    <w:t xml:space="preserve">对应当予以制止和处罚的违法行为不予制止、处罚， </w:t>
                                  </w:r>
                                  <w:r>
                                    <w:rPr>
                                      <w:w w:val="105"/>
                                      <w:sz w:val="15"/>
                                      <w:szCs w:val="15"/>
                                    </w:rPr>
                                    <w:t>致使公民、法人或者其他组织的合法权益、公共利益和社会秩序遭受损害的；</w:t>
                                  </w:r>
                                </w:p>
                                <w:p>
                                  <w:pPr>
                                    <w:pStyle w:val="9"/>
                                    <w:numPr>
                                      <w:ilvl w:val="0"/>
                                      <w:numId w:val="5"/>
                                    </w:numPr>
                                    <w:tabs>
                                      <w:tab w:val="left" w:pos="144"/>
                                    </w:tabs>
                                    <w:spacing w:before="9" w:line="196" w:lineRule="auto"/>
                                    <w:ind w:right="15" w:firstLine="0"/>
                                    <w:jc w:val="both"/>
                                    <w:rPr>
                                      <w:sz w:val="15"/>
                                      <w:szCs w:val="15"/>
                                    </w:rPr>
                                  </w:pPr>
                                  <w:r>
                                    <w:rPr>
                                      <w:sz w:val="15"/>
                                      <w:szCs w:val="15"/>
                                    </w:rPr>
                                    <w:t>不依法受理举报、投诉或者受理后未在法定期限内处</w:t>
                                  </w:r>
                                  <w:r>
                                    <w:rPr>
                                      <w:w w:val="105"/>
                                      <w:sz w:val="15"/>
                                      <w:szCs w:val="15"/>
                                    </w:rPr>
                                    <w:t>理的；</w:t>
                                  </w:r>
                                </w:p>
                                <w:p>
                                  <w:pPr>
                                    <w:pStyle w:val="9"/>
                                    <w:numPr>
                                      <w:ilvl w:val="0"/>
                                      <w:numId w:val="5"/>
                                    </w:numPr>
                                    <w:tabs>
                                      <w:tab w:val="left" w:pos="144"/>
                                    </w:tabs>
                                    <w:spacing w:line="183" w:lineRule="exact"/>
                                    <w:ind w:left="143"/>
                                    <w:jc w:val="both"/>
                                    <w:rPr>
                                      <w:sz w:val="15"/>
                                      <w:szCs w:val="15"/>
                                    </w:rPr>
                                  </w:pPr>
                                  <w:r>
                                    <w:rPr>
                                      <w:w w:val="105"/>
                                      <w:sz w:val="15"/>
                                      <w:szCs w:val="15"/>
                                    </w:rPr>
                                    <w:t>对符合立案条件而不予立案的；</w:t>
                                  </w:r>
                                </w:p>
                                <w:p>
                                  <w:pPr>
                                    <w:pStyle w:val="9"/>
                                    <w:numPr>
                                      <w:ilvl w:val="0"/>
                                      <w:numId w:val="5"/>
                                    </w:numPr>
                                    <w:tabs>
                                      <w:tab w:val="left" w:pos="144"/>
                                    </w:tabs>
                                    <w:spacing w:line="187" w:lineRule="exact"/>
                                    <w:ind w:left="143"/>
                                    <w:jc w:val="both"/>
                                    <w:rPr>
                                      <w:sz w:val="15"/>
                                      <w:szCs w:val="15"/>
                                    </w:rPr>
                                  </w:pPr>
                                  <w:r>
                                    <w:rPr>
                                      <w:w w:val="105"/>
                                      <w:sz w:val="15"/>
                                      <w:szCs w:val="15"/>
                                    </w:rPr>
                                    <w:t>对不符合立案条件而立案调查的；</w:t>
                                  </w:r>
                                </w:p>
                                <w:p>
                                  <w:pPr>
                                    <w:pStyle w:val="9"/>
                                    <w:numPr>
                                      <w:ilvl w:val="0"/>
                                      <w:numId w:val="5"/>
                                    </w:numPr>
                                    <w:tabs>
                                      <w:tab w:val="left" w:pos="144"/>
                                    </w:tabs>
                                    <w:spacing w:before="9" w:line="196" w:lineRule="auto"/>
                                    <w:ind w:right="14" w:firstLine="0"/>
                                    <w:jc w:val="both"/>
                                    <w:rPr>
                                      <w:sz w:val="15"/>
                                      <w:szCs w:val="15"/>
                                    </w:rPr>
                                  </w:pPr>
                                  <w:r>
                                    <w:rPr>
                                      <w:sz w:val="15"/>
                                      <w:szCs w:val="15"/>
                                    </w:rPr>
                                    <w:t>违法实行检查措施或者执行措施，给公民人身或者财</w:t>
                                  </w:r>
                                  <w:r>
                                    <w:rPr>
                                      <w:w w:val="105"/>
                                      <w:sz w:val="15"/>
                                      <w:szCs w:val="15"/>
                                    </w:rPr>
                                    <w:t>产造成损害、给法人或者其他组织造成损失的；</w:t>
                                  </w:r>
                                </w:p>
                                <w:p>
                                  <w:pPr>
                                    <w:pStyle w:val="9"/>
                                    <w:numPr>
                                      <w:ilvl w:val="0"/>
                                      <w:numId w:val="5"/>
                                    </w:numPr>
                                    <w:tabs>
                                      <w:tab w:val="left" w:pos="144"/>
                                    </w:tabs>
                                    <w:spacing w:line="183" w:lineRule="exact"/>
                                    <w:ind w:left="143"/>
                                    <w:jc w:val="both"/>
                                    <w:rPr>
                                      <w:sz w:val="15"/>
                                      <w:szCs w:val="15"/>
                                    </w:rPr>
                                  </w:pPr>
                                  <w:r>
                                    <w:rPr>
                                      <w:sz w:val="15"/>
                                      <w:szCs w:val="15"/>
                                    </w:rPr>
                                    <w:t>没有法定的行政处罚依据的；</w:t>
                                  </w:r>
                                </w:p>
                                <w:p>
                                  <w:pPr>
                                    <w:pStyle w:val="9"/>
                                    <w:numPr>
                                      <w:ilvl w:val="0"/>
                                      <w:numId w:val="5"/>
                                    </w:numPr>
                                    <w:tabs>
                                      <w:tab w:val="left" w:pos="144"/>
                                    </w:tabs>
                                    <w:spacing w:line="187" w:lineRule="exact"/>
                                    <w:ind w:left="143"/>
                                    <w:jc w:val="both"/>
                                    <w:rPr>
                                      <w:sz w:val="15"/>
                                      <w:szCs w:val="15"/>
                                    </w:rPr>
                                  </w:pPr>
                                  <w:r>
                                    <w:rPr>
                                      <w:sz w:val="15"/>
                                      <w:szCs w:val="15"/>
                                    </w:rPr>
                                    <w:t>违反法定的行政处罚程序的；</w:t>
                                  </w:r>
                                </w:p>
                                <w:p>
                                  <w:pPr>
                                    <w:pStyle w:val="9"/>
                                    <w:numPr>
                                      <w:ilvl w:val="0"/>
                                      <w:numId w:val="5"/>
                                    </w:numPr>
                                    <w:tabs>
                                      <w:tab w:val="left" w:pos="144"/>
                                    </w:tabs>
                                    <w:spacing w:line="187" w:lineRule="exact"/>
                                    <w:ind w:left="143"/>
                                    <w:jc w:val="both"/>
                                    <w:rPr>
                                      <w:sz w:val="15"/>
                                      <w:szCs w:val="15"/>
                                    </w:rPr>
                                  </w:pPr>
                                  <w:r>
                                    <w:rPr>
                                      <w:w w:val="105"/>
                                      <w:sz w:val="15"/>
                                      <w:szCs w:val="15"/>
                                    </w:rPr>
                                    <w:t>擅自改变行政处罚种类、幅度的；</w:t>
                                  </w:r>
                                </w:p>
                                <w:p>
                                  <w:pPr>
                                    <w:pStyle w:val="9"/>
                                    <w:numPr>
                                      <w:ilvl w:val="0"/>
                                      <w:numId w:val="5"/>
                                    </w:numPr>
                                    <w:tabs>
                                      <w:tab w:val="left" w:pos="144"/>
                                    </w:tabs>
                                    <w:spacing w:before="10" w:line="196" w:lineRule="auto"/>
                                    <w:ind w:right="13" w:firstLine="0"/>
                                    <w:jc w:val="both"/>
                                    <w:rPr>
                                      <w:sz w:val="15"/>
                                      <w:szCs w:val="15"/>
                                    </w:rPr>
                                  </w:pPr>
                                  <w:r>
                                    <w:rPr>
                                      <w:sz w:val="15"/>
                                      <w:szCs w:val="15"/>
                                    </w:rPr>
                                    <w:t>对当事人进行处罚不使用罚款、没收财物单据或者使</w:t>
                                  </w:r>
                                  <w:r>
                                    <w:rPr>
                                      <w:w w:val="105"/>
                                      <w:sz w:val="15"/>
                                      <w:szCs w:val="15"/>
                                    </w:rPr>
                                    <w:t>用非法定部门制发的罚款、没收财物单据的；</w:t>
                                  </w:r>
                                </w:p>
                                <w:p>
                                  <w:pPr>
                                    <w:pStyle w:val="9"/>
                                    <w:numPr>
                                      <w:ilvl w:val="0"/>
                                      <w:numId w:val="5"/>
                                    </w:numPr>
                                    <w:tabs>
                                      <w:tab w:val="left" w:pos="219"/>
                                    </w:tabs>
                                    <w:spacing w:line="183" w:lineRule="exact"/>
                                    <w:ind w:left="218" w:hanging="186"/>
                                    <w:jc w:val="both"/>
                                    <w:rPr>
                                      <w:sz w:val="15"/>
                                      <w:szCs w:val="15"/>
                                    </w:rPr>
                                  </w:pPr>
                                  <w:r>
                                    <w:rPr>
                                      <w:w w:val="105"/>
                                      <w:sz w:val="15"/>
                                      <w:szCs w:val="15"/>
                                    </w:rPr>
                                    <w:t>违反法律规定自行收缴罚款的；</w:t>
                                  </w:r>
                                </w:p>
                                <w:p>
                                  <w:pPr>
                                    <w:pStyle w:val="9"/>
                                    <w:numPr>
                                      <w:ilvl w:val="0"/>
                                      <w:numId w:val="5"/>
                                    </w:numPr>
                                    <w:tabs>
                                      <w:tab w:val="left" w:pos="219"/>
                                    </w:tabs>
                                    <w:spacing w:before="9" w:line="196" w:lineRule="auto"/>
                                    <w:ind w:right="84" w:firstLine="0"/>
                                    <w:jc w:val="both"/>
                                    <w:rPr>
                                      <w:sz w:val="15"/>
                                      <w:szCs w:val="15"/>
                                    </w:rPr>
                                  </w:pPr>
                                  <w:r>
                                    <w:rPr>
                                      <w:sz w:val="15"/>
                                      <w:szCs w:val="15"/>
                                    </w:rPr>
                                    <w:t>将罚款、没收的违法所得或者财物截留、私分或者</w:t>
                                  </w:r>
                                  <w:r>
                                    <w:rPr>
                                      <w:w w:val="105"/>
                                      <w:sz w:val="15"/>
                                      <w:szCs w:val="15"/>
                                    </w:rPr>
                                    <w:t>变相私分的；</w:t>
                                  </w:r>
                                </w:p>
                                <w:p>
                                  <w:pPr>
                                    <w:pStyle w:val="9"/>
                                    <w:numPr>
                                      <w:ilvl w:val="0"/>
                                      <w:numId w:val="5"/>
                                    </w:numPr>
                                    <w:tabs>
                                      <w:tab w:val="left" w:pos="219"/>
                                    </w:tabs>
                                    <w:spacing w:line="183" w:lineRule="exact"/>
                                    <w:ind w:left="218" w:hanging="186"/>
                                    <w:jc w:val="both"/>
                                    <w:rPr>
                                      <w:sz w:val="15"/>
                                      <w:szCs w:val="15"/>
                                    </w:rPr>
                                  </w:pPr>
                                  <w:r>
                                    <w:rPr>
                                      <w:sz w:val="15"/>
                                      <w:szCs w:val="15"/>
                                    </w:rPr>
                                    <w:t>使用或者损毁扣押的财物，对当事人造成损失的；</w:t>
                                  </w:r>
                                </w:p>
                                <w:p>
                                  <w:pPr>
                                    <w:pStyle w:val="9"/>
                                    <w:numPr>
                                      <w:ilvl w:val="0"/>
                                      <w:numId w:val="5"/>
                                    </w:numPr>
                                    <w:tabs>
                                      <w:tab w:val="left" w:pos="219"/>
                                    </w:tabs>
                                    <w:spacing w:line="186" w:lineRule="exact"/>
                                    <w:ind w:left="218" w:hanging="186"/>
                                    <w:jc w:val="both"/>
                                    <w:rPr>
                                      <w:sz w:val="15"/>
                                      <w:szCs w:val="15"/>
                                    </w:rPr>
                                  </w:pPr>
                                  <w:r>
                                    <w:rPr>
                                      <w:sz w:val="15"/>
                                      <w:szCs w:val="15"/>
                                    </w:rPr>
                                    <w:t>泄露国家秘密、商业秘密以及滥用职权、徇私舞弊</w:t>
                                  </w:r>
                                </w:p>
                                <w:p>
                                  <w:pPr>
                                    <w:pStyle w:val="9"/>
                                    <w:spacing w:line="187" w:lineRule="exact"/>
                                    <w:ind w:left="33"/>
                                    <w:jc w:val="both"/>
                                    <w:rPr>
                                      <w:sz w:val="15"/>
                                      <w:szCs w:val="15"/>
                                    </w:rPr>
                                  </w:pPr>
                                  <w:r>
                                    <w:rPr>
                                      <w:w w:val="105"/>
                                      <w:sz w:val="15"/>
                                      <w:szCs w:val="15"/>
                                    </w:rPr>
                                    <w:t>、玩忽职守、索贿受贿的；</w:t>
                                  </w:r>
                                </w:p>
                                <w:p>
                                  <w:pPr>
                                    <w:pStyle w:val="9"/>
                                    <w:numPr>
                                      <w:ilvl w:val="0"/>
                                      <w:numId w:val="5"/>
                                    </w:numPr>
                                    <w:tabs>
                                      <w:tab w:val="left" w:pos="219"/>
                                    </w:tabs>
                                    <w:spacing w:before="10" w:line="196" w:lineRule="auto"/>
                                    <w:ind w:right="86" w:firstLine="0"/>
                                    <w:jc w:val="both"/>
                                    <w:rPr>
                                      <w:sz w:val="15"/>
                                      <w:szCs w:val="15"/>
                                    </w:rPr>
                                  </w:pPr>
                                  <w:r>
                                    <w:rPr>
                                      <w:sz w:val="15"/>
                                      <w:szCs w:val="15"/>
                                    </w:rPr>
                                    <w:t>为牟取本单位私利，对应当移交司法机关追究刑事</w:t>
                                  </w:r>
                                  <w:r>
                                    <w:rPr>
                                      <w:w w:val="105"/>
                                      <w:sz w:val="15"/>
                                      <w:szCs w:val="15"/>
                                    </w:rPr>
                                    <w:t>责任的不移交，以行政处罚代替刑罚；</w:t>
                                  </w:r>
                                </w:p>
                                <w:p>
                                  <w:pPr>
                                    <w:pStyle w:val="9"/>
                                    <w:numPr>
                                      <w:ilvl w:val="0"/>
                                      <w:numId w:val="5"/>
                                    </w:numPr>
                                    <w:tabs>
                                      <w:tab w:val="left" w:pos="219"/>
                                    </w:tabs>
                                    <w:spacing w:line="202" w:lineRule="exact"/>
                                    <w:ind w:left="218" w:hanging="186"/>
                                    <w:jc w:val="both"/>
                                    <w:rPr>
                                      <w:sz w:val="15"/>
                                      <w:szCs w:val="15"/>
                                    </w:rPr>
                                  </w:pPr>
                                  <w:r>
                                    <w:rPr>
                                      <w:w w:val="105"/>
                                      <w:sz w:val="15"/>
                                      <w:szCs w:val="15"/>
                                    </w:rPr>
                                    <w:t>其他法律、法规、规章、文件规定的行为。</w:t>
                                  </w:r>
                                </w:p>
                              </w:tc>
                            </w:tr>
                          </w:tbl>
                          <w:p>
                            <w:pPr>
                              <w:pStyle w:val="2"/>
                            </w:pPr>
                          </w:p>
                        </w:txbxContent>
                      </wps:txbx>
                      <wps:bodyPr lIns="0" tIns="0" rIns="0" bIns="0" upright="1"/>
                    </wps:wsp>
                  </a:graphicData>
                </a:graphic>
              </wp:anchor>
            </w:drawing>
          </mc:Choice>
          <mc:Fallback>
            <w:pict>
              <v:shape id="文本框 3" o:spid="_x0000_s1026" o:spt="202" type="#_x0000_t202" style="position:absolute;left:0pt;margin-left:56.25pt;margin-top:36.9pt;height:388.95pt;width:726.9pt;mso-position-horizontal-relative:page;z-index:251659264;mso-width-relative:page;mso-height-relative:page;" filled="f" stroked="f" coordsize="21600,21600" o:gfxdata="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jy5bVdoAAAALAQAADwAAAAAA&#10;AAABACAAAAAiAAAAZHJzL2Rvd25yZXYueG1sUEsBAhQAFAAAAAgAh07iQLgI1U+fAQAAJQMAAA4A&#10;AAAAAAAAAQAgAAAAKQEAAGRycy9lMm9Eb2MueG1sUEsFBgAAAAAGAAYAWQEAADoFAAAAAA==&#10;">
                <v:fill on="f" focussize="0,0"/>
                <v:stroke on="f"/>
                <v:imagedata o:title=""/>
                <o:lock v:ext="edit" aspectratio="f"/>
                <v:textbox inset="0mm,0mm,0mm,0mm">
                  <w:txbxContent>
                    <w:tbl>
                      <w:tblPr>
                        <w:tblStyle w:val="5"/>
                        <w:tblW w:w="14317" w:type="dxa"/>
                        <w:tblInd w:w="15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36"/>
                        <w:gridCol w:w="567"/>
                        <w:gridCol w:w="567"/>
                        <w:gridCol w:w="567"/>
                        <w:gridCol w:w="2819"/>
                        <w:gridCol w:w="444"/>
                        <w:gridCol w:w="744"/>
                        <w:gridCol w:w="876"/>
                        <w:gridCol w:w="444"/>
                        <w:gridCol w:w="3538"/>
                        <w:gridCol w:w="331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436" w:type="dxa"/>
                            <w:vMerge w:val="restart"/>
                          </w:tcPr>
                          <w:p>
                            <w:pPr>
                              <w:pStyle w:val="9"/>
                              <w:spacing w:before="9"/>
                              <w:rPr>
                                <w:rFonts w:ascii="方正小标宋_GBK"/>
                                <w:sz w:val="13"/>
                              </w:rPr>
                            </w:pPr>
                          </w:p>
                          <w:p>
                            <w:pPr>
                              <w:pStyle w:val="9"/>
                              <w:rPr>
                                <w:rFonts w:ascii="黑体" w:eastAsia="黑体"/>
                                <w:b/>
                                <w:sz w:val="18"/>
                              </w:rPr>
                            </w:pPr>
                            <w:r>
                              <w:rPr>
                                <w:rFonts w:hint="eastAsia" w:ascii="黑体" w:eastAsia="黑体"/>
                                <w:b/>
                                <w:sz w:val="18"/>
                              </w:rPr>
                              <w:t>序号</w:t>
                            </w:r>
                          </w:p>
                        </w:tc>
                        <w:tc>
                          <w:tcPr>
                            <w:tcW w:w="567" w:type="dxa"/>
                            <w:vMerge w:val="restart"/>
                          </w:tcPr>
                          <w:p>
                            <w:pPr>
                              <w:pStyle w:val="9"/>
                              <w:spacing w:before="9"/>
                              <w:rPr>
                                <w:rFonts w:ascii="方正小标宋_GBK"/>
                                <w:sz w:val="13"/>
                              </w:rPr>
                            </w:pPr>
                          </w:p>
                          <w:p>
                            <w:pPr>
                              <w:pStyle w:val="9"/>
                              <w:spacing w:before="1" w:line="232" w:lineRule="auto"/>
                              <w:ind w:left="33" w:right="25"/>
                              <w:rPr>
                                <w:rFonts w:ascii="黑体" w:eastAsia="黑体"/>
                                <w:b/>
                                <w:sz w:val="18"/>
                              </w:rPr>
                            </w:pPr>
                            <w:r>
                              <w:rPr>
                                <w:rFonts w:hint="eastAsia" w:ascii="黑体" w:eastAsia="黑体"/>
                                <w:b/>
                                <w:sz w:val="18"/>
                              </w:rPr>
                              <w:t>职权编码</w:t>
                            </w:r>
                          </w:p>
                        </w:tc>
                        <w:tc>
                          <w:tcPr>
                            <w:tcW w:w="1134" w:type="dxa"/>
                            <w:gridSpan w:val="2"/>
                          </w:tcPr>
                          <w:p>
                            <w:pPr>
                              <w:pStyle w:val="9"/>
                              <w:spacing w:before="116"/>
                              <w:ind w:left="201"/>
                              <w:rPr>
                                <w:rFonts w:ascii="黑体" w:eastAsia="黑体"/>
                                <w:b/>
                                <w:sz w:val="18"/>
                              </w:rPr>
                            </w:pPr>
                            <w:r>
                              <w:rPr>
                                <w:rFonts w:hint="eastAsia" w:ascii="黑体" w:eastAsia="黑体"/>
                                <w:b/>
                                <w:sz w:val="18"/>
                              </w:rPr>
                              <w:t>职权名称</w:t>
                            </w:r>
                          </w:p>
                        </w:tc>
                        <w:tc>
                          <w:tcPr>
                            <w:tcW w:w="2819" w:type="dxa"/>
                            <w:vMerge w:val="restart"/>
                          </w:tcPr>
                          <w:p>
                            <w:pPr>
                              <w:pStyle w:val="9"/>
                              <w:spacing w:before="10"/>
                              <w:rPr>
                                <w:rFonts w:ascii="方正小标宋_GBK"/>
                                <w:sz w:val="19"/>
                              </w:rPr>
                            </w:pPr>
                          </w:p>
                          <w:p>
                            <w:pPr>
                              <w:pStyle w:val="9"/>
                              <w:ind w:left="1150" w:right="1120"/>
                              <w:jc w:val="center"/>
                              <w:rPr>
                                <w:rFonts w:ascii="黑体" w:eastAsia="黑体"/>
                                <w:b/>
                                <w:sz w:val="18"/>
                              </w:rPr>
                            </w:pPr>
                            <w:r>
                              <w:rPr>
                                <w:rFonts w:hint="eastAsia" w:ascii="黑体" w:eastAsia="黑体"/>
                                <w:b/>
                                <w:sz w:val="18"/>
                              </w:rPr>
                              <w:t>实施依据</w:t>
                            </w:r>
                          </w:p>
                        </w:tc>
                        <w:tc>
                          <w:tcPr>
                            <w:tcW w:w="444" w:type="dxa"/>
                            <w:vMerge w:val="restart"/>
                          </w:tcPr>
                          <w:p>
                            <w:pPr>
                              <w:pStyle w:val="9"/>
                              <w:spacing w:before="9"/>
                              <w:rPr>
                                <w:rFonts w:ascii="方正小标宋_GBK"/>
                                <w:sz w:val="13"/>
                              </w:rPr>
                            </w:pPr>
                          </w:p>
                          <w:p>
                            <w:pPr>
                              <w:pStyle w:val="9"/>
                              <w:spacing w:before="1" w:line="232" w:lineRule="auto"/>
                              <w:ind w:left="42" w:right="15"/>
                              <w:rPr>
                                <w:rFonts w:ascii="黑体" w:eastAsia="黑体"/>
                                <w:b/>
                                <w:sz w:val="18"/>
                              </w:rPr>
                            </w:pPr>
                            <w:r>
                              <w:rPr>
                                <w:rFonts w:hint="eastAsia" w:ascii="黑体" w:eastAsia="黑体"/>
                                <w:b/>
                                <w:sz w:val="18"/>
                              </w:rPr>
                              <w:t>实施对象</w:t>
                            </w:r>
                          </w:p>
                        </w:tc>
                        <w:tc>
                          <w:tcPr>
                            <w:tcW w:w="744" w:type="dxa"/>
                            <w:vMerge w:val="restart"/>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76" w:type="dxa"/>
                            <w:vMerge w:val="restart"/>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44" w:type="dxa"/>
                            <w:vMerge w:val="restart"/>
                          </w:tcPr>
                          <w:p>
                            <w:pPr>
                              <w:pStyle w:val="9"/>
                              <w:spacing w:before="9"/>
                              <w:rPr>
                                <w:rFonts w:ascii="方正小标宋_GBK"/>
                                <w:sz w:val="13"/>
                              </w:rPr>
                            </w:pPr>
                          </w:p>
                          <w:p>
                            <w:pPr>
                              <w:pStyle w:val="9"/>
                              <w:spacing w:before="1" w:line="232" w:lineRule="auto"/>
                              <w:ind w:left="42" w:right="15"/>
                              <w:rPr>
                                <w:rFonts w:ascii="黑体" w:eastAsia="黑体"/>
                                <w:b/>
                                <w:sz w:val="18"/>
                              </w:rPr>
                            </w:pPr>
                            <w:r>
                              <w:rPr>
                                <w:rFonts w:hint="eastAsia" w:ascii="黑体" w:eastAsia="黑体"/>
                                <w:b/>
                                <w:sz w:val="18"/>
                              </w:rPr>
                              <w:t>责任主体</w:t>
                            </w:r>
                          </w:p>
                        </w:tc>
                        <w:tc>
                          <w:tcPr>
                            <w:tcW w:w="3538" w:type="dxa"/>
                            <w:vMerge w:val="restart"/>
                          </w:tcPr>
                          <w:p>
                            <w:pPr>
                              <w:pStyle w:val="9"/>
                              <w:spacing w:before="10"/>
                              <w:rPr>
                                <w:rFonts w:ascii="方正小标宋_GBK"/>
                                <w:sz w:val="19"/>
                              </w:rPr>
                            </w:pPr>
                          </w:p>
                          <w:p>
                            <w:pPr>
                              <w:pStyle w:val="9"/>
                              <w:ind w:left="1392" w:right="1363"/>
                              <w:jc w:val="center"/>
                              <w:rPr>
                                <w:rFonts w:ascii="黑体" w:eastAsia="黑体"/>
                                <w:b/>
                                <w:sz w:val="18"/>
                              </w:rPr>
                            </w:pPr>
                            <w:r>
                              <w:rPr>
                                <w:rFonts w:hint="eastAsia" w:ascii="黑体" w:eastAsia="黑体"/>
                                <w:b/>
                                <w:sz w:val="18"/>
                              </w:rPr>
                              <w:t>责任事项</w:t>
                            </w:r>
                          </w:p>
                        </w:tc>
                        <w:tc>
                          <w:tcPr>
                            <w:tcW w:w="3315" w:type="dxa"/>
                            <w:vMerge w:val="restart"/>
                          </w:tcPr>
                          <w:p>
                            <w:pPr>
                              <w:pStyle w:val="9"/>
                              <w:spacing w:before="10"/>
                              <w:rPr>
                                <w:rFonts w:ascii="方正小标宋_GBK"/>
                                <w:sz w:val="19"/>
                              </w:rPr>
                            </w:pPr>
                          </w:p>
                          <w:p>
                            <w:pPr>
                              <w:pStyle w:val="9"/>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436" w:type="dxa"/>
                            <w:vMerge w:val="continue"/>
                            <w:tcBorders>
                              <w:top w:val="nil"/>
                            </w:tcBorders>
                          </w:tcPr>
                          <w:p>
                            <w:pPr>
                              <w:rPr>
                                <w:sz w:val="2"/>
                                <w:szCs w:val="2"/>
                              </w:rPr>
                            </w:pPr>
                          </w:p>
                        </w:tc>
                        <w:tc>
                          <w:tcPr>
                            <w:tcW w:w="567" w:type="dxa"/>
                            <w:vMerge w:val="continue"/>
                            <w:tcBorders>
                              <w:top w:val="nil"/>
                            </w:tcBorders>
                          </w:tcPr>
                          <w:p>
                            <w:pPr>
                              <w:rPr>
                                <w:sz w:val="2"/>
                                <w:szCs w:val="2"/>
                              </w:rPr>
                            </w:pPr>
                          </w:p>
                        </w:tc>
                        <w:tc>
                          <w:tcPr>
                            <w:tcW w:w="567" w:type="dxa"/>
                          </w:tcPr>
                          <w:p>
                            <w:pPr>
                              <w:pStyle w:val="9"/>
                              <w:spacing w:before="116"/>
                              <w:ind w:left="85"/>
                              <w:rPr>
                                <w:rFonts w:ascii="黑体" w:eastAsia="黑体"/>
                                <w:b/>
                                <w:sz w:val="18"/>
                              </w:rPr>
                            </w:pPr>
                            <w:r>
                              <w:rPr>
                                <w:rFonts w:hint="eastAsia" w:ascii="黑体" w:eastAsia="黑体"/>
                                <w:b/>
                                <w:sz w:val="18"/>
                              </w:rPr>
                              <w:t>项目</w:t>
                            </w:r>
                          </w:p>
                        </w:tc>
                        <w:tc>
                          <w:tcPr>
                            <w:tcW w:w="567" w:type="dxa"/>
                          </w:tcPr>
                          <w:p>
                            <w:pPr>
                              <w:pStyle w:val="9"/>
                              <w:spacing w:before="116"/>
                              <w:ind w:left="119"/>
                              <w:rPr>
                                <w:rFonts w:ascii="黑体" w:eastAsia="黑体"/>
                                <w:b/>
                                <w:sz w:val="18"/>
                              </w:rPr>
                            </w:pPr>
                            <w:r>
                              <w:rPr>
                                <w:rFonts w:hint="eastAsia" w:ascii="黑体" w:eastAsia="黑体"/>
                                <w:b/>
                                <w:sz w:val="18"/>
                              </w:rPr>
                              <w:t>子项</w:t>
                            </w:r>
                          </w:p>
                        </w:tc>
                        <w:tc>
                          <w:tcPr>
                            <w:tcW w:w="2819" w:type="dxa"/>
                            <w:vMerge w:val="continue"/>
                            <w:tcBorders>
                              <w:top w:val="nil"/>
                            </w:tcBorders>
                          </w:tcPr>
                          <w:p>
                            <w:pPr>
                              <w:rPr>
                                <w:sz w:val="2"/>
                                <w:szCs w:val="2"/>
                              </w:rPr>
                            </w:pPr>
                          </w:p>
                        </w:tc>
                        <w:tc>
                          <w:tcPr>
                            <w:tcW w:w="444" w:type="dxa"/>
                            <w:vMerge w:val="continue"/>
                            <w:tcBorders>
                              <w:top w:val="nil"/>
                            </w:tcBorders>
                          </w:tcPr>
                          <w:p>
                            <w:pPr>
                              <w:rPr>
                                <w:sz w:val="2"/>
                                <w:szCs w:val="2"/>
                              </w:rPr>
                            </w:pPr>
                          </w:p>
                        </w:tc>
                        <w:tc>
                          <w:tcPr>
                            <w:tcW w:w="744" w:type="dxa"/>
                            <w:vMerge w:val="continue"/>
                            <w:tcBorders>
                              <w:top w:val="nil"/>
                            </w:tcBorders>
                          </w:tcPr>
                          <w:p>
                            <w:pPr>
                              <w:rPr>
                                <w:sz w:val="2"/>
                                <w:szCs w:val="2"/>
                              </w:rPr>
                            </w:pPr>
                          </w:p>
                        </w:tc>
                        <w:tc>
                          <w:tcPr>
                            <w:tcW w:w="876" w:type="dxa"/>
                            <w:vMerge w:val="continue"/>
                            <w:tcBorders>
                              <w:top w:val="nil"/>
                            </w:tcBorders>
                          </w:tcPr>
                          <w:p>
                            <w:pPr>
                              <w:rPr>
                                <w:sz w:val="2"/>
                                <w:szCs w:val="2"/>
                              </w:rPr>
                            </w:pPr>
                          </w:p>
                        </w:tc>
                        <w:tc>
                          <w:tcPr>
                            <w:tcW w:w="444" w:type="dxa"/>
                            <w:vMerge w:val="continue"/>
                            <w:tcBorders>
                              <w:top w:val="nil"/>
                            </w:tcBorders>
                          </w:tcPr>
                          <w:p>
                            <w:pPr>
                              <w:rPr>
                                <w:sz w:val="2"/>
                                <w:szCs w:val="2"/>
                              </w:rPr>
                            </w:pPr>
                          </w:p>
                        </w:tc>
                        <w:tc>
                          <w:tcPr>
                            <w:tcW w:w="3538" w:type="dxa"/>
                            <w:vMerge w:val="continue"/>
                            <w:tcBorders>
                              <w:top w:val="nil"/>
                            </w:tcBorders>
                          </w:tcPr>
                          <w:p>
                            <w:pPr>
                              <w:rPr>
                                <w:sz w:val="2"/>
                                <w:szCs w:val="2"/>
                              </w:rPr>
                            </w:pPr>
                          </w:p>
                        </w:tc>
                        <w:tc>
                          <w:tcPr>
                            <w:tcW w:w="3315"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820" w:hRule="atLeast"/>
                        </w:trPr>
                        <w:tc>
                          <w:tcPr>
                            <w:tcW w:w="436" w:type="dxa"/>
                            <w:vAlign w:val="center"/>
                          </w:tcPr>
                          <w:p>
                            <w:pPr>
                              <w:pStyle w:val="9"/>
                              <w:jc w:val="both"/>
                              <w:rPr>
                                <w:rFonts w:ascii="Times New Roman"/>
                                <w:sz w:val="15"/>
                                <w:szCs w:val="15"/>
                              </w:rPr>
                            </w:pPr>
                            <w:r>
                              <w:rPr>
                                <w:rFonts w:ascii="Times New Roman"/>
                                <w:w w:val="102"/>
                                <w:sz w:val="15"/>
                                <w:szCs w:val="15"/>
                              </w:rPr>
                              <w:t>1</w:t>
                            </w:r>
                          </w:p>
                        </w:tc>
                        <w:tc>
                          <w:tcPr>
                            <w:tcW w:w="567" w:type="dxa"/>
                            <w:vAlign w:val="center"/>
                          </w:tcPr>
                          <w:p>
                            <w:pPr>
                              <w:pStyle w:val="9"/>
                              <w:ind w:left="33"/>
                              <w:jc w:val="both"/>
                              <w:rPr>
                                <w:rFonts w:ascii="Times New Roman"/>
                                <w:sz w:val="15"/>
                                <w:szCs w:val="15"/>
                              </w:rPr>
                            </w:pPr>
                            <w:r>
                              <w:rPr>
                                <w:rFonts w:ascii="Times New Roman"/>
                                <w:w w:val="105"/>
                                <w:sz w:val="15"/>
                                <w:szCs w:val="15"/>
                              </w:rPr>
                              <w:t>65010</w:t>
                            </w:r>
                          </w:p>
                          <w:p>
                            <w:pPr>
                              <w:pStyle w:val="9"/>
                              <w:spacing w:before="26"/>
                              <w:ind w:left="33"/>
                              <w:jc w:val="both"/>
                              <w:rPr>
                                <w:rFonts w:ascii="Times New Roman"/>
                                <w:sz w:val="15"/>
                                <w:szCs w:val="15"/>
                              </w:rPr>
                            </w:pPr>
                            <w:r>
                              <w:rPr>
                                <w:rFonts w:hint="eastAsia" w:ascii="Times New Roman"/>
                                <w:w w:val="105"/>
                                <w:sz w:val="15"/>
                                <w:szCs w:val="15"/>
                                <w:lang w:val="en-US"/>
                              </w:rPr>
                              <w:t>9</w:t>
                            </w:r>
                            <w:r>
                              <w:rPr>
                                <w:rFonts w:ascii="Times New Roman"/>
                                <w:w w:val="105"/>
                                <w:sz w:val="15"/>
                                <w:szCs w:val="15"/>
                              </w:rPr>
                              <w:t>201</w:t>
                            </w:r>
                          </w:p>
                          <w:p>
                            <w:pPr>
                              <w:pStyle w:val="9"/>
                              <w:spacing w:before="26" w:line="278" w:lineRule="auto"/>
                              <w:ind w:left="33" w:right="59"/>
                              <w:jc w:val="both"/>
                              <w:rPr>
                                <w:rFonts w:ascii="Times New Roman"/>
                                <w:sz w:val="15"/>
                                <w:szCs w:val="15"/>
                              </w:rPr>
                            </w:pPr>
                            <w:r>
                              <w:rPr>
                                <w:rFonts w:ascii="Times New Roman"/>
                                <w:sz w:val="15"/>
                                <w:szCs w:val="15"/>
                              </w:rPr>
                              <w:t xml:space="preserve">CF00 </w:t>
                            </w:r>
                            <w:r>
                              <w:rPr>
                                <w:rFonts w:ascii="Times New Roman"/>
                                <w:w w:val="105"/>
                                <w:sz w:val="15"/>
                                <w:szCs w:val="15"/>
                              </w:rPr>
                              <w:t>1</w:t>
                            </w:r>
                          </w:p>
                        </w:tc>
                        <w:tc>
                          <w:tcPr>
                            <w:tcW w:w="567" w:type="dxa"/>
                            <w:vAlign w:val="center"/>
                          </w:tcPr>
                          <w:p>
                            <w:pPr>
                              <w:pStyle w:val="9"/>
                              <w:spacing w:line="189" w:lineRule="auto"/>
                              <w:ind w:left="32" w:right="39"/>
                              <w:jc w:val="both"/>
                              <w:rPr>
                                <w:sz w:val="15"/>
                                <w:szCs w:val="15"/>
                              </w:rPr>
                            </w:pPr>
                            <w:r>
                              <w:rPr>
                                <w:spacing w:val="-5"/>
                                <w:w w:val="105"/>
                                <w:sz w:val="15"/>
                                <w:szCs w:val="15"/>
                              </w:rPr>
                              <w:t>对使用国家明令淘汰的用能设备或者生产工艺的</w:t>
                            </w:r>
                            <w:r>
                              <w:rPr>
                                <w:w w:val="105"/>
                                <w:sz w:val="15"/>
                                <w:szCs w:val="15"/>
                              </w:rPr>
                              <w:t>处罚</w:t>
                            </w:r>
                          </w:p>
                        </w:tc>
                        <w:tc>
                          <w:tcPr>
                            <w:tcW w:w="567" w:type="dxa"/>
                            <w:vAlign w:val="center"/>
                          </w:tcPr>
                          <w:p>
                            <w:pPr>
                              <w:pStyle w:val="9"/>
                              <w:jc w:val="both"/>
                              <w:rPr>
                                <w:rFonts w:ascii="Times New Roman"/>
                                <w:sz w:val="15"/>
                                <w:szCs w:val="15"/>
                              </w:rPr>
                            </w:pPr>
                          </w:p>
                        </w:tc>
                        <w:tc>
                          <w:tcPr>
                            <w:tcW w:w="2819" w:type="dxa"/>
                            <w:vAlign w:val="center"/>
                          </w:tcPr>
                          <w:p>
                            <w:pPr>
                              <w:pStyle w:val="9"/>
                              <w:spacing w:line="192" w:lineRule="auto"/>
                              <w:ind w:left="33" w:right="26"/>
                              <w:jc w:val="both"/>
                              <w:rPr>
                                <w:sz w:val="15"/>
                                <w:szCs w:val="15"/>
                              </w:rPr>
                            </w:pPr>
                            <w:r>
                              <w:rPr>
                                <w:spacing w:val="-7"/>
                                <w:w w:val="105"/>
                                <w:sz w:val="15"/>
                                <w:szCs w:val="15"/>
                              </w:rPr>
                              <w:t>《中华人民共和国节约能源法》 第七十一条 使用国家明令淘汰的用能设备或者生产工艺的， 由管理节能工作的部门责令停止使用，没收国家明令淘汰的用能设备；情节严重的，可以由管理节能工作的部门提出意见，报请本级人民政府按照国务院规定的权限责令停业整顿或者关闭。</w:t>
                            </w:r>
                          </w:p>
                          <w:p>
                            <w:pPr>
                              <w:pStyle w:val="9"/>
                              <w:spacing w:line="194" w:lineRule="auto"/>
                              <w:ind w:left="33" w:right="62"/>
                              <w:jc w:val="both"/>
                              <w:rPr>
                                <w:sz w:val="15"/>
                                <w:szCs w:val="15"/>
                              </w:rPr>
                            </w:pPr>
                            <w:r>
                              <w:rPr>
                                <w:sz w:val="15"/>
                                <w:szCs w:val="15"/>
                              </w:rPr>
                              <w:t>《新疆维吾尔自治区实施〈中华人民共和国节约能源法〉办法》第四十一条第二款 违反本办法第十六条第二款规定，使用国家和自治区明令淘汰的用能设备和生产工艺的，由县级以上人民政府节能主管部门责令停止使用，没收明令淘汰的用能设备；情节严重的，报请本级人民政府按照国务院规定的权限责令停业整顿或</w:t>
                            </w:r>
                            <w:r>
                              <w:rPr>
                                <w:w w:val="105"/>
                                <w:sz w:val="15"/>
                                <w:szCs w:val="15"/>
                              </w:rPr>
                              <w:t>者关闭。</w:t>
                            </w:r>
                          </w:p>
                          <w:p>
                            <w:pPr>
                              <w:pStyle w:val="9"/>
                              <w:spacing w:line="189" w:lineRule="auto"/>
                              <w:ind w:left="33" w:right="62"/>
                              <w:jc w:val="both"/>
                              <w:rPr>
                                <w:sz w:val="15"/>
                                <w:szCs w:val="15"/>
                              </w:rPr>
                            </w:pPr>
                            <w:r>
                              <w:rPr>
                                <w:sz w:val="15"/>
                                <w:szCs w:val="15"/>
                              </w:rPr>
                              <w:t>第四十一条第三款 违反本办法第十六条第三款规定，转让、出租或者出借国家和自治区明令淘汰的用能产品、设备、生产工艺给他人使用的，由县级以上人民政府节能主管部门和有关部门按职责分工，责令停止违法行为，没收转让、出租或者出借的用能产品、设备、生产工艺，处该用能产品、设备、生产工艺价值金额或者年租金以下的罚款；有违法所得的，并处没收违法所得；情节严重的，由工商行政管理</w:t>
                            </w:r>
                            <w:r>
                              <w:rPr>
                                <w:w w:val="105"/>
                                <w:sz w:val="15"/>
                                <w:szCs w:val="15"/>
                              </w:rPr>
                              <w:t>部门吊销营业执照。</w:t>
                            </w:r>
                          </w:p>
                        </w:tc>
                        <w:tc>
                          <w:tcPr>
                            <w:tcW w:w="444" w:type="dxa"/>
                            <w:vAlign w:val="center"/>
                          </w:tcPr>
                          <w:p>
                            <w:pPr>
                              <w:pStyle w:val="9"/>
                              <w:spacing w:line="192" w:lineRule="auto"/>
                              <w:ind w:left="83" w:right="23"/>
                              <w:jc w:val="both"/>
                              <w:rPr>
                                <w:sz w:val="15"/>
                                <w:szCs w:val="15"/>
                              </w:rPr>
                            </w:pPr>
                            <w:r>
                              <w:rPr>
                                <w:w w:val="105"/>
                                <w:sz w:val="15"/>
                                <w:szCs w:val="15"/>
                              </w:rPr>
                              <w:t>用能单位</w:t>
                            </w:r>
                          </w:p>
                        </w:tc>
                        <w:tc>
                          <w:tcPr>
                            <w:tcW w:w="744" w:type="dxa"/>
                            <w:vAlign w:val="center"/>
                          </w:tcPr>
                          <w:p>
                            <w:pPr>
                              <w:pStyle w:val="9"/>
                              <w:spacing w:before="7"/>
                              <w:ind w:left="97" w:right="66"/>
                              <w:jc w:val="both"/>
                              <w:rPr>
                                <w:rFonts w:ascii="Times New Roman"/>
                                <w:sz w:val="15"/>
                                <w:szCs w:val="15"/>
                              </w:rPr>
                            </w:pPr>
                            <w:r>
                              <w:rPr>
                                <w:rFonts w:hint="eastAsia" w:ascii="Times New Roman"/>
                                <w:sz w:val="15"/>
                                <w:szCs w:val="15"/>
                              </w:rPr>
                              <w:t>能源科</w:t>
                            </w:r>
                          </w:p>
                          <w:p>
                            <w:pPr>
                              <w:pStyle w:val="9"/>
                              <w:spacing w:before="7"/>
                              <w:ind w:left="97" w:right="66"/>
                              <w:jc w:val="both"/>
                              <w:rPr>
                                <w:rFonts w:ascii="Times New Roman" w:eastAsia="Times New Roman"/>
                                <w:sz w:val="15"/>
                                <w:szCs w:val="15"/>
                              </w:rPr>
                            </w:pPr>
                            <w:r>
                              <w:rPr>
                                <w:rFonts w:hint="eastAsia" w:ascii="Times New Roman"/>
                                <w:sz w:val="15"/>
                                <w:szCs w:val="15"/>
                                <w:lang w:val="en-US"/>
                              </w:rPr>
                              <w:t>6884337</w:t>
                            </w:r>
                          </w:p>
                        </w:tc>
                        <w:tc>
                          <w:tcPr>
                            <w:tcW w:w="876" w:type="dxa"/>
                            <w:vAlign w:val="center"/>
                          </w:tcPr>
                          <w:p>
                            <w:pPr>
                              <w:pStyle w:val="9"/>
                              <w:ind w:left="32"/>
                              <w:jc w:val="both"/>
                              <w:rPr>
                                <w:sz w:val="15"/>
                                <w:szCs w:val="15"/>
                              </w:rPr>
                            </w:pPr>
                            <w:r>
                              <w:rPr>
                                <w:w w:val="102"/>
                                <w:sz w:val="15"/>
                                <w:szCs w:val="15"/>
                              </w:rPr>
                              <w:t>无</w:t>
                            </w:r>
                          </w:p>
                        </w:tc>
                        <w:tc>
                          <w:tcPr>
                            <w:tcW w:w="444" w:type="dxa"/>
                            <w:vAlign w:val="center"/>
                          </w:tcPr>
                          <w:p>
                            <w:pPr>
                              <w:pStyle w:val="9"/>
                              <w:spacing w:line="192" w:lineRule="auto"/>
                              <w:ind w:left="90" w:right="28"/>
                              <w:jc w:val="both"/>
                              <w:rPr>
                                <w:sz w:val="15"/>
                                <w:szCs w:val="15"/>
                              </w:rPr>
                            </w:pPr>
                            <w:r>
                              <w:rPr>
                                <w:rFonts w:hint="eastAsia"/>
                                <w:w w:val="105"/>
                                <w:sz w:val="15"/>
                                <w:szCs w:val="15"/>
                              </w:rPr>
                              <w:t>米东区发改委（工信局）</w:t>
                            </w:r>
                          </w:p>
                        </w:tc>
                        <w:tc>
                          <w:tcPr>
                            <w:tcW w:w="3538" w:type="dxa"/>
                            <w:vAlign w:val="center"/>
                          </w:tcPr>
                          <w:p>
                            <w:pPr>
                              <w:pStyle w:val="9"/>
                              <w:numPr>
                                <w:ilvl w:val="0"/>
                                <w:numId w:val="3"/>
                              </w:numPr>
                              <w:tabs>
                                <w:tab w:val="left" w:pos="146"/>
                              </w:tabs>
                              <w:spacing w:line="194" w:lineRule="auto"/>
                              <w:ind w:right="5" w:firstLine="0"/>
                              <w:jc w:val="both"/>
                              <w:rPr>
                                <w:sz w:val="15"/>
                                <w:szCs w:val="15"/>
                              </w:rPr>
                            </w:pPr>
                            <w:r>
                              <w:rPr>
                                <w:sz w:val="15"/>
                                <w:szCs w:val="15"/>
                              </w:rPr>
                              <w:t>立案责任：按照立案条件在规定期限内进行审查并决 定是否立案（不予立案应当告知理由）；对需要补充材</w:t>
                            </w:r>
                            <w:r>
                              <w:rPr>
                                <w:w w:val="105"/>
                                <w:sz w:val="15"/>
                                <w:szCs w:val="15"/>
                              </w:rPr>
                              <w:t>料的，应当场一次性告知。</w:t>
                            </w:r>
                          </w:p>
                          <w:p>
                            <w:pPr>
                              <w:pStyle w:val="9"/>
                              <w:numPr>
                                <w:ilvl w:val="0"/>
                                <w:numId w:val="3"/>
                              </w:numPr>
                              <w:tabs>
                                <w:tab w:val="left" w:pos="146"/>
                              </w:tabs>
                              <w:spacing w:before="9" w:line="192" w:lineRule="auto"/>
                              <w:ind w:right="5" w:firstLine="0"/>
                              <w:jc w:val="both"/>
                              <w:rPr>
                                <w:sz w:val="15"/>
                                <w:szCs w:val="15"/>
                              </w:rPr>
                            </w:pPr>
                            <w:r>
                              <w:rPr>
                                <w:sz w:val="15"/>
                                <w:szCs w:val="15"/>
                              </w:rPr>
                              <w:t>调查责任：对违法违规行为进行调查，依法收集整理 证据材料；执法人员不得少于两人，调查时应出示执法身份证件，允许当事人陈述申辩，并严格执行监察回避</w:t>
                            </w:r>
                            <w:r>
                              <w:rPr>
                                <w:w w:val="105"/>
                                <w:sz w:val="15"/>
                                <w:szCs w:val="15"/>
                              </w:rPr>
                              <w:t>制度。</w:t>
                            </w:r>
                          </w:p>
                          <w:p>
                            <w:pPr>
                              <w:pStyle w:val="9"/>
                              <w:numPr>
                                <w:ilvl w:val="0"/>
                                <w:numId w:val="3"/>
                              </w:numPr>
                              <w:tabs>
                                <w:tab w:val="left" w:pos="146"/>
                              </w:tabs>
                              <w:spacing w:before="10" w:line="192" w:lineRule="auto"/>
                              <w:ind w:right="4" w:firstLine="0"/>
                              <w:jc w:val="both"/>
                              <w:rPr>
                                <w:sz w:val="15"/>
                                <w:szCs w:val="15"/>
                              </w:rPr>
                            </w:pPr>
                            <w:r>
                              <w:rPr>
                                <w:sz w:val="15"/>
                                <w:szCs w:val="15"/>
                              </w:rPr>
                              <w:t>审查责任：应当对案件违法事实、证据、调查取证程 序、法律适用、处罚种类和幅度以及当事人陈述申辩理由等方面进行审查，并提出处理意见。对情节复杂或者重大违法行为给予较重的行政处罚，由市发改委案件审</w:t>
                            </w:r>
                            <w:r>
                              <w:rPr>
                                <w:w w:val="105"/>
                                <w:sz w:val="15"/>
                                <w:szCs w:val="15"/>
                              </w:rPr>
                              <w:t>理委员会议研究提出审查意见。</w:t>
                            </w:r>
                          </w:p>
                          <w:p>
                            <w:pPr>
                              <w:pStyle w:val="9"/>
                              <w:numPr>
                                <w:ilvl w:val="0"/>
                                <w:numId w:val="3"/>
                              </w:numPr>
                              <w:tabs>
                                <w:tab w:val="left" w:pos="146"/>
                              </w:tabs>
                              <w:spacing w:before="9" w:line="196" w:lineRule="auto"/>
                              <w:ind w:right="5" w:firstLine="0"/>
                              <w:jc w:val="both"/>
                              <w:rPr>
                                <w:sz w:val="15"/>
                                <w:szCs w:val="15"/>
                              </w:rPr>
                            </w:pPr>
                            <w:r>
                              <w:rPr>
                                <w:sz w:val="15"/>
                                <w:szCs w:val="15"/>
                              </w:rPr>
                              <w:t xml:space="preserve">告知责任：在做出行政处罚决定前，应书面告知当事 人违法事实及其享有的陈述、申辩、要求听证等权利。 </w:t>
                            </w:r>
                            <w:r>
                              <w:rPr>
                                <w:rFonts w:ascii="Times New Roman" w:eastAsia="Times New Roman"/>
                                <w:sz w:val="15"/>
                                <w:szCs w:val="15"/>
                              </w:rPr>
                              <w:t>5.</w:t>
                            </w:r>
                            <w:r>
                              <w:rPr>
                                <w:sz w:val="15"/>
                                <w:szCs w:val="15"/>
                              </w:rPr>
                              <w:t>决定责任：决定给予行政处罚的，应制作《行政处罚 决定书》，载明违法事实和证据、处罚依据和内容、申</w:t>
                            </w:r>
                            <w:r>
                              <w:rPr>
                                <w:w w:val="105"/>
                                <w:sz w:val="15"/>
                                <w:szCs w:val="15"/>
                              </w:rPr>
                              <w:t>请行政复议或提起行政诉讼的途径和期限等。</w:t>
                            </w:r>
                          </w:p>
                          <w:p>
                            <w:pPr>
                              <w:pStyle w:val="9"/>
                              <w:numPr>
                                <w:ilvl w:val="0"/>
                                <w:numId w:val="4"/>
                              </w:numPr>
                              <w:tabs>
                                <w:tab w:val="left" w:pos="146"/>
                              </w:tabs>
                              <w:spacing w:before="5" w:line="196" w:lineRule="auto"/>
                              <w:ind w:right="38" w:firstLine="0"/>
                              <w:jc w:val="both"/>
                              <w:rPr>
                                <w:sz w:val="15"/>
                                <w:szCs w:val="15"/>
                              </w:rPr>
                            </w:pPr>
                            <w:r>
                              <w:rPr>
                                <w:sz w:val="15"/>
                                <w:szCs w:val="15"/>
                              </w:rPr>
                              <w:t>送达责任：《行政处罚决定书》应在规定期限内依法</w:t>
                            </w:r>
                            <w:r>
                              <w:rPr>
                                <w:w w:val="105"/>
                                <w:sz w:val="15"/>
                                <w:szCs w:val="15"/>
                              </w:rPr>
                              <w:t>送达当事人。</w:t>
                            </w:r>
                          </w:p>
                          <w:p>
                            <w:pPr>
                              <w:pStyle w:val="9"/>
                              <w:numPr>
                                <w:ilvl w:val="0"/>
                                <w:numId w:val="4"/>
                              </w:numPr>
                              <w:tabs>
                                <w:tab w:val="left" w:pos="146"/>
                              </w:tabs>
                              <w:spacing w:before="8" w:line="192" w:lineRule="auto"/>
                              <w:ind w:right="4" w:firstLine="0"/>
                              <w:jc w:val="both"/>
                              <w:rPr>
                                <w:sz w:val="15"/>
                                <w:szCs w:val="15"/>
                              </w:rPr>
                            </w:pPr>
                            <w:r>
                              <w:rPr>
                                <w:sz w:val="15"/>
                                <w:szCs w:val="15"/>
                              </w:rPr>
                              <w:t>执行责任：监督当事人在规定的期限内履行生效的行 政处罚决定。当事人在法定期限内既不申请行政复议或者提起行政诉讼，又不履行处罚决定的，可依法采取加</w:t>
                            </w:r>
                            <w:r>
                              <w:rPr>
                                <w:w w:val="105"/>
                                <w:sz w:val="15"/>
                                <w:szCs w:val="15"/>
                              </w:rPr>
                              <w:t>处罚款或向人民法院申请强制执行等措施。</w:t>
                            </w:r>
                          </w:p>
                          <w:p>
                            <w:pPr>
                              <w:pStyle w:val="9"/>
                              <w:numPr>
                                <w:ilvl w:val="0"/>
                                <w:numId w:val="4"/>
                              </w:numPr>
                              <w:tabs>
                                <w:tab w:val="left" w:pos="146"/>
                              </w:tabs>
                              <w:spacing w:line="205" w:lineRule="exact"/>
                              <w:ind w:left="145"/>
                              <w:jc w:val="both"/>
                              <w:rPr>
                                <w:sz w:val="15"/>
                                <w:szCs w:val="15"/>
                              </w:rPr>
                            </w:pPr>
                            <w:r>
                              <w:rPr>
                                <w:sz w:val="15"/>
                                <w:szCs w:val="15"/>
                              </w:rPr>
                              <w:t>其他法律法规政策规定应履行的责任。</w:t>
                            </w:r>
                          </w:p>
                        </w:tc>
                        <w:tc>
                          <w:tcPr>
                            <w:tcW w:w="3315" w:type="dxa"/>
                            <w:vAlign w:val="center"/>
                          </w:tcPr>
                          <w:p>
                            <w:pPr>
                              <w:pStyle w:val="9"/>
                              <w:spacing w:line="194" w:lineRule="auto"/>
                              <w:ind w:left="33" w:right="125"/>
                              <w:jc w:val="both"/>
                              <w:rPr>
                                <w:sz w:val="15"/>
                                <w:szCs w:val="15"/>
                              </w:rPr>
                            </w:pPr>
                            <w:r>
                              <w:rPr>
                                <w:sz w:val="15"/>
                                <w:szCs w:val="15"/>
                              </w:rPr>
                              <w:t>行政主管部门及其工作人员有下列行为之一的，对直接负责的主管人员和其他直接责任人员，依法给予处</w:t>
                            </w:r>
                            <w:r>
                              <w:rPr>
                                <w:w w:val="105"/>
                                <w:sz w:val="15"/>
                                <w:szCs w:val="15"/>
                              </w:rPr>
                              <w:t>分；构成犯罪的，依法追究刑事责任：</w:t>
                            </w:r>
                          </w:p>
                          <w:p>
                            <w:pPr>
                              <w:pStyle w:val="9"/>
                              <w:numPr>
                                <w:ilvl w:val="0"/>
                                <w:numId w:val="5"/>
                              </w:numPr>
                              <w:tabs>
                                <w:tab w:val="left" w:pos="144"/>
                              </w:tabs>
                              <w:spacing w:before="10" w:line="192" w:lineRule="auto"/>
                              <w:ind w:right="13" w:firstLine="0"/>
                              <w:jc w:val="both"/>
                              <w:rPr>
                                <w:sz w:val="15"/>
                                <w:szCs w:val="15"/>
                              </w:rPr>
                            </w:pPr>
                            <w:r>
                              <w:rPr>
                                <w:sz w:val="15"/>
                                <w:szCs w:val="15"/>
                              </w:rPr>
                              <w:t xml:space="preserve">对应当予以制止和处罚的违法行为不予制止、处罚， </w:t>
                            </w:r>
                            <w:r>
                              <w:rPr>
                                <w:w w:val="105"/>
                                <w:sz w:val="15"/>
                                <w:szCs w:val="15"/>
                              </w:rPr>
                              <w:t>致使公民、法人或者其他组织的合法权益、公共利益和社会秩序遭受损害的；</w:t>
                            </w:r>
                          </w:p>
                          <w:p>
                            <w:pPr>
                              <w:pStyle w:val="9"/>
                              <w:numPr>
                                <w:ilvl w:val="0"/>
                                <w:numId w:val="5"/>
                              </w:numPr>
                              <w:tabs>
                                <w:tab w:val="left" w:pos="144"/>
                              </w:tabs>
                              <w:spacing w:before="9" w:line="196" w:lineRule="auto"/>
                              <w:ind w:right="15" w:firstLine="0"/>
                              <w:jc w:val="both"/>
                              <w:rPr>
                                <w:sz w:val="15"/>
                                <w:szCs w:val="15"/>
                              </w:rPr>
                            </w:pPr>
                            <w:r>
                              <w:rPr>
                                <w:sz w:val="15"/>
                                <w:szCs w:val="15"/>
                              </w:rPr>
                              <w:t>不依法受理举报、投诉或者受理后未在法定期限内处</w:t>
                            </w:r>
                            <w:r>
                              <w:rPr>
                                <w:w w:val="105"/>
                                <w:sz w:val="15"/>
                                <w:szCs w:val="15"/>
                              </w:rPr>
                              <w:t>理的；</w:t>
                            </w:r>
                          </w:p>
                          <w:p>
                            <w:pPr>
                              <w:pStyle w:val="9"/>
                              <w:numPr>
                                <w:ilvl w:val="0"/>
                                <w:numId w:val="5"/>
                              </w:numPr>
                              <w:tabs>
                                <w:tab w:val="left" w:pos="144"/>
                              </w:tabs>
                              <w:spacing w:line="183" w:lineRule="exact"/>
                              <w:ind w:left="143"/>
                              <w:jc w:val="both"/>
                              <w:rPr>
                                <w:sz w:val="15"/>
                                <w:szCs w:val="15"/>
                              </w:rPr>
                            </w:pPr>
                            <w:r>
                              <w:rPr>
                                <w:w w:val="105"/>
                                <w:sz w:val="15"/>
                                <w:szCs w:val="15"/>
                              </w:rPr>
                              <w:t>对符合立案条件而不予立案的；</w:t>
                            </w:r>
                          </w:p>
                          <w:p>
                            <w:pPr>
                              <w:pStyle w:val="9"/>
                              <w:numPr>
                                <w:ilvl w:val="0"/>
                                <w:numId w:val="5"/>
                              </w:numPr>
                              <w:tabs>
                                <w:tab w:val="left" w:pos="144"/>
                              </w:tabs>
                              <w:spacing w:line="187" w:lineRule="exact"/>
                              <w:ind w:left="143"/>
                              <w:jc w:val="both"/>
                              <w:rPr>
                                <w:sz w:val="15"/>
                                <w:szCs w:val="15"/>
                              </w:rPr>
                            </w:pPr>
                            <w:r>
                              <w:rPr>
                                <w:w w:val="105"/>
                                <w:sz w:val="15"/>
                                <w:szCs w:val="15"/>
                              </w:rPr>
                              <w:t>对不符合立案条件而立案调查的；</w:t>
                            </w:r>
                          </w:p>
                          <w:p>
                            <w:pPr>
                              <w:pStyle w:val="9"/>
                              <w:numPr>
                                <w:ilvl w:val="0"/>
                                <w:numId w:val="5"/>
                              </w:numPr>
                              <w:tabs>
                                <w:tab w:val="left" w:pos="144"/>
                              </w:tabs>
                              <w:spacing w:before="9" w:line="196" w:lineRule="auto"/>
                              <w:ind w:right="14" w:firstLine="0"/>
                              <w:jc w:val="both"/>
                              <w:rPr>
                                <w:sz w:val="15"/>
                                <w:szCs w:val="15"/>
                              </w:rPr>
                            </w:pPr>
                            <w:r>
                              <w:rPr>
                                <w:sz w:val="15"/>
                                <w:szCs w:val="15"/>
                              </w:rPr>
                              <w:t>违法实行检查措施或者执行措施，给公民人身或者财</w:t>
                            </w:r>
                            <w:r>
                              <w:rPr>
                                <w:w w:val="105"/>
                                <w:sz w:val="15"/>
                                <w:szCs w:val="15"/>
                              </w:rPr>
                              <w:t>产造成损害、给法人或者其他组织造成损失的；</w:t>
                            </w:r>
                          </w:p>
                          <w:p>
                            <w:pPr>
                              <w:pStyle w:val="9"/>
                              <w:numPr>
                                <w:ilvl w:val="0"/>
                                <w:numId w:val="5"/>
                              </w:numPr>
                              <w:tabs>
                                <w:tab w:val="left" w:pos="144"/>
                              </w:tabs>
                              <w:spacing w:line="183" w:lineRule="exact"/>
                              <w:ind w:left="143"/>
                              <w:jc w:val="both"/>
                              <w:rPr>
                                <w:sz w:val="15"/>
                                <w:szCs w:val="15"/>
                              </w:rPr>
                            </w:pPr>
                            <w:r>
                              <w:rPr>
                                <w:sz w:val="15"/>
                                <w:szCs w:val="15"/>
                              </w:rPr>
                              <w:t>没有法定的行政处罚依据的；</w:t>
                            </w:r>
                          </w:p>
                          <w:p>
                            <w:pPr>
                              <w:pStyle w:val="9"/>
                              <w:numPr>
                                <w:ilvl w:val="0"/>
                                <w:numId w:val="5"/>
                              </w:numPr>
                              <w:tabs>
                                <w:tab w:val="left" w:pos="144"/>
                              </w:tabs>
                              <w:spacing w:line="187" w:lineRule="exact"/>
                              <w:ind w:left="143"/>
                              <w:jc w:val="both"/>
                              <w:rPr>
                                <w:sz w:val="15"/>
                                <w:szCs w:val="15"/>
                              </w:rPr>
                            </w:pPr>
                            <w:r>
                              <w:rPr>
                                <w:sz w:val="15"/>
                                <w:szCs w:val="15"/>
                              </w:rPr>
                              <w:t>违反法定的行政处罚程序的；</w:t>
                            </w:r>
                          </w:p>
                          <w:p>
                            <w:pPr>
                              <w:pStyle w:val="9"/>
                              <w:numPr>
                                <w:ilvl w:val="0"/>
                                <w:numId w:val="5"/>
                              </w:numPr>
                              <w:tabs>
                                <w:tab w:val="left" w:pos="144"/>
                              </w:tabs>
                              <w:spacing w:line="187" w:lineRule="exact"/>
                              <w:ind w:left="143"/>
                              <w:jc w:val="both"/>
                              <w:rPr>
                                <w:sz w:val="15"/>
                                <w:szCs w:val="15"/>
                              </w:rPr>
                            </w:pPr>
                            <w:r>
                              <w:rPr>
                                <w:w w:val="105"/>
                                <w:sz w:val="15"/>
                                <w:szCs w:val="15"/>
                              </w:rPr>
                              <w:t>擅自改变行政处罚种类、幅度的；</w:t>
                            </w:r>
                          </w:p>
                          <w:p>
                            <w:pPr>
                              <w:pStyle w:val="9"/>
                              <w:numPr>
                                <w:ilvl w:val="0"/>
                                <w:numId w:val="5"/>
                              </w:numPr>
                              <w:tabs>
                                <w:tab w:val="left" w:pos="144"/>
                              </w:tabs>
                              <w:spacing w:before="10" w:line="196" w:lineRule="auto"/>
                              <w:ind w:right="13" w:firstLine="0"/>
                              <w:jc w:val="both"/>
                              <w:rPr>
                                <w:sz w:val="15"/>
                                <w:szCs w:val="15"/>
                              </w:rPr>
                            </w:pPr>
                            <w:r>
                              <w:rPr>
                                <w:sz w:val="15"/>
                                <w:szCs w:val="15"/>
                              </w:rPr>
                              <w:t>对当事人进行处罚不使用罚款、没收财物单据或者使</w:t>
                            </w:r>
                            <w:r>
                              <w:rPr>
                                <w:w w:val="105"/>
                                <w:sz w:val="15"/>
                                <w:szCs w:val="15"/>
                              </w:rPr>
                              <w:t>用非法定部门制发的罚款、没收财物单据的；</w:t>
                            </w:r>
                          </w:p>
                          <w:p>
                            <w:pPr>
                              <w:pStyle w:val="9"/>
                              <w:numPr>
                                <w:ilvl w:val="0"/>
                                <w:numId w:val="5"/>
                              </w:numPr>
                              <w:tabs>
                                <w:tab w:val="left" w:pos="219"/>
                              </w:tabs>
                              <w:spacing w:line="183" w:lineRule="exact"/>
                              <w:ind w:left="218" w:hanging="186"/>
                              <w:jc w:val="both"/>
                              <w:rPr>
                                <w:sz w:val="15"/>
                                <w:szCs w:val="15"/>
                              </w:rPr>
                            </w:pPr>
                            <w:r>
                              <w:rPr>
                                <w:w w:val="105"/>
                                <w:sz w:val="15"/>
                                <w:szCs w:val="15"/>
                              </w:rPr>
                              <w:t>违反法律规定自行收缴罚款的；</w:t>
                            </w:r>
                          </w:p>
                          <w:p>
                            <w:pPr>
                              <w:pStyle w:val="9"/>
                              <w:numPr>
                                <w:ilvl w:val="0"/>
                                <w:numId w:val="5"/>
                              </w:numPr>
                              <w:tabs>
                                <w:tab w:val="left" w:pos="219"/>
                              </w:tabs>
                              <w:spacing w:before="9" w:line="196" w:lineRule="auto"/>
                              <w:ind w:right="84" w:firstLine="0"/>
                              <w:jc w:val="both"/>
                              <w:rPr>
                                <w:sz w:val="15"/>
                                <w:szCs w:val="15"/>
                              </w:rPr>
                            </w:pPr>
                            <w:r>
                              <w:rPr>
                                <w:sz w:val="15"/>
                                <w:szCs w:val="15"/>
                              </w:rPr>
                              <w:t>将罚款、没收的违法所得或者财物截留、私分或者</w:t>
                            </w:r>
                            <w:r>
                              <w:rPr>
                                <w:w w:val="105"/>
                                <w:sz w:val="15"/>
                                <w:szCs w:val="15"/>
                              </w:rPr>
                              <w:t>变相私分的；</w:t>
                            </w:r>
                          </w:p>
                          <w:p>
                            <w:pPr>
                              <w:pStyle w:val="9"/>
                              <w:numPr>
                                <w:ilvl w:val="0"/>
                                <w:numId w:val="5"/>
                              </w:numPr>
                              <w:tabs>
                                <w:tab w:val="left" w:pos="219"/>
                              </w:tabs>
                              <w:spacing w:line="183" w:lineRule="exact"/>
                              <w:ind w:left="218" w:hanging="186"/>
                              <w:jc w:val="both"/>
                              <w:rPr>
                                <w:sz w:val="15"/>
                                <w:szCs w:val="15"/>
                              </w:rPr>
                            </w:pPr>
                            <w:r>
                              <w:rPr>
                                <w:sz w:val="15"/>
                                <w:szCs w:val="15"/>
                              </w:rPr>
                              <w:t>使用或者损毁扣押的财物，对当事人造成损失的；</w:t>
                            </w:r>
                          </w:p>
                          <w:p>
                            <w:pPr>
                              <w:pStyle w:val="9"/>
                              <w:numPr>
                                <w:ilvl w:val="0"/>
                                <w:numId w:val="5"/>
                              </w:numPr>
                              <w:tabs>
                                <w:tab w:val="left" w:pos="219"/>
                              </w:tabs>
                              <w:spacing w:line="186" w:lineRule="exact"/>
                              <w:ind w:left="218" w:hanging="186"/>
                              <w:jc w:val="both"/>
                              <w:rPr>
                                <w:sz w:val="15"/>
                                <w:szCs w:val="15"/>
                              </w:rPr>
                            </w:pPr>
                            <w:r>
                              <w:rPr>
                                <w:sz w:val="15"/>
                                <w:szCs w:val="15"/>
                              </w:rPr>
                              <w:t>泄露国家秘密、商业秘密以及滥用职权、徇私舞弊</w:t>
                            </w:r>
                          </w:p>
                          <w:p>
                            <w:pPr>
                              <w:pStyle w:val="9"/>
                              <w:spacing w:line="187" w:lineRule="exact"/>
                              <w:ind w:left="33"/>
                              <w:jc w:val="both"/>
                              <w:rPr>
                                <w:sz w:val="15"/>
                                <w:szCs w:val="15"/>
                              </w:rPr>
                            </w:pPr>
                            <w:r>
                              <w:rPr>
                                <w:w w:val="105"/>
                                <w:sz w:val="15"/>
                                <w:szCs w:val="15"/>
                              </w:rPr>
                              <w:t>、玩忽职守、索贿受贿的；</w:t>
                            </w:r>
                          </w:p>
                          <w:p>
                            <w:pPr>
                              <w:pStyle w:val="9"/>
                              <w:numPr>
                                <w:ilvl w:val="0"/>
                                <w:numId w:val="5"/>
                              </w:numPr>
                              <w:tabs>
                                <w:tab w:val="left" w:pos="219"/>
                              </w:tabs>
                              <w:spacing w:before="10" w:line="196" w:lineRule="auto"/>
                              <w:ind w:right="86" w:firstLine="0"/>
                              <w:jc w:val="both"/>
                              <w:rPr>
                                <w:sz w:val="15"/>
                                <w:szCs w:val="15"/>
                              </w:rPr>
                            </w:pPr>
                            <w:r>
                              <w:rPr>
                                <w:sz w:val="15"/>
                                <w:szCs w:val="15"/>
                              </w:rPr>
                              <w:t>为牟取本单位私利，对应当移交司法机关追究刑事</w:t>
                            </w:r>
                            <w:r>
                              <w:rPr>
                                <w:w w:val="105"/>
                                <w:sz w:val="15"/>
                                <w:szCs w:val="15"/>
                              </w:rPr>
                              <w:t>责任的不移交，以行政处罚代替刑罚；</w:t>
                            </w:r>
                          </w:p>
                          <w:p>
                            <w:pPr>
                              <w:pStyle w:val="9"/>
                              <w:numPr>
                                <w:ilvl w:val="0"/>
                                <w:numId w:val="5"/>
                              </w:numPr>
                              <w:tabs>
                                <w:tab w:val="left" w:pos="219"/>
                              </w:tabs>
                              <w:spacing w:line="202" w:lineRule="exact"/>
                              <w:ind w:left="218" w:hanging="186"/>
                              <w:jc w:val="both"/>
                              <w:rPr>
                                <w:sz w:val="15"/>
                                <w:szCs w:val="15"/>
                              </w:rPr>
                            </w:pPr>
                            <w:r>
                              <w:rPr>
                                <w:w w:val="105"/>
                                <w:sz w:val="15"/>
                                <w:szCs w:val="15"/>
                              </w:rPr>
                              <w:t>其他法律、法规、规章、文件规定的行为。</w:t>
                            </w:r>
                          </w:p>
                        </w:tc>
                      </w:tr>
                    </w:tbl>
                    <w:p>
                      <w:pPr>
                        <w:pStyle w:val="2"/>
                      </w:pPr>
                    </w:p>
                  </w:txbxContent>
                </v:textbox>
              </v:shape>
            </w:pict>
          </mc:Fallback>
        </mc:AlternateContent>
      </w:r>
      <w:r>
        <w:rPr>
          <w:rFonts w:hint="eastAsia" w:ascii="Times New Roman"/>
          <w:sz w:val="32"/>
          <w:szCs w:val="32"/>
          <w:lang w:val="en-US"/>
        </w:rPr>
        <w:t>（行政处罚类）</w:t>
      </w:r>
    </w:p>
    <w:p>
      <w:pPr>
        <w:pStyle w:val="2"/>
        <w:spacing w:before="2"/>
        <w:rPr>
          <w:rFonts w:ascii="Times New Roman"/>
          <w:sz w:val="16"/>
        </w:rPr>
      </w:pPr>
    </w:p>
    <w:tbl>
      <w:tblPr>
        <w:tblStyle w:val="5"/>
        <w:tblW w:w="14528"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596"/>
        <w:gridCol w:w="539"/>
        <w:gridCol w:w="3120"/>
        <w:gridCol w:w="432"/>
        <w:gridCol w:w="886"/>
        <w:gridCol w:w="857"/>
        <w:gridCol w:w="391"/>
        <w:gridCol w:w="3497"/>
        <w:gridCol w:w="34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vMerge w:val="restart"/>
          </w:tcPr>
          <w:p>
            <w:pPr>
              <w:pStyle w:val="9"/>
              <w:rPr>
                <w:rFonts w:ascii="黑体" w:hAnsi="黑体" w:eastAsia="黑体" w:cs="黑体"/>
                <w:sz w:val="18"/>
                <w:szCs w:val="18"/>
              </w:rPr>
            </w:pPr>
          </w:p>
          <w:p>
            <w:pPr>
              <w:pStyle w:val="9"/>
              <w:rPr>
                <w:rFonts w:ascii="黑体" w:hAnsi="黑体" w:eastAsia="黑体" w:cs="黑体"/>
                <w:sz w:val="18"/>
                <w:szCs w:val="18"/>
              </w:rPr>
            </w:pPr>
            <w:r>
              <w:rPr>
                <w:rFonts w:hint="eastAsia" w:ascii="黑体" w:hAnsi="黑体" w:eastAsia="黑体" w:cs="黑体"/>
                <w:sz w:val="18"/>
                <w:szCs w:val="18"/>
              </w:rPr>
              <w:t>序号</w:t>
            </w:r>
          </w:p>
        </w:tc>
        <w:tc>
          <w:tcPr>
            <w:tcW w:w="444" w:type="dxa"/>
            <w:vMerge w:val="restart"/>
          </w:tcPr>
          <w:p>
            <w:pPr>
              <w:pStyle w:val="9"/>
              <w:rPr>
                <w:rFonts w:ascii="黑体" w:hAnsi="黑体" w:eastAsia="黑体" w:cs="黑体"/>
                <w:sz w:val="18"/>
                <w:szCs w:val="18"/>
              </w:rPr>
            </w:pPr>
          </w:p>
          <w:p>
            <w:pPr>
              <w:pStyle w:val="9"/>
              <w:rPr>
                <w:rFonts w:ascii="黑体" w:hAnsi="黑体" w:eastAsia="黑体" w:cs="黑体"/>
                <w:sz w:val="18"/>
                <w:szCs w:val="18"/>
              </w:rPr>
            </w:pPr>
            <w:r>
              <w:rPr>
                <w:rFonts w:hint="eastAsia" w:ascii="黑体" w:hAnsi="黑体" w:eastAsia="黑体" w:cs="黑体"/>
                <w:sz w:val="18"/>
                <w:szCs w:val="18"/>
              </w:rPr>
              <w:t>职权编码</w:t>
            </w:r>
          </w:p>
        </w:tc>
        <w:tc>
          <w:tcPr>
            <w:tcW w:w="1135" w:type="dxa"/>
            <w:gridSpan w:val="2"/>
          </w:tcPr>
          <w:p>
            <w:pPr>
              <w:pStyle w:val="9"/>
              <w:rPr>
                <w:rFonts w:ascii="黑体" w:hAnsi="黑体" w:eastAsia="黑体" w:cs="黑体"/>
                <w:sz w:val="18"/>
                <w:szCs w:val="18"/>
              </w:rPr>
            </w:pPr>
            <w:r>
              <w:rPr>
                <w:rFonts w:hint="eastAsia" w:ascii="黑体" w:hAnsi="黑体" w:eastAsia="黑体" w:cs="黑体"/>
                <w:sz w:val="18"/>
                <w:szCs w:val="18"/>
              </w:rPr>
              <w:t>职权名称</w:t>
            </w:r>
          </w:p>
        </w:tc>
        <w:tc>
          <w:tcPr>
            <w:tcW w:w="3120" w:type="dxa"/>
            <w:vMerge w:val="restart"/>
          </w:tcPr>
          <w:p>
            <w:pPr>
              <w:pStyle w:val="9"/>
              <w:rPr>
                <w:rFonts w:ascii="黑体" w:hAnsi="黑体" w:eastAsia="黑体" w:cs="黑体"/>
                <w:sz w:val="18"/>
                <w:szCs w:val="18"/>
              </w:rPr>
            </w:pPr>
          </w:p>
          <w:p>
            <w:pPr>
              <w:pStyle w:val="9"/>
              <w:ind w:firstLine="1260" w:firstLineChars="700"/>
              <w:rPr>
                <w:rFonts w:ascii="黑体" w:hAnsi="黑体" w:eastAsia="黑体" w:cs="黑体"/>
                <w:sz w:val="18"/>
                <w:szCs w:val="18"/>
              </w:rPr>
            </w:pPr>
            <w:r>
              <w:rPr>
                <w:rFonts w:hint="eastAsia" w:ascii="黑体" w:hAnsi="黑体" w:eastAsia="黑体" w:cs="黑体"/>
                <w:sz w:val="18"/>
                <w:szCs w:val="18"/>
              </w:rPr>
              <w:t>实施依据</w:t>
            </w:r>
          </w:p>
        </w:tc>
        <w:tc>
          <w:tcPr>
            <w:tcW w:w="432" w:type="dxa"/>
            <w:vMerge w:val="restart"/>
          </w:tcPr>
          <w:p>
            <w:pPr>
              <w:pStyle w:val="9"/>
              <w:rPr>
                <w:rFonts w:ascii="黑体" w:hAnsi="黑体" w:eastAsia="黑体" w:cs="黑体"/>
                <w:sz w:val="18"/>
                <w:szCs w:val="18"/>
              </w:rPr>
            </w:pPr>
          </w:p>
          <w:p>
            <w:pPr>
              <w:pStyle w:val="9"/>
              <w:rPr>
                <w:rFonts w:ascii="黑体" w:hAnsi="黑体" w:eastAsia="黑体" w:cs="黑体"/>
                <w:sz w:val="18"/>
                <w:szCs w:val="18"/>
              </w:rPr>
            </w:pPr>
            <w:r>
              <w:rPr>
                <w:rFonts w:hint="eastAsia" w:ascii="黑体" w:hAnsi="黑体" w:eastAsia="黑体" w:cs="黑体"/>
                <w:sz w:val="18"/>
                <w:szCs w:val="18"/>
              </w:rPr>
              <w:t>实施对象</w:t>
            </w:r>
          </w:p>
        </w:tc>
        <w:tc>
          <w:tcPr>
            <w:tcW w:w="886" w:type="dxa"/>
            <w:vMerge w:val="restart"/>
          </w:tcPr>
          <w:p>
            <w:pPr>
              <w:pStyle w:val="9"/>
              <w:ind w:firstLine="720" w:firstLineChars="400"/>
              <w:rPr>
                <w:rFonts w:ascii="黑体" w:hAnsi="黑体" w:eastAsia="黑体" w:cs="黑体"/>
                <w:sz w:val="18"/>
                <w:szCs w:val="18"/>
              </w:rPr>
            </w:pPr>
            <w:r>
              <w:rPr>
                <w:rFonts w:hint="eastAsia" w:ascii="黑体" w:hAnsi="黑体" w:eastAsia="黑体" w:cs="黑体"/>
                <w:sz w:val="18"/>
                <w:szCs w:val="18"/>
                <w:lang w:val="en-US"/>
              </w:rPr>
              <w:t xml:space="preserve"> </w:t>
            </w:r>
            <w:r>
              <w:rPr>
                <w:rFonts w:hint="eastAsia" w:ascii="黑体" w:hAnsi="黑体" w:eastAsia="黑体" w:cs="黑体"/>
                <w:sz w:val="18"/>
                <w:szCs w:val="18"/>
              </w:rPr>
              <w:t>承办机构及监督电话</w:t>
            </w:r>
          </w:p>
        </w:tc>
        <w:tc>
          <w:tcPr>
            <w:tcW w:w="857" w:type="dxa"/>
            <w:vMerge w:val="restart"/>
          </w:tcPr>
          <w:p>
            <w:pPr>
              <w:pStyle w:val="9"/>
              <w:ind w:firstLine="720" w:firstLineChars="400"/>
              <w:rPr>
                <w:rFonts w:ascii="黑体" w:hAnsi="黑体" w:eastAsia="黑体" w:cs="黑体"/>
                <w:sz w:val="18"/>
                <w:szCs w:val="18"/>
              </w:rPr>
            </w:pPr>
            <w:r>
              <w:rPr>
                <w:rFonts w:hint="eastAsia" w:ascii="黑体" w:hAnsi="黑体" w:eastAsia="黑体" w:cs="黑体"/>
                <w:sz w:val="18"/>
                <w:szCs w:val="18"/>
                <w:lang w:val="en-US"/>
              </w:rPr>
              <w:t xml:space="preserve"> </w:t>
            </w:r>
            <w:r>
              <w:rPr>
                <w:rFonts w:hint="eastAsia" w:ascii="黑体" w:hAnsi="黑体" w:eastAsia="黑体" w:cs="黑体"/>
                <w:sz w:val="18"/>
                <w:szCs w:val="18"/>
              </w:rPr>
              <w:t>收费（征收）依据和标准</w:t>
            </w:r>
          </w:p>
        </w:tc>
        <w:tc>
          <w:tcPr>
            <w:tcW w:w="391" w:type="dxa"/>
            <w:vMerge w:val="restart"/>
          </w:tcPr>
          <w:p>
            <w:pPr>
              <w:pStyle w:val="9"/>
              <w:rPr>
                <w:rFonts w:ascii="黑体" w:hAnsi="黑体" w:eastAsia="黑体" w:cs="黑体"/>
                <w:sz w:val="18"/>
                <w:szCs w:val="18"/>
              </w:rPr>
            </w:pPr>
          </w:p>
          <w:p>
            <w:pPr>
              <w:pStyle w:val="9"/>
              <w:rPr>
                <w:rFonts w:ascii="黑体" w:hAnsi="黑体" w:eastAsia="黑体" w:cs="黑体"/>
                <w:sz w:val="18"/>
                <w:szCs w:val="18"/>
              </w:rPr>
            </w:pPr>
            <w:r>
              <w:rPr>
                <w:rFonts w:hint="eastAsia" w:ascii="黑体" w:hAnsi="黑体" w:eastAsia="黑体" w:cs="黑体"/>
                <w:sz w:val="18"/>
                <w:szCs w:val="18"/>
              </w:rPr>
              <w:t>责任主体</w:t>
            </w:r>
          </w:p>
        </w:tc>
        <w:tc>
          <w:tcPr>
            <w:tcW w:w="3497" w:type="dxa"/>
            <w:vMerge w:val="restart"/>
          </w:tcPr>
          <w:p>
            <w:pPr>
              <w:pStyle w:val="9"/>
              <w:rPr>
                <w:rFonts w:ascii="黑体" w:hAnsi="黑体" w:eastAsia="黑体" w:cs="黑体"/>
                <w:sz w:val="18"/>
                <w:szCs w:val="18"/>
              </w:rPr>
            </w:pPr>
          </w:p>
          <w:p>
            <w:pPr>
              <w:pStyle w:val="9"/>
              <w:ind w:firstLine="1260" w:firstLineChars="700"/>
              <w:rPr>
                <w:rFonts w:ascii="黑体" w:hAnsi="黑体" w:eastAsia="黑体" w:cs="黑体"/>
                <w:sz w:val="18"/>
                <w:szCs w:val="18"/>
              </w:rPr>
            </w:pPr>
            <w:r>
              <w:rPr>
                <w:rFonts w:hint="eastAsia" w:ascii="黑体" w:hAnsi="黑体" w:eastAsia="黑体" w:cs="黑体"/>
                <w:sz w:val="18"/>
                <w:szCs w:val="18"/>
              </w:rPr>
              <w:t>责任事项</w:t>
            </w:r>
          </w:p>
        </w:tc>
        <w:tc>
          <w:tcPr>
            <w:tcW w:w="3430" w:type="dxa"/>
            <w:vMerge w:val="restart"/>
          </w:tcPr>
          <w:p>
            <w:pPr>
              <w:pStyle w:val="9"/>
              <w:rPr>
                <w:rFonts w:ascii="黑体" w:hAnsi="黑体" w:eastAsia="黑体" w:cs="黑体"/>
                <w:sz w:val="18"/>
                <w:szCs w:val="18"/>
              </w:rPr>
            </w:pPr>
          </w:p>
          <w:p>
            <w:pPr>
              <w:pStyle w:val="9"/>
              <w:ind w:firstLine="1620" w:firstLineChars="900"/>
              <w:rPr>
                <w:rFonts w:ascii="黑体" w:hAnsi="黑体" w:eastAsia="黑体" w:cs="黑体"/>
                <w:sz w:val="18"/>
                <w:szCs w:val="18"/>
              </w:rPr>
            </w:pPr>
            <w:r>
              <w:rPr>
                <w:rFonts w:hint="eastAsia" w:ascii="黑体" w:hAnsi="黑体" w:eastAsia="黑体" w:cs="黑体"/>
                <w:sz w:val="18"/>
                <w:szCs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62" w:hRule="atLeast"/>
        </w:trPr>
        <w:tc>
          <w:tcPr>
            <w:tcW w:w="336" w:type="dxa"/>
            <w:vMerge w:val="continue"/>
            <w:tcBorders>
              <w:top w:val="nil"/>
            </w:tcBorders>
          </w:tcPr>
          <w:p>
            <w:pPr>
              <w:pStyle w:val="9"/>
              <w:rPr>
                <w:rFonts w:ascii="Times New Roman"/>
                <w:sz w:val="18"/>
                <w:szCs w:val="18"/>
              </w:rPr>
            </w:pPr>
          </w:p>
        </w:tc>
        <w:tc>
          <w:tcPr>
            <w:tcW w:w="444" w:type="dxa"/>
            <w:vMerge w:val="continue"/>
            <w:tcBorders>
              <w:top w:val="nil"/>
            </w:tcBorders>
          </w:tcPr>
          <w:p>
            <w:pPr>
              <w:pStyle w:val="9"/>
              <w:rPr>
                <w:rFonts w:ascii="Times New Roman"/>
                <w:sz w:val="18"/>
                <w:szCs w:val="18"/>
              </w:rPr>
            </w:pPr>
          </w:p>
        </w:tc>
        <w:tc>
          <w:tcPr>
            <w:tcW w:w="596" w:type="dxa"/>
          </w:tcPr>
          <w:p>
            <w:pPr>
              <w:pStyle w:val="9"/>
              <w:ind w:firstLine="180" w:firstLineChars="100"/>
              <w:rPr>
                <w:rFonts w:ascii="黑体" w:hAnsi="黑体" w:eastAsia="黑体" w:cs="黑体"/>
                <w:sz w:val="18"/>
                <w:szCs w:val="18"/>
              </w:rPr>
            </w:pPr>
            <w:r>
              <w:rPr>
                <w:rFonts w:hint="eastAsia" w:ascii="黑体" w:hAnsi="黑体" w:eastAsia="黑体" w:cs="黑体"/>
                <w:sz w:val="18"/>
                <w:szCs w:val="18"/>
              </w:rPr>
              <w:t>项目</w:t>
            </w:r>
          </w:p>
        </w:tc>
        <w:tc>
          <w:tcPr>
            <w:tcW w:w="539" w:type="dxa"/>
          </w:tcPr>
          <w:p>
            <w:pPr>
              <w:pStyle w:val="9"/>
              <w:rPr>
                <w:rFonts w:ascii="黑体" w:hAnsi="黑体" w:eastAsia="黑体" w:cs="黑体"/>
                <w:sz w:val="18"/>
                <w:szCs w:val="18"/>
              </w:rPr>
            </w:pPr>
            <w:r>
              <w:rPr>
                <w:rFonts w:hint="eastAsia" w:ascii="黑体" w:hAnsi="黑体" w:eastAsia="黑体" w:cs="黑体"/>
                <w:sz w:val="18"/>
                <w:szCs w:val="18"/>
              </w:rPr>
              <w:t>子项</w:t>
            </w:r>
          </w:p>
        </w:tc>
        <w:tc>
          <w:tcPr>
            <w:tcW w:w="3120" w:type="dxa"/>
            <w:vMerge w:val="continue"/>
            <w:tcBorders>
              <w:top w:val="nil"/>
            </w:tcBorders>
          </w:tcPr>
          <w:p>
            <w:pPr>
              <w:pStyle w:val="9"/>
              <w:rPr>
                <w:rFonts w:ascii="Times New Roman"/>
                <w:sz w:val="18"/>
                <w:szCs w:val="18"/>
              </w:rPr>
            </w:pPr>
          </w:p>
        </w:tc>
        <w:tc>
          <w:tcPr>
            <w:tcW w:w="432" w:type="dxa"/>
            <w:vMerge w:val="continue"/>
            <w:tcBorders>
              <w:top w:val="nil"/>
            </w:tcBorders>
          </w:tcPr>
          <w:p>
            <w:pPr>
              <w:pStyle w:val="9"/>
              <w:rPr>
                <w:rFonts w:ascii="Times New Roman"/>
                <w:sz w:val="18"/>
                <w:szCs w:val="18"/>
              </w:rPr>
            </w:pPr>
          </w:p>
        </w:tc>
        <w:tc>
          <w:tcPr>
            <w:tcW w:w="886" w:type="dxa"/>
            <w:vMerge w:val="continue"/>
            <w:tcBorders>
              <w:top w:val="nil"/>
            </w:tcBorders>
          </w:tcPr>
          <w:p>
            <w:pPr>
              <w:pStyle w:val="9"/>
              <w:rPr>
                <w:rFonts w:ascii="Times New Roman"/>
                <w:sz w:val="18"/>
                <w:szCs w:val="18"/>
              </w:rPr>
            </w:pPr>
          </w:p>
        </w:tc>
        <w:tc>
          <w:tcPr>
            <w:tcW w:w="857" w:type="dxa"/>
            <w:vMerge w:val="continue"/>
            <w:tcBorders>
              <w:top w:val="nil"/>
            </w:tcBorders>
          </w:tcPr>
          <w:p>
            <w:pPr>
              <w:pStyle w:val="9"/>
              <w:rPr>
                <w:rFonts w:ascii="Times New Roman"/>
                <w:sz w:val="18"/>
                <w:szCs w:val="18"/>
              </w:rPr>
            </w:pPr>
          </w:p>
        </w:tc>
        <w:tc>
          <w:tcPr>
            <w:tcW w:w="391" w:type="dxa"/>
            <w:vMerge w:val="continue"/>
            <w:tcBorders>
              <w:top w:val="nil"/>
            </w:tcBorders>
          </w:tcPr>
          <w:p>
            <w:pPr>
              <w:pStyle w:val="9"/>
              <w:rPr>
                <w:rFonts w:ascii="Times New Roman"/>
                <w:sz w:val="18"/>
                <w:szCs w:val="18"/>
              </w:rPr>
            </w:pPr>
          </w:p>
        </w:tc>
        <w:tc>
          <w:tcPr>
            <w:tcW w:w="3497" w:type="dxa"/>
            <w:vMerge w:val="continue"/>
            <w:tcBorders>
              <w:top w:val="nil"/>
            </w:tcBorders>
          </w:tcPr>
          <w:p>
            <w:pPr>
              <w:pStyle w:val="9"/>
              <w:rPr>
                <w:rFonts w:ascii="Times New Roman"/>
                <w:sz w:val="18"/>
                <w:szCs w:val="18"/>
              </w:rPr>
            </w:pPr>
          </w:p>
        </w:tc>
        <w:tc>
          <w:tcPr>
            <w:tcW w:w="3430" w:type="dxa"/>
            <w:vMerge w:val="continue"/>
            <w:tcBorders>
              <w:top w:val="nil"/>
            </w:tcBorders>
          </w:tcPr>
          <w:p>
            <w:pPr>
              <w:pStyle w:val="9"/>
              <w:rPr>
                <w:rFonts w:asci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376" w:hRule="atLeast"/>
        </w:trPr>
        <w:tc>
          <w:tcPr>
            <w:tcW w:w="336" w:type="dxa"/>
            <w:vAlign w:val="center"/>
          </w:tcPr>
          <w:p>
            <w:pPr>
              <w:pStyle w:val="9"/>
              <w:jc w:val="both"/>
              <w:rPr>
                <w:rFonts w:ascii="Times New Roman"/>
                <w:sz w:val="15"/>
                <w:szCs w:val="15"/>
                <w:lang w:val="en-US"/>
              </w:rPr>
            </w:pPr>
            <w:r>
              <w:rPr>
                <w:rFonts w:hint="eastAsia" w:ascii="Times New Roman"/>
                <w:sz w:val="15"/>
                <w:szCs w:val="15"/>
                <w:lang w:val="en-US"/>
              </w:rPr>
              <w:t>2</w:t>
            </w:r>
          </w:p>
        </w:tc>
        <w:tc>
          <w:tcPr>
            <w:tcW w:w="444" w:type="dxa"/>
            <w:vAlign w:val="center"/>
          </w:tcPr>
          <w:p>
            <w:pPr>
              <w:pStyle w:val="9"/>
              <w:jc w:val="both"/>
              <w:rPr>
                <w:rFonts w:ascii="Times New Roman"/>
                <w:sz w:val="15"/>
                <w:szCs w:val="15"/>
              </w:rPr>
            </w:pPr>
            <w:r>
              <w:rPr>
                <w:rFonts w:ascii="Times New Roman"/>
                <w:sz w:val="15"/>
                <w:szCs w:val="15"/>
              </w:rPr>
              <w:t>65010</w:t>
            </w:r>
          </w:p>
          <w:p>
            <w:pPr>
              <w:pStyle w:val="9"/>
              <w:jc w:val="both"/>
              <w:rPr>
                <w:rFonts w:ascii="Times New Roman"/>
                <w:sz w:val="15"/>
                <w:szCs w:val="15"/>
              </w:rPr>
            </w:pPr>
            <w:r>
              <w:rPr>
                <w:rFonts w:hint="eastAsia" w:ascii="Times New Roman"/>
                <w:sz w:val="15"/>
                <w:szCs w:val="15"/>
                <w:lang w:val="en-US"/>
              </w:rPr>
              <w:t>9</w:t>
            </w:r>
            <w:r>
              <w:rPr>
                <w:rFonts w:ascii="Times New Roman"/>
                <w:sz w:val="15"/>
                <w:szCs w:val="15"/>
              </w:rPr>
              <w:t>201</w:t>
            </w:r>
          </w:p>
          <w:p>
            <w:pPr>
              <w:pStyle w:val="9"/>
              <w:jc w:val="both"/>
              <w:rPr>
                <w:rFonts w:ascii="Times New Roman"/>
                <w:sz w:val="15"/>
                <w:szCs w:val="15"/>
                <w:lang w:val="en-US"/>
              </w:rPr>
            </w:pPr>
            <w:r>
              <w:rPr>
                <w:rFonts w:ascii="Times New Roman"/>
                <w:sz w:val="15"/>
                <w:szCs w:val="15"/>
              </w:rPr>
              <w:t xml:space="preserve">CF00 </w:t>
            </w:r>
            <w:r>
              <w:rPr>
                <w:rFonts w:hint="eastAsia" w:ascii="Times New Roman"/>
                <w:sz w:val="15"/>
                <w:szCs w:val="15"/>
                <w:lang w:val="en-US"/>
              </w:rPr>
              <w:t>2</w:t>
            </w:r>
          </w:p>
        </w:tc>
        <w:tc>
          <w:tcPr>
            <w:tcW w:w="596" w:type="dxa"/>
            <w:vAlign w:val="center"/>
          </w:tcPr>
          <w:p>
            <w:pPr>
              <w:pStyle w:val="9"/>
              <w:jc w:val="both"/>
              <w:rPr>
                <w:rFonts w:ascii="Times New Roman"/>
                <w:sz w:val="15"/>
                <w:szCs w:val="15"/>
              </w:rPr>
            </w:pPr>
            <w:r>
              <w:rPr>
                <w:rFonts w:ascii="Times New Roman"/>
                <w:sz w:val="15"/>
                <w:szCs w:val="15"/>
                <w:lang w:val="en-US"/>
              </w:rPr>
              <w:t>对煤矿企业</w:t>
            </w:r>
            <w:r>
              <w:rPr>
                <w:rFonts w:hint="eastAsia" w:ascii="Times New Roman"/>
                <w:sz w:val="15"/>
                <w:szCs w:val="15"/>
                <w:lang w:val="en-US"/>
              </w:rPr>
              <w:t>未达到规定的煤炭资源回采率的处</w:t>
            </w:r>
          </w:p>
          <w:p>
            <w:pPr>
              <w:pStyle w:val="9"/>
              <w:jc w:val="both"/>
              <w:rPr>
                <w:rFonts w:hint="eastAsia" w:ascii="Times New Roman"/>
                <w:sz w:val="15"/>
                <w:szCs w:val="15"/>
              </w:rPr>
            </w:pPr>
            <w:r>
              <w:rPr>
                <w:rFonts w:hint="eastAsia" w:ascii="Times New Roman"/>
                <w:sz w:val="15"/>
                <w:szCs w:val="15"/>
                <w:lang w:val="en-US"/>
              </w:rPr>
              <w:t>罚</w:t>
            </w:r>
          </w:p>
        </w:tc>
        <w:tc>
          <w:tcPr>
            <w:tcW w:w="539" w:type="dxa"/>
            <w:vAlign w:val="center"/>
          </w:tcPr>
          <w:p>
            <w:pPr>
              <w:pStyle w:val="9"/>
              <w:jc w:val="both"/>
              <w:rPr>
                <w:rFonts w:ascii="Times New Roman"/>
                <w:sz w:val="15"/>
                <w:szCs w:val="15"/>
              </w:rPr>
            </w:pPr>
          </w:p>
        </w:tc>
        <w:tc>
          <w:tcPr>
            <w:tcW w:w="3120" w:type="dxa"/>
            <w:vAlign w:val="center"/>
          </w:tcPr>
          <w:p>
            <w:pPr>
              <w:pStyle w:val="9"/>
              <w:jc w:val="both"/>
              <w:rPr>
                <w:rFonts w:ascii="Times New Roman"/>
                <w:sz w:val="15"/>
                <w:szCs w:val="15"/>
              </w:rPr>
            </w:pPr>
            <w:r>
              <w:rPr>
                <w:rFonts w:ascii="Times New Roman"/>
                <w:sz w:val="15"/>
                <w:szCs w:val="15"/>
                <w:lang w:val="en-US"/>
              </w:rPr>
              <w:t xml:space="preserve">《中华人民共和国煤炭法》第二十四条第一款 开 </w:t>
            </w:r>
          </w:p>
          <w:p>
            <w:pPr>
              <w:pStyle w:val="9"/>
              <w:jc w:val="both"/>
              <w:rPr>
                <w:rFonts w:ascii="Times New Roman"/>
                <w:sz w:val="15"/>
                <w:szCs w:val="15"/>
              </w:rPr>
            </w:pPr>
            <w:r>
              <w:rPr>
                <w:rFonts w:hint="eastAsia" w:ascii="Times New Roman"/>
                <w:sz w:val="15"/>
                <w:szCs w:val="15"/>
                <w:lang w:val="en-US"/>
              </w:rPr>
              <w:t xml:space="preserve">采煤炭资源必须符合煤矿开采规程，遵守合理的 </w:t>
            </w:r>
          </w:p>
          <w:p>
            <w:pPr>
              <w:pStyle w:val="9"/>
              <w:jc w:val="both"/>
              <w:rPr>
                <w:rFonts w:ascii="Times New Roman"/>
                <w:sz w:val="15"/>
                <w:szCs w:val="15"/>
              </w:rPr>
            </w:pPr>
            <w:r>
              <w:rPr>
                <w:rFonts w:hint="eastAsia" w:ascii="Times New Roman"/>
                <w:sz w:val="15"/>
                <w:szCs w:val="15"/>
                <w:lang w:val="en-US"/>
              </w:rPr>
              <w:t xml:space="preserve">开采顺序，达到规定的煤炭资源回采率。 </w:t>
            </w:r>
          </w:p>
          <w:p>
            <w:pPr>
              <w:pStyle w:val="9"/>
              <w:jc w:val="both"/>
              <w:rPr>
                <w:rFonts w:ascii="Times New Roman"/>
                <w:sz w:val="15"/>
                <w:szCs w:val="15"/>
              </w:rPr>
            </w:pPr>
            <w:r>
              <w:rPr>
                <w:rFonts w:hint="eastAsia" w:ascii="Times New Roman"/>
                <w:sz w:val="15"/>
                <w:szCs w:val="15"/>
                <w:lang w:val="en-US"/>
              </w:rPr>
              <w:t xml:space="preserve">第五十九条 违反本法第二十四条的规定，开采煤 </w:t>
            </w:r>
          </w:p>
          <w:p>
            <w:pPr>
              <w:pStyle w:val="9"/>
              <w:jc w:val="both"/>
              <w:rPr>
                <w:rFonts w:ascii="Times New Roman"/>
                <w:sz w:val="15"/>
                <w:szCs w:val="15"/>
              </w:rPr>
            </w:pPr>
            <w:r>
              <w:rPr>
                <w:rFonts w:hint="eastAsia" w:ascii="Times New Roman"/>
                <w:sz w:val="15"/>
                <w:szCs w:val="15"/>
                <w:lang w:val="en-US"/>
              </w:rPr>
              <w:t xml:space="preserve">炭资源未达到国务院煤炭管理部门规定的煤炭资 </w:t>
            </w:r>
          </w:p>
          <w:p>
            <w:pPr>
              <w:pStyle w:val="9"/>
              <w:jc w:val="both"/>
              <w:rPr>
                <w:rFonts w:ascii="Times New Roman"/>
                <w:sz w:val="15"/>
                <w:szCs w:val="15"/>
              </w:rPr>
            </w:pPr>
            <w:r>
              <w:rPr>
                <w:rFonts w:hint="eastAsia" w:ascii="Times New Roman"/>
                <w:sz w:val="15"/>
                <w:szCs w:val="15"/>
                <w:lang w:val="en-US"/>
              </w:rPr>
              <w:t xml:space="preserve">源回采率的，由煤炭管理部门责令限期改正；逾 </w:t>
            </w:r>
          </w:p>
          <w:p>
            <w:pPr>
              <w:pStyle w:val="9"/>
              <w:jc w:val="both"/>
              <w:rPr>
                <w:rFonts w:ascii="Times New Roman"/>
                <w:sz w:val="15"/>
                <w:szCs w:val="15"/>
              </w:rPr>
            </w:pPr>
            <w:r>
              <w:rPr>
                <w:rFonts w:hint="eastAsia" w:ascii="Times New Roman"/>
                <w:sz w:val="15"/>
                <w:szCs w:val="15"/>
                <w:lang w:val="en-US"/>
              </w:rPr>
              <w:t>期仍达不到规定的回采率的，责令停止生产。</w:t>
            </w:r>
          </w:p>
          <w:p>
            <w:pPr>
              <w:pStyle w:val="9"/>
              <w:jc w:val="both"/>
              <w:rPr>
                <w:rFonts w:ascii="Times New Roman"/>
                <w:sz w:val="15"/>
                <w:szCs w:val="15"/>
              </w:rPr>
            </w:pPr>
          </w:p>
        </w:tc>
        <w:tc>
          <w:tcPr>
            <w:tcW w:w="432" w:type="dxa"/>
            <w:vAlign w:val="center"/>
          </w:tcPr>
          <w:p>
            <w:pPr>
              <w:pStyle w:val="9"/>
              <w:jc w:val="both"/>
              <w:rPr>
                <w:rFonts w:ascii="Times New Roman"/>
                <w:sz w:val="15"/>
                <w:szCs w:val="15"/>
              </w:rPr>
            </w:pPr>
            <w:r>
              <w:rPr>
                <w:rFonts w:ascii="Times New Roman"/>
                <w:sz w:val="15"/>
                <w:szCs w:val="15"/>
                <w:lang w:val="en-US"/>
              </w:rPr>
              <w:t>煤矿</w:t>
            </w:r>
          </w:p>
          <w:p>
            <w:pPr>
              <w:pStyle w:val="9"/>
              <w:jc w:val="both"/>
              <w:rPr>
                <w:rFonts w:ascii="Times New Roman"/>
                <w:sz w:val="15"/>
                <w:szCs w:val="15"/>
              </w:rPr>
            </w:pPr>
            <w:r>
              <w:rPr>
                <w:rFonts w:hint="eastAsia" w:ascii="Times New Roman"/>
                <w:sz w:val="15"/>
                <w:szCs w:val="15"/>
                <w:lang w:val="en-US"/>
              </w:rPr>
              <w:t>企业</w:t>
            </w:r>
          </w:p>
          <w:p>
            <w:pPr>
              <w:pStyle w:val="9"/>
              <w:jc w:val="both"/>
              <w:rPr>
                <w:rFonts w:ascii="Times New Roman"/>
                <w:sz w:val="15"/>
                <w:szCs w:val="15"/>
              </w:rPr>
            </w:pPr>
          </w:p>
        </w:tc>
        <w:tc>
          <w:tcPr>
            <w:tcW w:w="886" w:type="dxa"/>
            <w:vAlign w:val="center"/>
          </w:tcPr>
          <w:p>
            <w:pPr>
              <w:pStyle w:val="9"/>
              <w:jc w:val="both"/>
              <w:rPr>
                <w:rFonts w:ascii="Times New Roman"/>
                <w:sz w:val="15"/>
                <w:szCs w:val="15"/>
                <w:lang w:val="en-US"/>
              </w:rPr>
            </w:pPr>
            <w:r>
              <w:rPr>
                <w:rFonts w:hint="eastAsia" w:ascii="Times New Roman"/>
                <w:sz w:val="15"/>
                <w:szCs w:val="15"/>
                <w:lang w:val="en-US"/>
              </w:rPr>
              <w:t>安全科3311262</w:t>
            </w:r>
          </w:p>
        </w:tc>
        <w:tc>
          <w:tcPr>
            <w:tcW w:w="857" w:type="dxa"/>
            <w:vAlign w:val="center"/>
          </w:tcPr>
          <w:p>
            <w:pPr>
              <w:pStyle w:val="9"/>
              <w:jc w:val="both"/>
              <w:rPr>
                <w:rFonts w:ascii="Times New Roman"/>
                <w:sz w:val="15"/>
                <w:szCs w:val="15"/>
              </w:rPr>
            </w:pPr>
            <w:r>
              <w:rPr>
                <w:rFonts w:ascii="Times New Roman"/>
                <w:sz w:val="15"/>
                <w:szCs w:val="15"/>
              </w:rPr>
              <w:t>无</w:t>
            </w:r>
          </w:p>
        </w:tc>
        <w:tc>
          <w:tcPr>
            <w:tcW w:w="391" w:type="dxa"/>
            <w:vAlign w:val="center"/>
          </w:tcPr>
          <w:p>
            <w:pPr>
              <w:pStyle w:val="9"/>
              <w:jc w:val="both"/>
              <w:rPr>
                <w:rFonts w:ascii="Times New Roman"/>
                <w:sz w:val="15"/>
                <w:szCs w:val="15"/>
                <w:lang w:val="en-US"/>
              </w:rPr>
            </w:pPr>
            <w:r>
              <w:rPr>
                <w:rFonts w:hint="eastAsia" w:ascii="Times New Roman"/>
                <w:sz w:val="15"/>
                <w:szCs w:val="15"/>
                <w:lang w:val="en-US"/>
              </w:rPr>
              <w:t>米东区发改委（工信局）</w:t>
            </w:r>
          </w:p>
          <w:p>
            <w:pPr>
              <w:pStyle w:val="9"/>
              <w:jc w:val="both"/>
              <w:rPr>
                <w:rFonts w:ascii="Times New Roman"/>
                <w:sz w:val="15"/>
                <w:szCs w:val="15"/>
                <w:lang w:val="en-US"/>
              </w:rPr>
            </w:pPr>
          </w:p>
        </w:tc>
        <w:tc>
          <w:tcPr>
            <w:tcW w:w="3497" w:type="dxa"/>
            <w:vAlign w:val="center"/>
          </w:tcPr>
          <w:p>
            <w:pPr>
              <w:pStyle w:val="9"/>
              <w:jc w:val="both"/>
              <w:rPr>
                <w:rFonts w:ascii="Times New Roman"/>
                <w:sz w:val="15"/>
                <w:szCs w:val="15"/>
                <w:lang w:val="en-US"/>
              </w:rPr>
            </w:pPr>
            <w:r>
              <w:rPr>
                <w:rFonts w:hint="eastAsia" w:ascii="Times New Roman"/>
                <w:sz w:val="15"/>
                <w:szCs w:val="15"/>
                <w:lang w:val="en-US"/>
              </w:rPr>
              <w:t xml:space="preserve">1.立案责任：按照立案条件在规定期限内进行审查 </w:t>
            </w:r>
          </w:p>
          <w:p>
            <w:pPr>
              <w:pStyle w:val="9"/>
              <w:jc w:val="both"/>
              <w:rPr>
                <w:rFonts w:ascii="Times New Roman"/>
                <w:sz w:val="15"/>
                <w:szCs w:val="15"/>
                <w:lang w:val="en-US"/>
              </w:rPr>
            </w:pPr>
            <w:r>
              <w:rPr>
                <w:rFonts w:hint="eastAsia" w:ascii="Times New Roman"/>
                <w:sz w:val="15"/>
                <w:szCs w:val="15"/>
                <w:lang w:val="en-US"/>
              </w:rPr>
              <w:t xml:space="preserve">并决定是否立案（不予立案应当告知理由）；对 </w:t>
            </w:r>
          </w:p>
          <w:p>
            <w:pPr>
              <w:pStyle w:val="9"/>
              <w:jc w:val="both"/>
              <w:rPr>
                <w:rFonts w:ascii="Times New Roman"/>
                <w:sz w:val="15"/>
                <w:szCs w:val="15"/>
                <w:lang w:val="en-US"/>
              </w:rPr>
            </w:pPr>
            <w:r>
              <w:rPr>
                <w:rFonts w:hint="eastAsia" w:ascii="Times New Roman"/>
                <w:sz w:val="15"/>
                <w:szCs w:val="15"/>
                <w:lang w:val="en-US"/>
              </w:rPr>
              <w:t xml:space="preserve">需要补充材料的，应当场一次性告知。 </w:t>
            </w:r>
          </w:p>
          <w:p>
            <w:pPr>
              <w:pStyle w:val="9"/>
              <w:jc w:val="both"/>
              <w:rPr>
                <w:rFonts w:ascii="Times New Roman"/>
                <w:sz w:val="15"/>
                <w:szCs w:val="15"/>
                <w:lang w:val="en-US"/>
              </w:rPr>
            </w:pPr>
            <w:r>
              <w:rPr>
                <w:rFonts w:ascii="Times New Roman"/>
                <w:sz w:val="15"/>
                <w:szCs w:val="15"/>
                <w:lang w:val="en-US"/>
              </w:rPr>
              <w:t>2.</w:t>
            </w:r>
            <w:r>
              <w:rPr>
                <w:rFonts w:hint="eastAsia" w:ascii="Times New Roman"/>
                <w:sz w:val="15"/>
                <w:szCs w:val="15"/>
                <w:lang w:val="en-US"/>
              </w:rPr>
              <w:t xml:space="preserve">调查责任：对违法违规行为进行调查，依法收集 </w:t>
            </w:r>
          </w:p>
          <w:p>
            <w:pPr>
              <w:pStyle w:val="9"/>
              <w:jc w:val="both"/>
              <w:rPr>
                <w:rFonts w:ascii="Times New Roman"/>
                <w:sz w:val="15"/>
                <w:szCs w:val="15"/>
                <w:lang w:val="en-US"/>
              </w:rPr>
            </w:pPr>
            <w:r>
              <w:rPr>
                <w:rFonts w:hint="eastAsia" w:ascii="Times New Roman"/>
                <w:sz w:val="15"/>
                <w:szCs w:val="15"/>
                <w:lang w:val="en-US"/>
              </w:rPr>
              <w:t xml:space="preserve">整理证据材料；执法人员不得少于两人，调查时 </w:t>
            </w:r>
          </w:p>
          <w:p>
            <w:pPr>
              <w:pStyle w:val="9"/>
              <w:jc w:val="both"/>
              <w:rPr>
                <w:rFonts w:ascii="Times New Roman"/>
                <w:sz w:val="15"/>
                <w:szCs w:val="15"/>
                <w:lang w:val="en-US"/>
              </w:rPr>
            </w:pPr>
            <w:r>
              <w:rPr>
                <w:rFonts w:hint="eastAsia" w:ascii="Times New Roman"/>
                <w:sz w:val="15"/>
                <w:szCs w:val="15"/>
                <w:lang w:val="en-US"/>
              </w:rPr>
              <w:t xml:space="preserve">应出示执法身份证件，允许当事人陈述申辩，并 </w:t>
            </w:r>
          </w:p>
          <w:p>
            <w:pPr>
              <w:pStyle w:val="9"/>
              <w:jc w:val="both"/>
              <w:rPr>
                <w:rFonts w:ascii="Times New Roman"/>
                <w:sz w:val="15"/>
                <w:szCs w:val="15"/>
                <w:lang w:val="en-US"/>
              </w:rPr>
            </w:pPr>
            <w:r>
              <w:rPr>
                <w:rFonts w:hint="eastAsia" w:ascii="Times New Roman"/>
                <w:sz w:val="15"/>
                <w:szCs w:val="15"/>
                <w:lang w:val="en-US"/>
              </w:rPr>
              <w:t xml:space="preserve">严格执行监察回避制度。 </w:t>
            </w:r>
          </w:p>
          <w:p>
            <w:pPr>
              <w:pStyle w:val="9"/>
              <w:jc w:val="both"/>
              <w:rPr>
                <w:rFonts w:ascii="Times New Roman"/>
                <w:sz w:val="15"/>
                <w:szCs w:val="15"/>
                <w:lang w:val="en-US"/>
              </w:rPr>
            </w:pPr>
            <w:r>
              <w:rPr>
                <w:rFonts w:ascii="Times New Roman"/>
                <w:sz w:val="15"/>
                <w:szCs w:val="15"/>
                <w:lang w:val="en-US"/>
              </w:rPr>
              <w:t>3.</w:t>
            </w:r>
            <w:r>
              <w:rPr>
                <w:rFonts w:hint="eastAsia" w:ascii="Times New Roman"/>
                <w:sz w:val="15"/>
                <w:szCs w:val="15"/>
                <w:lang w:val="en-US"/>
              </w:rPr>
              <w:t xml:space="preserve">审查责任：应当对案件违法事实、证据、调查取 </w:t>
            </w:r>
          </w:p>
          <w:p>
            <w:pPr>
              <w:pStyle w:val="9"/>
              <w:jc w:val="both"/>
              <w:rPr>
                <w:rFonts w:ascii="Times New Roman"/>
                <w:sz w:val="15"/>
                <w:szCs w:val="15"/>
                <w:lang w:val="en-US"/>
              </w:rPr>
            </w:pPr>
            <w:r>
              <w:rPr>
                <w:rFonts w:hint="eastAsia" w:ascii="Times New Roman"/>
                <w:sz w:val="15"/>
                <w:szCs w:val="15"/>
                <w:lang w:val="en-US"/>
              </w:rPr>
              <w:t xml:space="preserve">证程序、法律适用、处罚种类和幅度以及当事人 </w:t>
            </w:r>
          </w:p>
          <w:p>
            <w:pPr>
              <w:pStyle w:val="9"/>
              <w:jc w:val="both"/>
              <w:rPr>
                <w:rFonts w:ascii="Times New Roman"/>
                <w:sz w:val="15"/>
                <w:szCs w:val="15"/>
                <w:lang w:val="en-US"/>
              </w:rPr>
            </w:pPr>
            <w:r>
              <w:rPr>
                <w:rFonts w:hint="eastAsia" w:ascii="Times New Roman"/>
                <w:sz w:val="15"/>
                <w:szCs w:val="15"/>
                <w:lang w:val="en-US"/>
              </w:rPr>
              <w:t xml:space="preserve">陈述申辩理由等方面进行审查，并提出处理意见 </w:t>
            </w:r>
          </w:p>
          <w:p>
            <w:pPr>
              <w:pStyle w:val="9"/>
              <w:jc w:val="both"/>
              <w:rPr>
                <w:rFonts w:ascii="Times New Roman"/>
                <w:sz w:val="15"/>
                <w:szCs w:val="15"/>
                <w:lang w:val="en-US"/>
              </w:rPr>
            </w:pPr>
            <w:r>
              <w:rPr>
                <w:rFonts w:hint="eastAsia" w:ascii="Times New Roman"/>
                <w:sz w:val="15"/>
                <w:szCs w:val="15"/>
                <w:lang w:val="en-US"/>
              </w:rPr>
              <w:t xml:space="preserve">。对情节复杂或者重大违法行为给予较重的行政 </w:t>
            </w:r>
          </w:p>
          <w:p>
            <w:pPr>
              <w:pStyle w:val="9"/>
              <w:jc w:val="both"/>
              <w:rPr>
                <w:rFonts w:ascii="Times New Roman"/>
                <w:sz w:val="15"/>
                <w:szCs w:val="15"/>
                <w:lang w:val="en-US"/>
              </w:rPr>
            </w:pPr>
            <w:r>
              <w:rPr>
                <w:rFonts w:hint="eastAsia" w:ascii="Times New Roman"/>
                <w:sz w:val="15"/>
                <w:szCs w:val="15"/>
                <w:lang w:val="en-US"/>
              </w:rPr>
              <w:t xml:space="preserve">处罚，由米东区发改委（工信局）党组会研究 </w:t>
            </w:r>
          </w:p>
          <w:p>
            <w:pPr>
              <w:pStyle w:val="9"/>
              <w:jc w:val="both"/>
              <w:rPr>
                <w:rFonts w:ascii="Times New Roman"/>
                <w:sz w:val="15"/>
                <w:szCs w:val="15"/>
                <w:lang w:val="en-US"/>
              </w:rPr>
            </w:pPr>
            <w:r>
              <w:rPr>
                <w:rFonts w:hint="eastAsia" w:ascii="Times New Roman"/>
                <w:sz w:val="15"/>
                <w:szCs w:val="15"/>
                <w:lang w:val="en-US"/>
              </w:rPr>
              <w:t xml:space="preserve">提出审查意见。 </w:t>
            </w:r>
          </w:p>
          <w:p>
            <w:pPr>
              <w:pStyle w:val="9"/>
              <w:jc w:val="both"/>
              <w:rPr>
                <w:rFonts w:ascii="Times New Roman"/>
                <w:sz w:val="15"/>
                <w:szCs w:val="15"/>
                <w:lang w:val="en-US"/>
              </w:rPr>
            </w:pPr>
            <w:r>
              <w:rPr>
                <w:rFonts w:ascii="Times New Roman"/>
                <w:sz w:val="15"/>
                <w:szCs w:val="15"/>
                <w:lang w:val="en-US"/>
              </w:rPr>
              <w:t>4.</w:t>
            </w:r>
            <w:r>
              <w:rPr>
                <w:rFonts w:hint="eastAsia" w:ascii="Times New Roman"/>
                <w:sz w:val="15"/>
                <w:szCs w:val="15"/>
                <w:lang w:val="en-US"/>
              </w:rPr>
              <w:t xml:space="preserve">告知责任：在做出行政处罚决定前，应书面告知 </w:t>
            </w:r>
          </w:p>
          <w:p>
            <w:pPr>
              <w:pStyle w:val="9"/>
              <w:jc w:val="both"/>
              <w:rPr>
                <w:rFonts w:ascii="Times New Roman"/>
                <w:sz w:val="15"/>
                <w:szCs w:val="15"/>
                <w:lang w:val="en-US"/>
              </w:rPr>
            </w:pPr>
            <w:r>
              <w:rPr>
                <w:rFonts w:hint="eastAsia" w:ascii="Times New Roman"/>
                <w:sz w:val="15"/>
                <w:szCs w:val="15"/>
                <w:lang w:val="en-US"/>
              </w:rPr>
              <w:t xml:space="preserve">当事人违法事实及其享有的陈述、申辩、要求听 </w:t>
            </w:r>
          </w:p>
          <w:p>
            <w:pPr>
              <w:pStyle w:val="9"/>
              <w:jc w:val="both"/>
              <w:rPr>
                <w:rFonts w:ascii="Times New Roman"/>
                <w:sz w:val="15"/>
                <w:szCs w:val="15"/>
                <w:lang w:val="en-US"/>
              </w:rPr>
            </w:pPr>
            <w:r>
              <w:rPr>
                <w:rFonts w:hint="eastAsia" w:ascii="Times New Roman"/>
                <w:sz w:val="15"/>
                <w:szCs w:val="15"/>
                <w:lang w:val="en-US"/>
              </w:rPr>
              <w:t xml:space="preserve">证等权利。 </w:t>
            </w:r>
          </w:p>
          <w:p>
            <w:pPr>
              <w:pStyle w:val="9"/>
              <w:jc w:val="both"/>
              <w:rPr>
                <w:rFonts w:ascii="Times New Roman"/>
                <w:sz w:val="15"/>
                <w:szCs w:val="15"/>
                <w:lang w:val="en-US"/>
              </w:rPr>
            </w:pPr>
            <w:r>
              <w:rPr>
                <w:rFonts w:ascii="Times New Roman"/>
                <w:sz w:val="15"/>
                <w:szCs w:val="15"/>
                <w:lang w:val="en-US"/>
              </w:rPr>
              <w:t>5.</w:t>
            </w:r>
            <w:r>
              <w:rPr>
                <w:rFonts w:hint="eastAsia" w:ascii="Times New Roman"/>
                <w:sz w:val="15"/>
                <w:szCs w:val="15"/>
                <w:lang w:val="en-US"/>
              </w:rPr>
              <w:t xml:space="preserve">决定责任：决定给予行政处罚的，应制作《行政 </w:t>
            </w:r>
          </w:p>
          <w:p>
            <w:pPr>
              <w:pStyle w:val="9"/>
              <w:jc w:val="both"/>
              <w:rPr>
                <w:rFonts w:ascii="Times New Roman"/>
                <w:sz w:val="15"/>
                <w:szCs w:val="15"/>
                <w:lang w:val="en-US"/>
              </w:rPr>
            </w:pPr>
            <w:r>
              <w:rPr>
                <w:rFonts w:hint="eastAsia" w:ascii="Times New Roman"/>
                <w:sz w:val="15"/>
                <w:szCs w:val="15"/>
                <w:lang w:val="en-US"/>
              </w:rPr>
              <w:t xml:space="preserve">处罚决定书》，载明违法事实和证据、处罚依据 </w:t>
            </w:r>
          </w:p>
          <w:p>
            <w:pPr>
              <w:pStyle w:val="9"/>
              <w:jc w:val="both"/>
              <w:rPr>
                <w:rFonts w:ascii="Times New Roman"/>
                <w:sz w:val="15"/>
                <w:szCs w:val="15"/>
                <w:lang w:val="en-US"/>
              </w:rPr>
            </w:pPr>
            <w:r>
              <w:rPr>
                <w:rFonts w:hint="eastAsia" w:ascii="Times New Roman"/>
                <w:sz w:val="15"/>
                <w:szCs w:val="15"/>
                <w:lang w:val="en-US"/>
              </w:rPr>
              <w:t xml:space="preserve">和内容、申请行政复议或提起行政诉讼的途径和 </w:t>
            </w:r>
          </w:p>
          <w:p>
            <w:pPr>
              <w:pStyle w:val="9"/>
              <w:jc w:val="both"/>
              <w:rPr>
                <w:rFonts w:ascii="Times New Roman"/>
                <w:sz w:val="15"/>
                <w:szCs w:val="15"/>
                <w:lang w:val="en-US"/>
              </w:rPr>
            </w:pPr>
            <w:r>
              <w:rPr>
                <w:rFonts w:hint="eastAsia" w:ascii="Times New Roman"/>
                <w:sz w:val="15"/>
                <w:szCs w:val="15"/>
                <w:lang w:val="en-US"/>
              </w:rPr>
              <w:t xml:space="preserve">期限等。 </w:t>
            </w:r>
          </w:p>
          <w:p>
            <w:pPr>
              <w:pStyle w:val="9"/>
              <w:jc w:val="both"/>
              <w:rPr>
                <w:rFonts w:ascii="Times New Roman"/>
                <w:sz w:val="15"/>
                <w:szCs w:val="15"/>
                <w:lang w:val="en-US"/>
              </w:rPr>
            </w:pPr>
            <w:r>
              <w:rPr>
                <w:rFonts w:ascii="Times New Roman"/>
                <w:sz w:val="15"/>
                <w:szCs w:val="15"/>
                <w:lang w:val="en-US"/>
              </w:rPr>
              <w:t>6.</w:t>
            </w:r>
            <w:r>
              <w:rPr>
                <w:rFonts w:hint="eastAsia" w:ascii="Times New Roman"/>
                <w:sz w:val="15"/>
                <w:szCs w:val="15"/>
                <w:lang w:val="en-US"/>
              </w:rPr>
              <w:t xml:space="preserve">送达责任：《行政处罚决定书》应在规定期限内 </w:t>
            </w:r>
          </w:p>
          <w:p>
            <w:pPr>
              <w:pStyle w:val="9"/>
              <w:jc w:val="both"/>
              <w:rPr>
                <w:rFonts w:ascii="Times New Roman"/>
                <w:sz w:val="15"/>
                <w:szCs w:val="15"/>
                <w:lang w:val="en-US"/>
              </w:rPr>
            </w:pPr>
            <w:r>
              <w:rPr>
                <w:rFonts w:hint="eastAsia" w:ascii="Times New Roman"/>
                <w:sz w:val="15"/>
                <w:szCs w:val="15"/>
                <w:lang w:val="en-US"/>
              </w:rPr>
              <w:t xml:space="preserve">依法送达当事人。 </w:t>
            </w:r>
          </w:p>
          <w:p>
            <w:pPr>
              <w:pStyle w:val="9"/>
              <w:jc w:val="both"/>
              <w:rPr>
                <w:rFonts w:ascii="Times New Roman"/>
                <w:sz w:val="15"/>
                <w:szCs w:val="15"/>
                <w:lang w:val="en-US"/>
              </w:rPr>
            </w:pPr>
            <w:r>
              <w:rPr>
                <w:rFonts w:ascii="Times New Roman"/>
                <w:sz w:val="15"/>
                <w:szCs w:val="15"/>
                <w:lang w:val="en-US"/>
              </w:rPr>
              <w:t>7.</w:t>
            </w:r>
            <w:r>
              <w:rPr>
                <w:rFonts w:hint="eastAsia" w:ascii="Times New Roman"/>
                <w:sz w:val="15"/>
                <w:szCs w:val="15"/>
                <w:lang w:val="en-US"/>
              </w:rPr>
              <w:t xml:space="preserve">执行责任：监督当事人在规定的期限内履行生效 </w:t>
            </w:r>
          </w:p>
          <w:p>
            <w:pPr>
              <w:pStyle w:val="9"/>
              <w:jc w:val="both"/>
              <w:rPr>
                <w:rFonts w:ascii="Times New Roman"/>
                <w:sz w:val="15"/>
                <w:szCs w:val="15"/>
                <w:lang w:val="en-US"/>
              </w:rPr>
            </w:pPr>
            <w:r>
              <w:rPr>
                <w:rFonts w:hint="eastAsia" w:ascii="Times New Roman"/>
                <w:sz w:val="15"/>
                <w:szCs w:val="15"/>
                <w:lang w:val="en-US"/>
              </w:rPr>
              <w:t xml:space="preserve">的行政处罚决定。当事人在法定期限内既不申请 </w:t>
            </w:r>
          </w:p>
          <w:p>
            <w:pPr>
              <w:pStyle w:val="9"/>
              <w:jc w:val="both"/>
              <w:rPr>
                <w:rFonts w:ascii="Times New Roman"/>
                <w:sz w:val="15"/>
                <w:szCs w:val="15"/>
                <w:lang w:val="en-US"/>
              </w:rPr>
            </w:pPr>
            <w:r>
              <w:rPr>
                <w:rFonts w:hint="eastAsia" w:ascii="Times New Roman"/>
                <w:sz w:val="15"/>
                <w:szCs w:val="15"/>
                <w:lang w:val="en-US"/>
              </w:rPr>
              <w:t xml:space="preserve">行政复议或者提起行政诉讼，又不履行处罚决定 </w:t>
            </w:r>
          </w:p>
          <w:p>
            <w:pPr>
              <w:pStyle w:val="9"/>
              <w:jc w:val="both"/>
              <w:rPr>
                <w:rFonts w:ascii="Times New Roman"/>
                <w:sz w:val="15"/>
                <w:szCs w:val="15"/>
                <w:lang w:val="en-US"/>
              </w:rPr>
            </w:pPr>
            <w:r>
              <w:rPr>
                <w:rFonts w:hint="eastAsia" w:ascii="Times New Roman"/>
                <w:sz w:val="15"/>
                <w:szCs w:val="15"/>
                <w:lang w:val="en-US"/>
              </w:rPr>
              <w:t xml:space="preserve">的，可依法向人民法院申请强制执行等措施。 </w:t>
            </w:r>
          </w:p>
          <w:p>
            <w:pPr>
              <w:pStyle w:val="9"/>
              <w:jc w:val="both"/>
              <w:rPr>
                <w:rFonts w:ascii="Times New Roman"/>
                <w:sz w:val="15"/>
                <w:szCs w:val="15"/>
                <w:lang w:val="en-US"/>
              </w:rPr>
            </w:pPr>
            <w:r>
              <w:rPr>
                <w:rFonts w:ascii="Times New Roman"/>
                <w:sz w:val="15"/>
                <w:szCs w:val="15"/>
                <w:lang w:val="en-US"/>
              </w:rPr>
              <w:t>8.</w:t>
            </w:r>
            <w:r>
              <w:rPr>
                <w:rFonts w:hint="eastAsia" w:ascii="Times New Roman"/>
                <w:sz w:val="15"/>
                <w:szCs w:val="15"/>
                <w:lang w:val="en-US"/>
              </w:rPr>
              <w:t>其他法律法规政策规定应履行的责任。</w:t>
            </w:r>
          </w:p>
          <w:p>
            <w:pPr>
              <w:pStyle w:val="9"/>
              <w:jc w:val="both"/>
              <w:rPr>
                <w:rFonts w:ascii="Times New Roman"/>
                <w:sz w:val="15"/>
                <w:szCs w:val="15"/>
                <w:lang w:val="en-US"/>
              </w:rPr>
            </w:pPr>
          </w:p>
        </w:tc>
        <w:tc>
          <w:tcPr>
            <w:tcW w:w="3430" w:type="dxa"/>
            <w:vAlign w:val="center"/>
          </w:tcPr>
          <w:p>
            <w:pPr>
              <w:pStyle w:val="9"/>
              <w:jc w:val="both"/>
              <w:rPr>
                <w:rFonts w:ascii="Times New Roman"/>
                <w:sz w:val="15"/>
                <w:szCs w:val="15"/>
              </w:rPr>
            </w:pPr>
            <w:r>
              <w:rPr>
                <w:rFonts w:ascii="Times New Roman"/>
                <w:sz w:val="15"/>
                <w:szCs w:val="15"/>
                <w:lang w:val="en-US"/>
              </w:rPr>
              <w:t xml:space="preserve">行政主管部门及其工作人员有下列行为之一 </w:t>
            </w:r>
          </w:p>
          <w:p>
            <w:pPr>
              <w:pStyle w:val="9"/>
              <w:jc w:val="both"/>
              <w:rPr>
                <w:rFonts w:ascii="Times New Roman"/>
                <w:sz w:val="15"/>
                <w:szCs w:val="15"/>
              </w:rPr>
            </w:pPr>
            <w:r>
              <w:rPr>
                <w:rFonts w:hint="eastAsia" w:ascii="Times New Roman"/>
                <w:sz w:val="15"/>
                <w:szCs w:val="15"/>
                <w:lang w:val="en-US"/>
              </w:rPr>
              <w:t xml:space="preserve">的，对直接负责的主管人员和其他直接责任人 </w:t>
            </w:r>
          </w:p>
          <w:p>
            <w:pPr>
              <w:pStyle w:val="9"/>
              <w:jc w:val="both"/>
              <w:rPr>
                <w:rFonts w:ascii="Times New Roman"/>
                <w:sz w:val="15"/>
                <w:szCs w:val="15"/>
              </w:rPr>
            </w:pPr>
            <w:r>
              <w:rPr>
                <w:rFonts w:hint="eastAsia" w:ascii="Times New Roman"/>
                <w:sz w:val="15"/>
                <w:szCs w:val="15"/>
                <w:lang w:val="en-US"/>
              </w:rPr>
              <w:t xml:space="preserve">员，依法给予处分；构成犯罪的，依法追究刑 </w:t>
            </w:r>
          </w:p>
          <w:p>
            <w:pPr>
              <w:pStyle w:val="9"/>
              <w:jc w:val="both"/>
              <w:rPr>
                <w:rFonts w:ascii="Times New Roman"/>
                <w:sz w:val="15"/>
                <w:szCs w:val="15"/>
              </w:rPr>
            </w:pPr>
            <w:r>
              <w:rPr>
                <w:rFonts w:hint="eastAsia" w:ascii="Times New Roman"/>
                <w:sz w:val="15"/>
                <w:szCs w:val="15"/>
                <w:lang w:val="en-US"/>
              </w:rPr>
              <w:t xml:space="preserve">事责任： </w:t>
            </w:r>
          </w:p>
          <w:p>
            <w:pPr>
              <w:pStyle w:val="9"/>
              <w:jc w:val="both"/>
              <w:rPr>
                <w:rFonts w:ascii="Times New Roman"/>
                <w:sz w:val="15"/>
                <w:szCs w:val="15"/>
              </w:rPr>
            </w:pPr>
            <w:r>
              <w:rPr>
                <w:rFonts w:ascii="Times New Roman"/>
                <w:sz w:val="15"/>
                <w:szCs w:val="15"/>
                <w:lang w:val="en-US"/>
              </w:rPr>
              <w:t>1.</w:t>
            </w:r>
            <w:r>
              <w:rPr>
                <w:rFonts w:hint="eastAsia" w:ascii="Times New Roman"/>
                <w:sz w:val="15"/>
                <w:szCs w:val="15"/>
                <w:lang w:val="en-US"/>
              </w:rPr>
              <w:t xml:space="preserve">执法人员玩忽职守，对应当予以制止和处罚的 </w:t>
            </w:r>
          </w:p>
          <w:p>
            <w:pPr>
              <w:pStyle w:val="9"/>
              <w:jc w:val="both"/>
              <w:rPr>
                <w:rFonts w:ascii="Times New Roman"/>
                <w:sz w:val="15"/>
                <w:szCs w:val="15"/>
              </w:rPr>
            </w:pPr>
            <w:r>
              <w:rPr>
                <w:rFonts w:hint="eastAsia" w:ascii="Times New Roman"/>
                <w:sz w:val="15"/>
                <w:szCs w:val="15"/>
                <w:lang w:val="en-US"/>
              </w:rPr>
              <w:t xml:space="preserve">违法行为不予制止、处罚，致使国家资源遭受 </w:t>
            </w:r>
          </w:p>
          <w:p>
            <w:pPr>
              <w:pStyle w:val="9"/>
              <w:jc w:val="both"/>
              <w:rPr>
                <w:rFonts w:ascii="Times New Roman"/>
                <w:sz w:val="15"/>
                <w:szCs w:val="15"/>
              </w:rPr>
            </w:pPr>
            <w:r>
              <w:rPr>
                <w:rFonts w:hint="eastAsia" w:ascii="Times New Roman"/>
                <w:sz w:val="15"/>
                <w:szCs w:val="15"/>
                <w:lang w:val="en-US"/>
              </w:rPr>
              <w:t xml:space="preserve">损害的； </w:t>
            </w:r>
          </w:p>
          <w:p>
            <w:pPr>
              <w:pStyle w:val="9"/>
              <w:jc w:val="both"/>
              <w:rPr>
                <w:rFonts w:ascii="Times New Roman"/>
                <w:sz w:val="15"/>
                <w:szCs w:val="15"/>
              </w:rPr>
            </w:pPr>
            <w:r>
              <w:rPr>
                <w:rFonts w:ascii="Times New Roman"/>
                <w:sz w:val="15"/>
                <w:szCs w:val="15"/>
                <w:lang w:val="en-US"/>
              </w:rPr>
              <w:t>2.</w:t>
            </w:r>
            <w:r>
              <w:rPr>
                <w:rFonts w:hint="eastAsia" w:ascii="Times New Roman"/>
                <w:sz w:val="15"/>
                <w:szCs w:val="15"/>
                <w:lang w:val="en-US"/>
              </w:rPr>
              <w:t xml:space="preserve">不依法受理举报、投诉或者受理后未在法定期 </w:t>
            </w:r>
          </w:p>
          <w:p>
            <w:pPr>
              <w:pStyle w:val="9"/>
              <w:jc w:val="both"/>
              <w:rPr>
                <w:rFonts w:ascii="Times New Roman"/>
                <w:sz w:val="15"/>
                <w:szCs w:val="15"/>
              </w:rPr>
            </w:pPr>
            <w:r>
              <w:rPr>
                <w:rFonts w:hint="eastAsia" w:ascii="Times New Roman"/>
                <w:sz w:val="15"/>
                <w:szCs w:val="15"/>
                <w:lang w:val="en-US"/>
              </w:rPr>
              <w:t xml:space="preserve">限内处理的； </w:t>
            </w:r>
          </w:p>
          <w:p>
            <w:pPr>
              <w:pStyle w:val="9"/>
              <w:jc w:val="both"/>
              <w:rPr>
                <w:rFonts w:ascii="Times New Roman"/>
                <w:sz w:val="15"/>
                <w:szCs w:val="15"/>
              </w:rPr>
            </w:pPr>
            <w:r>
              <w:rPr>
                <w:rFonts w:ascii="Times New Roman"/>
                <w:sz w:val="15"/>
                <w:szCs w:val="15"/>
                <w:lang w:val="en-US"/>
              </w:rPr>
              <w:t>3.</w:t>
            </w:r>
            <w:r>
              <w:rPr>
                <w:rFonts w:hint="eastAsia" w:ascii="Times New Roman"/>
                <w:sz w:val="15"/>
                <w:szCs w:val="15"/>
                <w:lang w:val="en-US"/>
              </w:rPr>
              <w:t xml:space="preserve">对符合立案条件而不予立案的； </w:t>
            </w:r>
          </w:p>
          <w:p>
            <w:pPr>
              <w:pStyle w:val="9"/>
              <w:jc w:val="both"/>
              <w:rPr>
                <w:rFonts w:ascii="Times New Roman"/>
                <w:sz w:val="15"/>
                <w:szCs w:val="15"/>
              </w:rPr>
            </w:pPr>
            <w:r>
              <w:rPr>
                <w:rFonts w:ascii="Times New Roman"/>
                <w:sz w:val="15"/>
                <w:szCs w:val="15"/>
                <w:lang w:val="en-US"/>
              </w:rPr>
              <w:t>4.</w:t>
            </w:r>
            <w:r>
              <w:rPr>
                <w:rFonts w:hint="eastAsia" w:ascii="Times New Roman"/>
                <w:sz w:val="15"/>
                <w:szCs w:val="15"/>
                <w:lang w:val="en-US"/>
              </w:rPr>
              <w:t xml:space="preserve">对不符合立案条件而立案调查的； </w:t>
            </w:r>
          </w:p>
          <w:p>
            <w:pPr>
              <w:pStyle w:val="9"/>
              <w:jc w:val="both"/>
              <w:rPr>
                <w:rFonts w:ascii="Times New Roman"/>
                <w:sz w:val="15"/>
                <w:szCs w:val="15"/>
              </w:rPr>
            </w:pPr>
            <w:r>
              <w:rPr>
                <w:rFonts w:ascii="Times New Roman"/>
                <w:sz w:val="15"/>
                <w:szCs w:val="15"/>
                <w:lang w:val="en-US"/>
              </w:rPr>
              <w:t>5</w:t>
            </w:r>
            <w:r>
              <w:rPr>
                <w:rFonts w:hint="eastAsia" w:ascii="Times New Roman"/>
                <w:sz w:val="15"/>
                <w:szCs w:val="15"/>
                <w:lang w:val="en-US"/>
              </w:rPr>
              <w:t xml:space="preserve">没有法定的行政处罚依据的； </w:t>
            </w:r>
          </w:p>
          <w:p>
            <w:pPr>
              <w:pStyle w:val="9"/>
              <w:jc w:val="both"/>
              <w:rPr>
                <w:rFonts w:ascii="Times New Roman"/>
                <w:sz w:val="15"/>
                <w:szCs w:val="15"/>
              </w:rPr>
            </w:pPr>
            <w:r>
              <w:rPr>
                <w:rFonts w:ascii="Times New Roman"/>
                <w:sz w:val="15"/>
                <w:szCs w:val="15"/>
                <w:lang w:val="en-US"/>
              </w:rPr>
              <w:t>6.</w:t>
            </w:r>
            <w:r>
              <w:rPr>
                <w:rFonts w:hint="eastAsia" w:ascii="Times New Roman"/>
                <w:sz w:val="15"/>
                <w:szCs w:val="15"/>
                <w:lang w:val="en-US"/>
              </w:rPr>
              <w:t xml:space="preserve">违反法定的行政处罚程序的； </w:t>
            </w:r>
          </w:p>
          <w:p>
            <w:pPr>
              <w:pStyle w:val="9"/>
              <w:jc w:val="both"/>
              <w:rPr>
                <w:rFonts w:ascii="Times New Roman"/>
                <w:sz w:val="15"/>
                <w:szCs w:val="15"/>
              </w:rPr>
            </w:pPr>
            <w:r>
              <w:rPr>
                <w:rFonts w:ascii="Times New Roman"/>
                <w:sz w:val="15"/>
                <w:szCs w:val="15"/>
                <w:lang w:val="en-US"/>
              </w:rPr>
              <w:t>7.</w:t>
            </w:r>
            <w:r>
              <w:rPr>
                <w:rFonts w:hint="eastAsia" w:ascii="Times New Roman"/>
                <w:sz w:val="15"/>
                <w:szCs w:val="15"/>
                <w:lang w:val="en-US"/>
              </w:rPr>
              <w:t xml:space="preserve">擅自改变行政处罚种类、幅度的； </w:t>
            </w:r>
          </w:p>
          <w:p>
            <w:pPr>
              <w:pStyle w:val="9"/>
              <w:jc w:val="both"/>
              <w:rPr>
                <w:rFonts w:ascii="Times New Roman"/>
                <w:sz w:val="15"/>
                <w:szCs w:val="15"/>
              </w:rPr>
            </w:pPr>
            <w:r>
              <w:rPr>
                <w:rFonts w:ascii="Times New Roman"/>
                <w:sz w:val="15"/>
                <w:szCs w:val="15"/>
                <w:lang w:val="en-US"/>
              </w:rPr>
              <w:t>8.</w:t>
            </w:r>
            <w:r>
              <w:rPr>
                <w:rFonts w:hint="eastAsia" w:ascii="Times New Roman"/>
                <w:sz w:val="15"/>
                <w:szCs w:val="15"/>
                <w:lang w:val="en-US"/>
              </w:rPr>
              <w:t xml:space="preserve">对当事人进行处罚不使用罚款、没收财物单据 </w:t>
            </w:r>
          </w:p>
          <w:p>
            <w:pPr>
              <w:pStyle w:val="9"/>
              <w:jc w:val="both"/>
              <w:rPr>
                <w:rFonts w:ascii="Times New Roman"/>
                <w:sz w:val="15"/>
                <w:szCs w:val="15"/>
              </w:rPr>
            </w:pPr>
            <w:r>
              <w:rPr>
                <w:rFonts w:hint="eastAsia" w:ascii="Times New Roman"/>
                <w:sz w:val="15"/>
                <w:szCs w:val="15"/>
                <w:lang w:val="en-US"/>
              </w:rPr>
              <w:t xml:space="preserve">或者使用非法定部门制发的罚款、没收财物单 </w:t>
            </w:r>
          </w:p>
          <w:p>
            <w:pPr>
              <w:pStyle w:val="9"/>
              <w:jc w:val="both"/>
              <w:rPr>
                <w:rFonts w:ascii="Times New Roman"/>
                <w:sz w:val="15"/>
                <w:szCs w:val="15"/>
              </w:rPr>
            </w:pPr>
            <w:r>
              <w:rPr>
                <w:rFonts w:hint="eastAsia" w:ascii="Times New Roman"/>
                <w:sz w:val="15"/>
                <w:szCs w:val="15"/>
                <w:lang w:val="en-US"/>
              </w:rPr>
              <w:t xml:space="preserve">据的； </w:t>
            </w:r>
          </w:p>
          <w:p>
            <w:pPr>
              <w:pStyle w:val="9"/>
              <w:jc w:val="both"/>
              <w:rPr>
                <w:rFonts w:ascii="Times New Roman"/>
                <w:sz w:val="15"/>
                <w:szCs w:val="15"/>
              </w:rPr>
            </w:pPr>
            <w:r>
              <w:rPr>
                <w:rFonts w:ascii="Times New Roman"/>
                <w:sz w:val="15"/>
                <w:szCs w:val="15"/>
                <w:lang w:val="en-US"/>
              </w:rPr>
              <w:t>9.</w:t>
            </w:r>
            <w:r>
              <w:rPr>
                <w:rFonts w:hint="eastAsia" w:ascii="Times New Roman"/>
                <w:sz w:val="15"/>
                <w:szCs w:val="15"/>
                <w:lang w:val="en-US"/>
              </w:rPr>
              <w:t xml:space="preserve">违反法律规定自行收缴罚款的； </w:t>
            </w:r>
          </w:p>
          <w:p>
            <w:pPr>
              <w:pStyle w:val="9"/>
              <w:jc w:val="both"/>
              <w:rPr>
                <w:rFonts w:ascii="Times New Roman"/>
                <w:sz w:val="15"/>
                <w:szCs w:val="15"/>
              </w:rPr>
            </w:pPr>
            <w:r>
              <w:rPr>
                <w:rFonts w:ascii="Times New Roman"/>
                <w:sz w:val="15"/>
                <w:szCs w:val="15"/>
                <w:lang w:val="en-US"/>
              </w:rPr>
              <w:t>10.</w:t>
            </w:r>
            <w:r>
              <w:rPr>
                <w:rFonts w:hint="eastAsia" w:ascii="Times New Roman"/>
                <w:sz w:val="15"/>
                <w:szCs w:val="15"/>
                <w:lang w:val="en-US"/>
              </w:rPr>
              <w:t xml:space="preserve">将罚款、没收的违法所得或者财物截留、私 </w:t>
            </w:r>
          </w:p>
          <w:p>
            <w:pPr>
              <w:pStyle w:val="9"/>
              <w:jc w:val="both"/>
              <w:rPr>
                <w:rFonts w:ascii="Times New Roman"/>
                <w:sz w:val="15"/>
                <w:szCs w:val="15"/>
              </w:rPr>
            </w:pPr>
            <w:r>
              <w:rPr>
                <w:rFonts w:hint="eastAsia" w:ascii="Times New Roman"/>
                <w:sz w:val="15"/>
                <w:szCs w:val="15"/>
                <w:lang w:val="en-US"/>
              </w:rPr>
              <w:t xml:space="preserve">分或者变相私分的； </w:t>
            </w:r>
          </w:p>
          <w:p>
            <w:pPr>
              <w:pStyle w:val="9"/>
              <w:jc w:val="both"/>
              <w:rPr>
                <w:rFonts w:ascii="Times New Roman"/>
                <w:sz w:val="15"/>
                <w:szCs w:val="15"/>
              </w:rPr>
            </w:pPr>
            <w:r>
              <w:rPr>
                <w:rFonts w:ascii="Times New Roman"/>
                <w:sz w:val="15"/>
                <w:szCs w:val="15"/>
                <w:lang w:val="en-US"/>
              </w:rPr>
              <w:t>11.</w:t>
            </w:r>
            <w:r>
              <w:rPr>
                <w:rFonts w:hint="eastAsia" w:ascii="Times New Roman"/>
                <w:sz w:val="15"/>
                <w:szCs w:val="15"/>
                <w:lang w:val="en-US"/>
              </w:rPr>
              <w:t xml:space="preserve">为牟取本单位私利，对应当移交司法机关追 </w:t>
            </w:r>
          </w:p>
          <w:p>
            <w:pPr>
              <w:pStyle w:val="9"/>
              <w:jc w:val="both"/>
              <w:rPr>
                <w:rFonts w:ascii="Times New Roman"/>
                <w:sz w:val="15"/>
                <w:szCs w:val="15"/>
              </w:rPr>
            </w:pPr>
            <w:r>
              <w:rPr>
                <w:rFonts w:hint="eastAsia" w:ascii="Times New Roman"/>
                <w:sz w:val="15"/>
                <w:szCs w:val="15"/>
                <w:lang w:val="en-US"/>
              </w:rPr>
              <w:t xml:space="preserve">究刑事责任的不移交，以行政处罚代替刑罚； </w:t>
            </w:r>
          </w:p>
          <w:p>
            <w:pPr>
              <w:pStyle w:val="9"/>
              <w:jc w:val="both"/>
              <w:rPr>
                <w:rFonts w:ascii="Times New Roman"/>
                <w:sz w:val="15"/>
                <w:szCs w:val="15"/>
              </w:rPr>
            </w:pPr>
            <w:r>
              <w:rPr>
                <w:rFonts w:ascii="Times New Roman"/>
                <w:sz w:val="15"/>
                <w:szCs w:val="15"/>
                <w:lang w:val="en-US"/>
              </w:rPr>
              <w:t>12.</w:t>
            </w:r>
            <w:r>
              <w:rPr>
                <w:rFonts w:hint="eastAsia" w:ascii="Times New Roman"/>
                <w:sz w:val="15"/>
                <w:szCs w:val="15"/>
                <w:lang w:val="en-US"/>
              </w:rPr>
              <w:t>其他法律、法规、规章、文件规定的行为。</w:t>
            </w:r>
          </w:p>
          <w:p>
            <w:pPr>
              <w:pStyle w:val="9"/>
              <w:jc w:val="both"/>
              <w:rPr>
                <w:rFonts w:ascii="Times New Roman"/>
                <w:sz w:val="15"/>
                <w:szCs w:val="15"/>
              </w:rPr>
            </w:pPr>
          </w:p>
        </w:tc>
      </w:tr>
    </w:tbl>
    <w:p>
      <w:pPr>
        <w:spacing w:line="206" w:lineRule="exact"/>
        <w:rPr>
          <w:sz w:val="14"/>
        </w:rPr>
        <w:sectPr>
          <w:headerReference r:id="rId3" w:type="default"/>
          <w:footerReference r:id="rId4" w:type="default"/>
          <w:pgSz w:w="16840" w:h="11910" w:orient="landscape"/>
          <w:pgMar w:top="1100" w:right="1040" w:bottom="280" w:left="1020" w:header="720" w:footer="720" w:gutter="0"/>
          <w:cols w:space="720" w:num="1"/>
        </w:sectPr>
      </w:pPr>
    </w:p>
    <w:p>
      <w:pPr>
        <w:pStyle w:val="2"/>
        <w:spacing w:before="2"/>
        <w:rPr>
          <w:rFonts w:ascii="Times New Roman"/>
          <w:sz w:val="16"/>
        </w:rPr>
      </w:pPr>
    </w:p>
    <w:tbl>
      <w:tblPr>
        <w:tblStyle w:val="5"/>
        <w:tblW w:w="14528"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608"/>
        <w:gridCol w:w="527"/>
        <w:gridCol w:w="3120"/>
        <w:gridCol w:w="432"/>
        <w:gridCol w:w="832"/>
        <w:gridCol w:w="911"/>
        <w:gridCol w:w="462"/>
        <w:gridCol w:w="3426"/>
        <w:gridCol w:w="34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vMerge w:val="restart"/>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444" w:type="dxa"/>
            <w:vMerge w:val="restart"/>
          </w:tcPr>
          <w:p>
            <w:pPr>
              <w:pStyle w:val="9"/>
              <w:spacing w:before="2"/>
              <w:rPr>
                <w:rFonts w:ascii="Times New Roman"/>
                <w:sz w:val="21"/>
              </w:rPr>
            </w:pPr>
          </w:p>
          <w:p>
            <w:pPr>
              <w:pStyle w:val="9"/>
              <w:spacing w:line="230" w:lineRule="auto"/>
              <w:ind w:left="44" w:right="13"/>
              <w:rPr>
                <w:rFonts w:ascii="黑体" w:eastAsia="黑体"/>
                <w:b/>
                <w:sz w:val="18"/>
              </w:rPr>
            </w:pPr>
            <w:r>
              <w:rPr>
                <w:rFonts w:hint="eastAsia" w:ascii="黑体" w:eastAsia="黑体"/>
                <w:b/>
                <w:sz w:val="18"/>
              </w:rPr>
              <w:t>职权编码</w:t>
            </w:r>
          </w:p>
        </w:tc>
        <w:tc>
          <w:tcPr>
            <w:tcW w:w="1135" w:type="dxa"/>
            <w:gridSpan w:val="2"/>
          </w:tcPr>
          <w:p>
            <w:pPr>
              <w:pStyle w:val="9"/>
              <w:spacing w:before="117"/>
              <w:ind w:left="205"/>
              <w:rPr>
                <w:rFonts w:ascii="黑体" w:eastAsia="黑体"/>
                <w:b/>
                <w:sz w:val="18"/>
              </w:rPr>
            </w:pPr>
            <w:r>
              <w:rPr>
                <w:rFonts w:hint="eastAsia" w:ascii="黑体" w:eastAsia="黑体"/>
                <w:b/>
                <w:sz w:val="18"/>
              </w:rPr>
              <w:t>职权名称</w:t>
            </w:r>
          </w:p>
        </w:tc>
        <w:tc>
          <w:tcPr>
            <w:tcW w:w="3120" w:type="dxa"/>
            <w:vMerge w:val="restart"/>
          </w:tcPr>
          <w:p>
            <w:pPr>
              <w:pStyle w:val="9"/>
              <w:rPr>
                <w:rFonts w:ascii="Times New Roman"/>
                <w:sz w:val="18"/>
              </w:rPr>
            </w:pPr>
          </w:p>
          <w:p>
            <w:pPr>
              <w:pStyle w:val="9"/>
              <w:spacing w:before="140"/>
              <w:ind w:left="1181" w:right="1156"/>
              <w:jc w:val="center"/>
              <w:rPr>
                <w:rFonts w:ascii="黑体" w:eastAsia="黑体"/>
                <w:b/>
                <w:sz w:val="18"/>
              </w:rPr>
            </w:pPr>
            <w:r>
              <w:rPr>
                <w:rFonts w:hint="eastAsia" w:ascii="黑体" w:eastAsia="黑体"/>
                <w:b/>
                <w:sz w:val="18"/>
              </w:rPr>
              <w:t>实施依据</w:t>
            </w:r>
          </w:p>
        </w:tc>
        <w:tc>
          <w:tcPr>
            <w:tcW w:w="432" w:type="dxa"/>
            <w:vMerge w:val="restart"/>
          </w:tcPr>
          <w:p>
            <w:pPr>
              <w:pStyle w:val="9"/>
              <w:spacing w:before="2"/>
              <w:rPr>
                <w:rFonts w:ascii="Times New Roman"/>
                <w:sz w:val="21"/>
              </w:rPr>
            </w:pPr>
          </w:p>
          <w:p>
            <w:pPr>
              <w:pStyle w:val="9"/>
              <w:spacing w:line="230" w:lineRule="auto"/>
              <w:ind w:left="38" w:right="7"/>
              <w:rPr>
                <w:rFonts w:ascii="黑体" w:eastAsia="黑体"/>
                <w:b/>
                <w:sz w:val="18"/>
              </w:rPr>
            </w:pPr>
            <w:r>
              <w:rPr>
                <w:rFonts w:hint="eastAsia" w:ascii="黑体" w:eastAsia="黑体"/>
                <w:b/>
                <w:sz w:val="18"/>
              </w:rPr>
              <w:t>实施对象</w:t>
            </w:r>
          </w:p>
        </w:tc>
        <w:tc>
          <w:tcPr>
            <w:tcW w:w="832" w:type="dxa"/>
            <w:vMerge w:val="restart"/>
          </w:tcPr>
          <w:p>
            <w:pPr>
              <w:pStyle w:val="9"/>
              <w:spacing w:before="129" w:line="232" w:lineRule="auto"/>
              <w:ind w:left="115" w:right="83"/>
              <w:jc w:val="both"/>
              <w:rPr>
                <w:rFonts w:ascii="黑体" w:eastAsia="黑体"/>
                <w:b/>
                <w:sz w:val="18"/>
              </w:rPr>
            </w:pPr>
            <w:r>
              <w:rPr>
                <w:rFonts w:hint="eastAsia" w:ascii="黑体" w:eastAsia="黑体"/>
                <w:b/>
                <w:sz w:val="18"/>
              </w:rPr>
              <w:t>承办机构及监督电话</w:t>
            </w:r>
          </w:p>
        </w:tc>
        <w:tc>
          <w:tcPr>
            <w:tcW w:w="911" w:type="dxa"/>
            <w:vMerge w:val="restart"/>
          </w:tcPr>
          <w:p>
            <w:pPr>
              <w:pStyle w:val="9"/>
              <w:spacing w:before="129" w:line="232" w:lineRule="auto"/>
              <w:ind w:left="91" w:right="60"/>
              <w:jc w:val="both"/>
              <w:rPr>
                <w:rFonts w:ascii="黑体" w:eastAsia="黑体"/>
                <w:b/>
                <w:sz w:val="18"/>
              </w:rPr>
            </w:pPr>
            <w:r>
              <w:rPr>
                <w:rFonts w:hint="eastAsia" w:ascii="黑体" w:eastAsia="黑体"/>
                <w:b/>
                <w:sz w:val="18"/>
              </w:rPr>
              <w:t>收费（征收）依据和标准</w:t>
            </w:r>
          </w:p>
        </w:tc>
        <w:tc>
          <w:tcPr>
            <w:tcW w:w="462" w:type="dxa"/>
            <w:vMerge w:val="restart"/>
          </w:tcPr>
          <w:p>
            <w:pPr>
              <w:pStyle w:val="9"/>
              <w:spacing w:before="2"/>
              <w:rPr>
                <w:rFonts w:ascii="Times New Roman"/>
                <w:sz w:val="21"/>
              </w:rPr>
            </w:pPr>
          </w:p>
          <w:p>
            <w:pPr>
              <w:pStyle w:val="9"/>
              <w:spacing w:line="230" w:lineRule="auto"/>
              <w:ind w:left="52" w:right="23"/>
              <w:rPr>
                <w:rFonts w:ascii="黑体" w:eastAsia="黑体"/>
                <w:b/>
                <w:sz w:val="18"/>
              </w:rPr>
            </w:pPr>
            <w:r>
              <w:rPr>
                <w:rFonts w:hint="eastAsia" w:ascii="黑体" w:eastAsia="黑体"/>
                <w:b/>
                <w:sz w:val="18"/>
              </w:rPr>
              <w:t>责任主体</w:t>
            </w:r>
          </w:p>
        </w:tc>
        <w:tc>
          <w:tcPr>
            <w:tcW w:w="3426" w:type="dxa"/>
            <w:vMerge w:val="restart"/>
          </w:tcPr>
          <w:p>
            <w:pPr>
              <w:pStyle w:val="9"/>
              <w:rPr>
                <w:rFonts w:ascii="Times New Roman"/>
                <w:sz w:val="18"/>
              </w:rPr>
            </w:pPr>
          </w:p>
          <w:p>
            <w:pPr>
              <w:pStyle w:val="9"/>
              <w:spacing w:before="140"/>
              <w:ind w:right="1343" w:firstLine="1265" w:firstLineChars="700"/>
              <w:jc w:val="both"/>
              <w:rPr>
                <w:rFonts w:ascii="黑体" w:eastAsia="黑体"/>
                <w:b/>
                <w:sz w:val="18"/>
              </w:rPr>
            </w:pPr>
            <w:r>
              <w:rPr>
                <w:rFonts w:hint="eastAsia" w:ascii="黑体" w:eastAsia="黑体"/>
                <w:b/>
                <w:sz w:val="18"/>
              </w:rPr>
              <w:t>责任事项</w:t>
            </w:r>
          </w:p>
        </w:tc>
        <w:tc>
          <w:tcPr>
            <w:tcW w:w="3430" w:type="dxa"/>
            <w:vMerge w:val="restart"/>
          </w:tcPr>
          <w:p>
            <w:pPr>
              <w:pStyle w:val="9"/>
              <w:rPr>
                <w:rFonts w:ascii="Times New Roman"/>
                <w:sz w:val="18"/>
              </w:rPr>
            </w:pPr>
          </w:p>
          <w:p>
            <w:pPr>
              <w:pStyle w:val="9"/>
              <w:spacing w:before="140"/>
              <w:ind w:left="1336" w:right="1310"/>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vMerge w:val="continue"/>
            <w:tcBorders>
              <w:top w:val="nil"/>
            </w:tcBorders>
          </w:tcPr>
          <w:p>
            <w:pPr>
              <w:rPr>
                <w:sz w:val="2"/>
                <w:szCs w:val="2"/>
              </w:rPr>
            </w:pPr>
          </w:p>
        </w:tc>
        <w:tc>
          <w:tcPr>
            <w:tcW w:w="444" w:type="dxa"/>
            <w:vMerge w:val="continue"/>
            <w:tcBorders>
              <w:top w:val="nil"/>
            </w:tcBorders>
          </w:tcPr>
          <w:p>
            <w:pPr>
              <w:rPr>
                <w:sz w:val="2"/>
                <w:szCs w:val="2"/>
              </w:rPr>
            </w:pPr>
          </w:p>
        </w:tc>
        <w:tc>
          <w:tcPr>
            <w:tcW w:w="608" w:type="dxa"/>
          </w:tcPr>
          <w:p>
            <w:pPr>
              <w:pStyle w:val="9"/>
              <w:spacing w:before="117"/>
              <w:ind w:left="85"/>
              <w:rPr>
                <w:rFonts w:ascii="黑体" w:eastAsia="黑体"/>
                <w:b/>
                <w:sz w:val="18"/>
              </w:rPr>
            </w:pPr>
            <w:r>
              <w:rPr>
                <w:rFonts w:hint="eastAsia" w:ascii="黑体" w:eastAsia="黑体"/>
                <w:b/>
                <w:sz w:val="18"/>
              </w:rPr>
              <w:t>项目</w:t>
            </w:r>
          </w:p>
        </w:tc>
        <w:tc>
          <w:tcPr>
            <w:tcW w:w="527" w:type="dxa"/>
          </w:tcPr>
          <w:p>
            <w:pPr>
              <w:pStyle w:val="9"/>
              <w:spacing w:before="117"/>
              <w:ind w:left="126"/>
              <w:rPr>
                <w:rFonts w:ascii="黑体" w:eastAsia="黑体"/>
                <w:b/>
                <w:sz w:val="18"/>
              </w:rPr>
            </w:pPr>
            <w:r>
              <w:rPr>
                <w:rFonts w:hint="eastAsia" w:ascii="黑体" w:eastAsia="黑体"/>
                <w:b/>
                <w:sz w:val="18"/>
              </w:rPr>
              <w:t>子项</w:t>
            </w:r>
          </w:p>
        </w:tc>
        <w:tc>
          <w:tcPr>
            <w:tcW w:w="3120" w:type="dxa"/>
            <w:vMerge w:val="continue"/>
            <w:tcBorders>
              <w:top w:val="nil"/>
            </w:tcBorders>
          </w:tcPr>
          <w:p>
            <w:pPr>
              <w:rPr>
                <w:sz w:val="2"/>
                <w:szCs w:val="2"/>
              </w:rPr>
            </w:pPr>
          </w:p>
        </w:tc>
        <w:tc>
          <w:tcPr>
            <w:tcW w:w="432" w:type="dxa"/>
            <w:vMerge w:val="continue"/>
            <w:tcBorders>
              <w:top w:val="nil"/>
            </w:tcBorders>
          </w:tcPr>
          <w:p>
            <w:pPr>
              <w:rPr>
                <w:sz w:val="2"/>
                <w:szCs w:val="2"/>
              </w:rPr>
            </w:pPr>
          </w:p>
        </w:tc>
        <w:tc>
          <w:tcPr>
            <w:tcW w:w="832" w:type="dxa"/>
            <w:vMerge w:val="continue"/>
            <w:tcBorders>
              <w:top w:val="nil"/>
            </w:tcBorders>
          </w:tcPr>
          <w:p>
            <w:pPr>
              <w:rPr>
                <w:sz w:val="2"/>
                <w:szCs w:val="2"/>
              </w:rPr>
            </w:pPr>
          </w:p>
        </w:tc>
        <w:tc>
          <w:tcPr>
            <w:tcW w:w="911" w:type="dxa"/>
            <w:vMerge w:val="continue"/>
            <w:tcBorders>
              <w:top w:val="nil"/>
            </w:tcBorders>
          </w:tcPr>
          <w:p>
            <w:pPr>
              <w:rPr>
                <w:sz w:val="2"/>
                <w:szCs w:val="2"/>
              </w:rPr>
            </w:pPr>
          </w:p>
        </w:tc>
        <w:tc>
          <w:tcPr>
            <w:tcW w:w="462" w:type="dxa"/>
            <w:vMerge w:val="continue"/>
            <w:tcBorders>
              <w:top w:val="nil"/>
            </w:tcBorders>
          </w:tcPr>
          <w:p>
            <w:pPr>
              <w:rPr>
                <w:sz w:val="2"/>
                <w:szCs w:val="2"/>
              </w:rPr>
            </w:pPr>
          </w:p>
        </w:tc>
        <w:tc>
          <w:tcPr>
            <w:tcW w:w="3426" w:type="dxa"/>
            <w:vMerge w:val="continue"/>
            <w:tcBorders>
              <w:top w:val="nil"/>
            </w:tcBorders>
          </w:tcPr>
          <w:p>
            <w:pPr>
              <w:rPr>
                <w:sz w:val="2"/>
                <w:szCs w:val="2"/>
              </w:rPr>
            </w:pPr>
          </w:p>
        </w:tc>
        <w:tc>
          <w:tcPr>
            <w:tcW w:w="3430"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376" w:hRule="atLeast"/>
        </w:trPr>
        <w:tc>
          <w:tcPr>
            <w:tcW w:w="336" w:type="dxa"/>
            <w:vAlign w:val="center"/>
          </w:tcPr>
          <w:p>
            <w:pPr>
              <w:widowControl/>
              <w:jc w:val="both"/>
              <w:rPr>
                <w:rFonts w:ascii="Times New Roman"/>
                <w:sz w:val="15"/>
                <w:szCs w:val="15"/>
                <w:lang w:val="en-US"/>
              </w:rPr>
            </w:pPr>
            <w:r>
              <w:rPr>
                <w:rFonts w:hint="eastAsia" w:ascii="Times New Roman"/>
                <w:sz w:val="15"/>
                <w:szCs w:val="15"/>
                <w:lang w:val="en-US"/>
              </w:rPr>
              <w:t>3</w:t>
            </w:r>
          </w:p>
        </w:tc>
        <w:tc>
          <w:tcPr>
            <w:tcW w:w="444" w:type="dxa"/>
            <w:vAlign w:val="center"/>
          </w:tcPr>
          <w:p>
            <w:pPr>
              <w:pStyle w:val="9"/>
              <w:ind w:left="33"/>
              <w:jc w:val="both"/>
              <w:rPr>
                <w:rFonts w:ascii="Times New Roman"/>
                <w:sz w:val="15"/>
                <w:szCs w:val="15"/>
              </w:rPr>
            </w:pPr>
            <w:r>
              <w:rPr>
                <w:rFonts w:ascii="Times New Roman"/>
                <w:w w:val="105"/>
                <w:sz w:val="15"/>
                <w:szCs w:val="15"/>
              </w:rPr>
              <w:t>5010</w:t>
            </w:r>
          </w:p>
          <w:p>
            <w:pPr>
              <w:pStyle w:val="9"/>
              <w:spacing w:before="26"/>
              <w:ind w:left="33"/>
              <w:jc w:val="both"/>
              <w:rPr>
                <w:rFonts w:ascii="Times New Roman"/>
                <w:sz w:val="15"/>
                <w:szCs w:val="15"/>
              </w:rPr>
            </w:pPr>
            <w:r>
              <w:rPr>
                <w:rFonts w:hint="eastAsia" w:ascii="Times New Roman"/>
                <w:w w:val="105"/>
                <w:sz w:val="15"/>
                <w:szCs w:val="15"/>
                <w:lang w:val="en-US"/>
              </w:rPr>
              <w:t>9</w:t>
            </w:r>
            <w:r>
              <w:rPr>
                <w:rFonts w:ascii="Times New Roman"/>
                <w:w w:val="105"/>
                <w:sz w:val="15"/>
                <w:szCs w:val="15"/>
              </w:rPr>
              <w:t>201</w:t>
            </w:r>
          </w:p>
          <w:p>
            <w:pPr>
              <w:pStyle w:val="9"/>
              <w:spacing w:before="26" w:line="278" w:lineRule="auto"/>
              <w:ind w:left="33" w:right="28"/>
              <w:jc w:val="both"/>
              <w:rPr>
                <w:rFonts w:ascii="Times New Roman"/>
                <w:sz w:val="15"/>
                <w:szCs w:val="15"/>
                <w:lang w:val="en-US"/>
              </w:rPr>
            </w:pPr>
            <w:r>
              <w:rPr>
                <w:rFonts w:ascii="Times New Roman"/>
                <w:sz w:val="15"/>
                <w:szCs w:val="15"/>
              </w:rPr>
              <w:t xml:space="preserve">CF00 </w:t>
            </w:r>
            <w:r>
              <w:rPr>
                <w:rFonts w:hint="eastAsia" w:ascii="Times New Roman"/>
                <w:sz w:val="15"/>
                <w:szCs w:val="15"/>
                <w:lang w:val="en-US"/>
              </w:rPr>
              <w:t>3</w:t>
            </w:r>
          </w:p>
        </w:tc>
        <w:tc>
          <w:tcPr>
            <w:tcW w:w="608" w:type="dxa"/>
            <w:vAlign w:val="center"/>
          </w:tcPr>
          <w:p>
            <w:pPr>
              <w:widowControl/>
              <w:jc w:val="both"/>
              <w:rPr>
                <w:sz w:val="15"/>
                <w:szCs w:val="15"/>
              </w:rPr>
            </w:pPr>
            <w:r>
              <w:rPr>
                <w:color w:val="000000"/>
                <w:sz w:val="15"/>
                <w:szCs w:val="15"/>
                <w:lang w:val="en-US" w:bidi="ar"/>
              </w:rPr>
              <w:t>对煤矿企业</w:t>
            </w:r>
            <w:r>
              <w:rPr>
                <w:rFonts w:hint="eastAsia"/>
                <w:color w:val="000000"/>
                <w:sz w:val="15"/>
                <w:szCs w:val="15"/>
                <w:lang w:val="en-US" w:bidi="ar"/>
              </w:rPr>
              <w:t xml:space="preserve">擅自开采保安煤柱采用可能危及相邻煤矿生 </w:t>
            </w:r>
          </w:p>
          <w:p>
            <w:pPr>
              <w:widowControl/>
              <w:jc w:val="both"/>
              <w:rPr>
                <w:sz w:val="15"/>
                <w:szCs w:val="15"/>
              </w:rPr>
            </w:pPr>
            <w:r>
              <w:rPr>
                <w:rFonts w:hint="eastAsia"/>
                <w:color w:val="000000"/>
                <w:sz w:val="15"/>
                <w:szCs w:val="15"/>
                <w:lang w:val="en-US" w:bidi="ar"/>
              </w:rPr>
              <w:t xml:space="preserve">产安全的决水、爆破、贯通巷道等危险方法的 </w:t>
            </w:r>
          </w:p>
          <w:p>
            <w:pPr>
              <w:widowControl/>
              <w:jc w:val="both"/>
              <w:rPr>
                <w:sz w:val="15"/>
                <w:szCs w:val="15"/>
              </w:rPr>
            </w:pPr>
            <w:r>
              <w:rPr>
                <w:rFonts w:hint="eastAsia"/>
                <w:color w:val="000000"/>
                <w:sz w:val="15"/>
                <w:szCs w:val="15"/>
                <w:lang w:val="en-US" w:bidi="ar"/>
              </w:rPr>
              <w:t>处罚</w:t>
            </w:r>
          </w:p>
          <w:p>
            <w:pPr>
              <w:pStyle w:val="9"/>
              <w:spacing w:line="189" w:lineRule="auto"/>
              <w:ind w:left="32" w:right="39"/>
              <w:jc w:val="both"/>
              <w:rPr>
                <w:sz w:val="15"/>
                <w:szCs w:val="15"/>
              </w:rPr>
            </w:pPr>
          </w:p>
        </w:tc>
        <w:tc>
          <w:tcPr>
            <w:tcW w:w="527" w:type="dxa"/>
            <w:vAlign w:val="center"/>
          </w:tcPr>
          <w:p>
            <w:pPr>
              <w:pStyle w:val="9"/>
              <w:jc w:val="both"/>
              <w:rPr>
                <w:rFonts w:ascii="Times New Roman"/>
                <w:sz w:val="15"/>
                <w:szCs w:val="15"/>
              </w:rPr>
            </w:pPr>
          </w:p>
        </w:tc>
        <w:tc>
          <w:tcPr>
            <w:tcW w:w="3120" w:type="dxa"/>
            <w:vAlign w:val="center"/>
          </w:tcPr>
          <w:p>
            <w:pPr>
              <w:widowControl/>
              <w:jc w:val="both"/>
              <w:rPr>
                <w:sz w:val="15"/>
                <w:szCs w:val="15"/>
              </w:rPr>
            </w:pPr>
            <w:r>
              <w:rPr>
                <w:color w:val="000000"/>
                <w:sz w:val="15"/>
                <w:szCs w:val="15"/>
                <w:lang w:val="en-US" w:bidi="ar"/>
              </w:rPr>
              <w:t xml:space="preserve">《中华人民共和国煤炭法》第二十四条第一款 开 </w:t>
            </w:r>
          </w:p>
          <w:p>
            <w:pPr>
              <w:widowControl/>
              <w:jc w:val="both"/>
              <w:rPr>
                <w:sz w:val="15"/>
                <w:szCs w:val="15"/>
              </w:rPr>
            </w:pPr>
            <w:r>
              <w:rPr>
                <w:rFonts w:hint="eastAsia"/>
                <w:color w:val="000000"/>
                <w:sz w:val="15"/>
                <w:szCs w:val="15"/>
                <w:lang w:val="en-US" w:bidi="ar"/>
              </w:rPr>
              <w:t xml:space="preserve">采煤炭资源必须符合煤矿开采规程，遵守合理的 </w:t>
            </w:r>
          </w:p>
          <w:p>
            <w:pPr>
              <w:widowControl/>
              <w:jc w:val="both"/>
              <w:rPr>
                <w:sz w:val="15"/>
                <w:szCs w:val="15"/>
              </w:rPr>
            </w:pPr>
            <w:r>
              <w:rPr>
                <w:rFonts w:hint="eastAsia"/>
                <w:color w:val="000000"/>
                <w:sz w:val="15"/>
                <w:szCs w:val="15"/>
                <w:lang w:val="en-US" w:bidi="ar"/>
              </w:rPr>
              <w:t xml:space="preserve">开采顺序，达到规定的煤炭资源回采率。 </w:t>
            </w:r>
          </w:p>
          <w:p>
            <w:pPr>
              <w:widowControl/>
              <w:jc w:val="both"/>
              <w:rPr>
                <w:sz w:val="15"/>
                <w:szCs w:val="15"/>
              </w:rPr>
            </w:pPr>
            <w:r>
              <w:rPr>
                <w:rFonts w:hint="eastAsia"/>
                <w:color w:val="000000"/>
                <w:sz w:val="15"/>
                <w:szCs w:val="15"/>
                <w:lang w:val="en-US" w:bidi="ar"/>
              </w:rPr>
              <w:t xml:space="preserve">第五十九条 违反本法第二十四条的规定，开采煤 </w:t>
            </w:r>
          </w:p>
          <w:p>
            <w:pPr>
              <w:widowControl/>
              <w:jc w:val="both"/>
              <w:rPr>
                <w:sz w:val="15"/>
                <w:szCs w:val="15"/>
              </w:rPr>
            </w:pPr>
            <w:r>
              <w:rPr>
                <w:rFonts w:hint="eastAsia"/>
                <w:color w:val="000000"/>
                <w:sz w:val="15"/>
                <w:szCs w:val="15"/>
                <w:lang w:val="en-US" w:bidi="ar"/>
              </w:rPr>
              <w:t xml:space="preserve">炭资源未达到国务院煤炭管理部门规定的煤炭资 </w:t>
            </w:r>
          </w:p>
          <w:p>
            <w:pPr>
              <w:widowControl/>
              <w:jc w:val="both"/>
              <w:rPr>
                <w:sz w:val="15"/>
                <w:szCs w:val="15"/>
              </w:rPr>
            </w:pPr>
            <w:r>
              <w:rPr>
                <w:rFonts w:hint="eastAsia"/>
                <w:color w:val="000000"/>
                <w:sz w:val="15"/>
                <w:szCs w:val="15"/>
                <w:lang w:val="en-US" w:bidi="ar"/>
              </w:rPr>
              <w:t xml:space="preserve">源回采率的，由煤炭管理部门责令限期改正；逾 </w:t>
            </w:r>
          </w:p>
          <w:p>
            <w:pPr>
              <w:widowControl/>
              <w:jc w:val="both"/>
              <w:rPr>
                <w:sz w:val="15"/>
                <w:szCs w:val="15"/>
              </w:rPr>
            </w:pPr>
            <w:r>
              <w:rPr>
                <w:rFonts w:hint="eastAsia"/>
                <w:color w:val="000000"/>
                <w:sz w:val="15"/>
                <w:szCs w:val="15"/>
                <w:lang w:val="en-US" w:bidi="ar"/>
              </w:rPr>
              <w:t>期仍达不到规定的回采率的，责令停止生产。</w:t>
            </w:r>
          </w:p>
          <w:p>
            <w:pPr>
              <w:pStyle w:val="9"/>
              <w:spacing w:before="2" w:line="192" w:lineRule="auto"/>
              <w:ind w:left="33" w:right="21"/>
              <w:jc w:val="both"/>
              <w:rPr>
                <w:sz w:val="15"/>
                <w:szCs w:val="15"/>
              </w:rPr>
            </w:pPr>
          </w:p>
        </w:tc>
        <w:tc>
          <w:tcPr>
            <w:tcW w:w="432" w:type="dxa"/>
            <w:vAlign w:val="center"/>
          </w:tcPr>
          <w:p>
            <w:pPr>
              <w:widowControl/>
              <w:jc w:val="both"/>
              <w:rPr>
                <w:sz w:val="15"/>
                <w:szCs w:val="15"/>
              </w:rPr>
            </w:pPr>
            <w:r>
              <w:rPr>
                <w:color w:val="000000"/>
                <w:sz w:val="15"/>
                <w:szCs w:val="15"/>
                <w:lang w:val="en-US" w:bidi="ar"/>
              </w:rPr>
              <w:t>煤矿</w:t>
            </w:r>
          </w:p>
          <w:p>
            <w:pPr>
              <w:widowControl/>
              <w:jc w:val="both"/>
              <w:rPr>
                <w:sz w:val="15"/>
                <w:szCs w:val="15"/>
              </w:rPr>
            </w:pPr>
            <w:r>
              <w:rPr>
                <w:rFonts w:hint="eastAsia"/>
                <w:color w:val="000000"/>
                <w:sz w:val="15"/>
                <w:szCs w:val="15"/>
                <w:lang w:val="en-US" w:bidi="ar"/>
              </w:rPr>
              <w:t>企业</w:t>
            </w:r>
          </w:p>
          <w:p>
            <w:pPr>
              <w:pStyle w:val="9"/>
              <w:spacing w:before="10" w:line="189" w:lineRule="auto"/>
              <w:ind w:left="76" w:right="44"/>
              <w:jc w:val="both"/>
              <w:rPr>
                <w:sz w:val="15"/>
                <w:szCs w:val="15"/>
              </w:rPr>
            </w:pPr>
          </w:p>
        </w:tc>
        <w:tc>
          <w:tcPr>
            <w:tcW w:w="832" w:type="dxa"/>
            <w:vAlign w:val="center"/>
          </w:tcPr>
          <w:p>
            <w:pPr>
              <w:pStyle w:val="9"/>
              <w:jc w:val="both"/>
              <w:rPr>
                <w:rFonts w:ascii="Times New Roman"/>
                <w:sz w:val="15"/>
                <w:szCs w:val="15"/>
              </w:rPr>
            </w:pPr>
          </w:p>
          <w:p>
            <w:pPr>
              <w:pStyle w:val="9"/>
              <w:spacing w:before="7"/>
              <w:ind w:left="97" w:right="66"/>
              <w:jc w:val="both"/>
              <w:rPr>
                <w:rFonts w:ascii="Times New Roman"/>
                <w:sz w:val="15"/>
                <w:szCs w:val="15"/>
                <w:lang w:val="en-US"/>
              </w:rPr>
            </w:pPr>
            <w:r>
              <w:rPr>
                <w:rFonts w:hint="eastAsia"/>
                <w:color w:val="000000"/>
                <w:sz w:val="15"/>
                <w:szCs w:val="15"/>
                <w:lang w:val="en-US" w:bidi="ar"/>
              </w:rPr>
              <w:t>安全科3311262</w:t>
            </w:r>
          </w:p>
        </w:tc>
        <w:tc>
          <w:tcPr>
            <w:tcW w:w="911" w:type="dxa"/>
            <w:vAlign w:val="center"/>
          </w:tcPr>
          <w:p>
            <w:pPr>
              <w:pStyle w:val="9"/>
              <w:ind w:left="32"/>
              <w:jc w:val="both"/>
              <w:rPr>
                <w:sz w:val="15"/>
                <w:szCs w:val="15"/>
              </w:rPr>
            </w:pPr>
            <w:r>
              <w:rPr>
                <w:w w:val="102"/>
                <w:sz w:val="15"/>
                <w:szCs w:val="15"/>
              </w:rPr>
              <w:t>无</w:t>
            </w:r>
          </w:p>
        </w:tc>
        <w:tc>
          <w:tcPr>
            <w:tcW w:w="462" w:type="dxa"/>
            <w:vAlign w:val="center"/>
          </w:tcPr>
          <w:p>
            <w:pPr>
              <w:widowControl/>
              <w:jc w:val="both"/>
              <w:rPr>
                <w:color w:val="000000"/>
                <w:sz w:val="15"/>
                <w:szCs w:val="15"/>
                <w:lang w:val="en-US" w:bidi="ar"/>
              </w:rPr>
            </w:pPr>
            <w:r>
              <w:rPr>
                <w:rFonts w:hint="eastAsia"/>
                <w:color w:val="000000"/>
                <w:sz w:val="15"/>
                <w:szCs w:val="15"/>
                <w:lang w:val="en-US" w:bidi="ar"/>
              </w:rPr>
              <w:t>米东区发改委（工信局）</w:t>
            </w:r>
          </w:p>
          <w:p>
            <w:pPr>
              <w:widowControl/>
              <w:jc w:val="both"/>
              <w:rPr>
                <w:color w:val="000000"/>
                <w:sz w:val="15"/>
                <w:szCs w:val="15"/>
                <w:lang w:val="en-US" w:bidi="ar"/>
              </w:rPr>
            </w:pPr>
          </w:p>
        </w:tc>
        <w:tc>
          <w:tcPr>
            <w:tcW w:w="3426" w:type="dxa"/>
            <w:vAlign w:val="center"/>
          </w:tcPr>
          <w:p>
            <w:pPr>
              <w:widowControl/>
              <w:jc w:val="both"/>
              <w:rPr>
                <w:sz w:val="15"/>
                <w:szCs w:val="15"/>
              </w:rPr>
            </w:pPr>
            <w:r>
              <w:rPr>
                <w:rFonts w:ascii="TimesNewRomanPSMT" w:hAnsi="TimesNewRomanPSMT" w:eastAsia="TimesNewRomanPSMT" w:cs="TimesNewRomanPSMT"/>
                <w:color w:val="000000"/>
                <w:sz w:val="15"/>
                <w:szCs w:val="15"/>
                <w:lang w:val="en-US" w:bidi="ar"/>
              </w:rPr>
              <w:t>1.</w:t>
            </w:r>
            <w:r>
              <w:rPr>
                <w:color w:val="000000"/>
                <w:sz w:val="15"/>
                <w:szCs w:val="15"/>
                <w:lang w:val="en-US" w:bidi="ar"/>
              </w:rPr>
              <w:t xml:space="preserve">立案责任：按照立案条件在规定期限内进行审查 </w:t>
            </w:r>
          </w:p>
          <w:p>
            <w:pPr>
              <w:widowControl/>
              <w:jc w:val="both"/>
              <w:rPr>
                <w:sz w:val="15"/>
                <w:szCs w:val="15"/>
              </w:rPr>
            </w:pPr>
            <w:r>
              <w:rPr>
                <w:rFonts w:hint="eastAsia"/>
                <w:color w:val="000000"/>
                <w:sz w:val="15"/>
                <w:szCs w:val="15"/>
                <w:lang w:val="en-US" w:bidi="ar"/>
              </w:rPr>
              <w:t xml:space="preserve">并决定是否立案（不予立案应当告知理由）；对 </w:t>
            </w:r>
          </w:p>
          <w:p>
            <w:pPr>
              <w:widowControl/>
              <w:jc w:val="both"/>
              <w:rPr>
                <w:sz w:val="15"/>
                <w:szCs w:val="15"/>
              </w:rPr>
            </w:pPr>
            <w:r>
              <w:rPr>
                <w:rFonts w:hint="eastAsia"/>
                <w:color w:val="000000"/>
                <w:sz w:val="15"/>
                <w:szCs w:val="15"/>
                <w:lang w:val="en-US" w:bidi="ar"/>
              </w:rPr>
              <w:t xml:space="preserve">需要补充材料的，应当场一次性告知。 </w:t>
            </w:r>
          </w:p>
          <w:p>
            <w:pPr>
              <w:widowControl/>
              <w:jc w:val="both"/>
              <w:rPr>
                <w:sz w:val="15"/>
                <w:szCs w:val="15"/>
              </w:rPr>
            </w:pPr>
            <w:r>
              <w:rPr>
                <w:rFonts w:ascii="TimesNewRomanPSMT" w:hAnsi="TimesNewRomanPSMT" w:eastAsia="TimesNewRomanPSMT" w:cs="TimesNewRomanPSMT"/>
                <w:color w:val="000000"/>
                <w:sz w:val="15"/>
                <w:szCs w:val="15"/>
                <w:lang w:val="en-US" w:bidi="ar"/>
              </w:rPr>
              <w:t>2.</w:t>
            </w:r>
            <w:r>
              <w:rPr>
                <w:rFonts w:hint="eastAsia"/>
                <w:color w:val="000000"/>
                <w:sz w:val="15"/>
                <w:szCs w:val="15"/>
                <w:lang w:val="en-US" w:bidi="ar"/>
              </w:rPr>
              <w:t xml:space="preserve">调查责任：对违法违规行为进行调查，依法收集 </w:t>
            </w:r>
          </w:p>
          <w:p>
            <w:pPr>
              <w:widowControl/>
              <w:jc w:val="both"/>
              <w:rPr>
                <w:sz w:val="15"/>
                <w:szCs w:val="15"/>
              </w:rPr>
            </w:pPr>
            <w:r>
              <w:rPr>
                <w:rFonts w:hint="eastAsia"/>
                <w:color w:val="000000"/>
                <w:sz w:val="15"/>
                <w:szCs w:val="15"/>
                <w:lang w:val="en-US" w:bidi="ar"/>
              </w:rPr>
              <w:t xml:space="preserve">整理证据材料；执法人员不得少于两人，调查时 </w:t>
            </w:r>
          </w:p>
          <w:p>
            <w:pPr>
              <w:widowControl/>
              <w:jc w:val="both"/>
              <w:rPr>
                <w:sz w:val="15"/>
                <w:szCs w:val="15"/>
              </w:rPr>
            </w:pPr>
            <w:r>
              <w:rPr>
                <w:rFonts w:hint="eastAsia"/>
                <w:color w:val="000000"/>
                <w:sz w:val="15"/>
                <w:szCs w:val="15"/>
                <w:lang w:val="en-US" w:bidi="ar"/>
              </w:rPr>
              <w:t xml:space="preserve">应出示执法身份证件，允许当事人陈述申辩，并 </w:t>
            </w:r>
          </w:p>
          <w:p>
            <w:pPr>
              <w:widowControl/>
              <w:jc w:val="both"/>
              <w:rPr>
                <w:sz w:val="15"/>
                <w:szCs w:val="15"/>
              </w:rPr>
            </w:pPr>
            <w:r>
              <w:rPr>
                <w:rFonts w:hint="eastAsia"/>
                <w:color w:val="000000"/>
                <w:sz w:val="15"/>
                <w:szCs w:val="15"/>
                <w:lang w:val="en-US" w:bidi="ar"/>
              </w:rPr>
              <w:t xml:space="preserve">严格执行监察回避制度。 </w:t>
            </w:r>
          </w:p>
          <w:p>
            <w:pPr>
              <w:widowControl/>
              <w:jc w:val="both"/>
              <w:rPr>
                <w:sz w:val="15"/>
                <w:szCs w:val="15"/>
              </w:rPr>
            </w:pPr>
            <w:r>
              <w:rPr>
                <w:rFonts w:ascii="TimesNewRomanPSMT" w:hAnsi="TimesNewRomanPSMT" w:eastAsia="TimesNewRomanPSMT" w:cs="TimesNewRomanPSMT"/>
                <w:color w:val="000000"/>
                <w:sz w:val="15"/>
                <w:szCs w:val="15"/>
                <w:lang w:val="en-US" w:bidi="ar"/>
              </w:rPr>
              <w:t>3.</w:t>
            </w:r>
            <w:r>
              <w:rPr>
                <w:rFonts w:hint="eastAsia"/>
                <w:color w:val="000000"/>
                <w:sz w:val="15"/>
                <w:szCs w:val="15"/>
                <w:lang w:val="en-US" w:bidi="ar"/>
              </w:rPr>
              <w:t xml:space="preserve">审查责任：应当对案件违法事实、证据、调查取 </w:t>
            </w:r>
          </w:p>
          <w:p>
            <w:pPr>
              <w:widowControl/>
              <w:jc w:val="both"/>
              <w:rPr>
                <w:sz w:val="15"/>
                <w:szCs w:val="15"/>
              </w:rPr>
            </w:pPr>
            <w:r>
              <w:rPr>
                <w:rFonts w:hint="eastAsia"/>
                <w:color w:val="000000"/>
                <w:sz w:val="15"/>
                <w:szCs w:val="15"/>
                <w:lang w:val="en-US" w:bidi="ar"/>
              </w:rPr>
              <w:t xml:space="preserve">证程序、法律适用、处罚种类和幅度以及当事人 </w:t>
            </w:r>
          </w:p>
          <w:p>
            <w:pPr>
              <w:widowControl/>
              <w:jc w:val="both"/>
              <w:rPr>
                <w:sz w:val="15"/>
                <w:szCs w:val="15"/>
              </w:rPr>
            </w:pPr>
            <w:r>
              <w:rPr>
                <w:rFonts w:hint="eastAsia"/>
                <w:color w:val="000000"/>
                <w:sz w:val="15"/>
                <w:szCs w:val="15"/>
                <w:lang w:val="en-US" w:bidi="ar"/>
              </w:rPr>
              <w:t xml:space="preserve">陈述申辩理由等方面进行审查，并提出处理意见 </w:t>
            </w:r>
          </w:p>
          <w:p>
            <w:pPr>
              <w:widowControl/>
              <w:jc w:val="both"/>
              <w:rPr>
                <w:sz w:val="15"/>
                <w:szCs w:val="15"/>
              </w:rPr>
            </w:pPr>
            <w:r>
              <w:rPr>
                <w:rFonts w:hint="eastAsia"/>
                <w:color w:val="000000"/>
                <w:sz w:val="15"/>
                <w:szCs w:val="15"/>
                <w:lang w:val="en-US" w:bidi="ar"/>
              </w:rPr>
              <w:t xml:space="preserve">。对情节复杂或者重大违法行为给予较重的行政 </w:t>
            </w:r>
          </w:p>
          <w:p>
            <w:pPr>
              <w:widowControl/>
              <w:jc w:val="both"/>
              <w:rPr>
                <w:sz w:val="15"/>
                <w:szCs w:val="15"/>
              </w:rPr>
            </w:pPr>
            <w:r>
              <w:rPr>
                <w:rFonts w:hint="eastAsia"/>
                <w:color w:val="000000"/>
                <w:sz w:val="15"/>
                <w:szCs w:val="15"/>
                <w:lang w:val="en-US" w:bidi="ar"/>
              </w:rPr>
              <w:t xml:space="preserve">处罚，由市工信局（大数据发展局）局务会研究 </w:t>
            </w:r>
          </w:p>
          <w:p>
            <w:pPr>
              <w:widowControl/>
              <w:jc w:val="both"/>
              <w:rPr>
                <w:sz w:val="15"/>
                <w:szCs w:val="15"/>
              </w:rPr>
            </w:pPr>
            <w:r>
              <w:rPr>
                <w:rFonts w:hint="eastAsia"/>
                <w:color w:val="000000"/>
                <w:sz w:val="15"/>
                <w:szCs w:val="15"/>
                <w:lang w:val="en-US" w:bidi="ar"/>
              </w:rPr>
              <w:t xml:space="preserve">提出审查意见。 </w:t>
            </w:r>
          </w:p>
          <w:p>
            <w:pPr>
              <w:widowControl/>
              <w:jc w:val="both"/>
              <w:rPr>
                <w:sz w:val="15"/>
                <w:szCs w:val="15"/>
              </w:rPr>
            </w:pPr>
            <w:r>
              <w:rPr>
                <w:rFonts w:ascii="TimesNewRomanPSMT" w:hAnsi="TimesNewRomanPSMT" w:eastAsia="TimesNewRomanPSMT" w:cs="TimesNewRomanPSMT"/>
                <w:color w:val="000000"/>
                <w:sz w:val="15"/>
                <w:szCs w:val="15"/>
                <w:lang w:val="en-US" w:bidi="ar"/>
              </w:rPr>
              <w:t>4.</w:t>
            </w:r>
            <w:r>
              <w:rPr>
                <w:rFonts w:hint="eastAsia"/>
                <w:color w:val="000000"/>
                <w:sz w:val="15"/>
                <w:szCs w:val="15"/>
                <w:lang w:val="en-US" w:bidi="ar"/>
              </w:rPr>
              <w:t xml:space="preserve">告知责任：在做出行政处罚决定前，应书面告知 </w:t>
            </w:r>
          </w:p>
          <w:p>
            <w:pPr>
              <w:widowControl/>
              <w:jc w:val="both"/>
              <w:rPr>
                <w:sz w:val="15"/>
                <w:szCs w:val="15"/>
              </w:rPr>
            </w:pPr>
            <w:r>
              <w:rPr>
                <w:rFonts w:hint="eastAsia"/>
                <w:color w:val="000000"/>
                <w:sz w:val="15"/>
                <w:szCs w:val="15"/>
                <w:lang w:val="en-US" w:bidi="ar"/>
              </w:rPr>
              <w:t xml:space="preserve">当事人违法事实及其享有的陈述、申辩、要求听 </w:t>
            </w:r>
          </w:p>
          <w:p>
            <w:pPr>
              <w:widowControl/>
              <w:jc w:val="both"/>
              <w:rPr>
                <w:sz w:val="15"/>
                <w:szCs w:val="15"/>
              </w:rPr>
            </w:pPr>
            <w:r>
              <w:rPr>
                <w:rFonts w:hint="eastAsia"/>
                <w:color w:val="000000"/>
                <w:sz w:val="15"/>
                <w:szCs w:val="15"/>
                <w:lang w:val="en-US" w:bidi="ar"/>
              </w:rPr>
              <w:t xml:space="preserve">证等权利。 </w:t>
            </w:r>
          </w:p>
          <w:p>
            <w:pPr>
              <w:widowControl/>
              <w:jc w:val="both"/>
              <w:rPr>
                <w:sz w:val="15"/>
                <w:szCs w:val="15"/>
              </w:rPr>
            </w:pPr>
            <w:r>
              <w:rPr>
                <w:rFonts w:ascii="TimesNewRomanPSMT" w:hAnsi="TimesNewRomanPSMT" w:eastAsia="TimesNewRomanPSMT" w:cs="TimesNewRomanPSMT"/>
                <w:color w:val="000000"/>
                <w:sz w:val="15"/>
                <w:szCs w:val="15"/>
                <w:lang w:val="en-US" w:bidi="ar"/>
              </w:rPr>
              <w:t>5.</w:t>
            </w:r>
            <w:r>
              <w:rPr>
                <w:rFonts w:hint="eastAsia"/>
                <w:color w:val="000000"/>
                <w:sz w:val="15"/>
                <w:szCs w:val="15"/>
                <w:lang w:val="en-US" w:bidi="ar"/>
              </w:rPr>
              <w:t xml:space="preserve">决定责任：决定给予行政处罚的，应制作《行政 </w:t>
            </w:r>
          </w:p>
          <w:p>
            <w:pPr>
              <w:widowControl/>
              <w:jc w:val="both"/>
              <w:rPr>
                <w:sz w:val="15"/>
                <w:szCs w:val="15"/>
              </w:rPr>
            </w:pPr>
            <w:r>
              <w:rPr>
                <w:rFonts w:hint="eastAsia"/>
                <w:color w:val="000000"/>
                <w:sz w:val="15"/>
                <w:szCs w:val="15"/>
                <w:lang w:val="en-US" w:bidi="ar"/>
              </w:rPr>
              <w:t xml:space="preserve">处罚决定书》，载明违法事实和证据、处罚依据 </w:t>
            </w:r>
          </w:p>
          <w:p>
            <w:pPr>
              <w:widowControl/>
              <w:jc w:val="both"/>
              <w:rPr>
                <w:sz w:val="15"/>
                <w:szCs w:val="15"/>
              </w:rPr>
            </w:pPr>
            <w:r>
              <w:rPr>
                <w:rFonts w:hint="eastAsia"/>
                <w:color w:val="000000"/>
                <w:sz w:val="15"/>
                <w:szCs w:val="15"/>
                <w:lang w:val="en-US" w:bidi="ar"/>
              </w:rPr>
              <w:t xml:space="preserve">和内容、申请行政复议或提起行政诉讼的途径和 </w:t>
            </w:r>
          </w:p>
          <w:p>
            <w:pPr>
              <w:widowControl/>
              <w:jc w:val="both"/>
              <w:rPr>
                <w:sz w:val="15"/>
                <w:szCs w:val="15"/>
              </w:rPr>
            </w:pPr>
            <w:r>
              <w:rPr>
                <w:rFonts w:hint="eastAsia"/>
                <w:color w:val="000000"/>
                <w:sz w:val="15"/>
                <w:szCs w:val="15"/>
                <w:lang w:val="en-US" w:bidi="ar"/>
              </w:rPr>
              <w:t xml:space="preserve">期限等。 </w:t>
            </w:r>
          </w:p>
          <w:p>
            <w:pPr>
              <w:widowControl/>
              <w:jc w:val="both"/>
              <w:rPr>
                <w:sz w:val="15"/>
                <w:szCs w:val="15"/>
              </w:rPr>
            </w:pPr>
            <w:r>
              <w:rPr>
                <w:rFonts w:ascii="TimesNewRomanPSMT" w:hAnsi="TimesNewRomanPSMT" w:eastAsia="TimesNewRomanPSMT" w:cs="TimesNewRomanPSMT"/>
                <w:color w:val="000000"/>
                <w:sz w:val="15"/>
                <w:szCs w:val="15"/>
                <w:lang w:val="en-US" w:bidi="ar"/>
              </w:rPr>
              <w:t>6.</w:t>
            </w:r>
            <w:r>
              <w:rPr>
                <w:rFonts w:hint="eastAsia"/>
                <w:color w:val="000000"/>
                <w:sz w:val="15"/>
                <w:szCs w:val="15"/>
                <w:lang w:val="en-US" w:bidi="ar"/>
              </w:rPr>
              <w:t xml:space="preserve">送达责任：《行政处罚决定书》应在规定期限内 </w:t>
            </w:r>
          </w:p>
          <w:p>
            <w:pPr>
              <w:widowControl/>
              <w:jc w:val="both"/>
              <w:rPr>
                <w:sz w:val="15"/>
                <w:szCs w:val="15"/>
              </w:rPr>
            </w:pPr>
            <w:r>
              <w:rPr>
                <w:rFonts w:hint="eastAsia"/>
                <w:color w:val="000000"/>
                <w:sz w:val="15"/>
                <w:szCs w:val="15"/>
                <w:lang w:val="en-US" w:bidi="ar"/>
              </w:rPr>
              <w:t xml:space="preserve">依法送达当事人。 </w:t>
            </w:r>
          </w:p>
          <w:p>
            <w:pPr>
              <w:widowControl/>
              <w:jc w:val="both"/>
              <w:rPr>
                <w:sz w:val="15"/>
                <w:szCs w:val="15"/>
              </w:rPr>
            </w:pPr>
            <w:r>
              <w:rPr>
                <w:rFonts w:ascii="TimesNewRomanPSMT" w:hAnsi="TimesNewRomanPSMT" w:eastAsia="TimesNewRomanPSMT" w:cs="TimesNewRomanPSMT"/>
                <w:color w:val="000000"/>
                <w:sz w:val="15"/>
                <w:szCs w:val="15"/>
                <w:lang w:val="en-US" w:bidi="ar"/>
              </w:rPr>
              <w:t>7.</w:t>
            </w:r>
            <w:r>
              <w:rPr>
                <w:rFonts w:hint="eastAsia"/>
                <w:color w:val="000000"/>
                <w:sz w:val="15"/>
                <w:szCs w:val="15"/>
                <w:lang w:val="en-US" w:bidi="ar"/>
              </w:rPr>
              <w:t xml:space="preserve">执行责任：监督当事人在规定的期限内履行生效 </w:t>
            </w:r>
          </w:p>
          <w:p>
            <w:pPr>
              <w:widowControl/>
              <w:jc w:val="both"/>
              <w:rPr>
                <w:sz w:val="15"/>
                <w:szCs w:val="15"/>
              </w:rPr>
            </w:pPr>
            <w:r>
              <w:rPr>
                <w:rFonts w:hint="eastAsia"/>
                <w:color w:val="000000"/>
                <w:sz w:val="15"/>
                <w:szCs w:val="15"/>
                <w:lang w:val="en-US" w:bidi="ar"/>
              </w:rPr>
              <w:t xml:space="preserve">的行政处罚决定。当事人在法定期限内既不申请 </w:t>
            </w:r>
          </w:p>
          <w:p>
            <w:pPr>
              <w:widowControl/>
              <w:jc w:val="both"/>
              <w:rPr>
                <w:sz w:val="15"/>
                <w:szCs w:val="15"/>
              </w:rPr>
            </w:pPr>
            <w:r>
              <w:rPr>
                <w:rFonts w:hint="eastAsia"/>
                <w:color w:val="000000"/>
                <w:sz w:val="15"/>
                <w:szCs w:val="15"/>
                <w:lang w:val="en-US" w:bidi="ar"/>
              </w:rPr>
              <w:t xml:space="preserve">行政复议或者提起行政诉讼，又不履行处罚决定 </w:t>
            </w:r>
          </w:p>
          <w:p>
            <w:pPr>
              <w:widowControl/>
              <w:jc w:val="both"/>
              <w:rPr>
                <w:sz w:val="15"/>
                <w:szCs w:val="15"/>
              </w:rPr>
            </w:pPr>
            <w:r>
              <w:rPr>
                <w:rFonts w:hint="eastAsia"/>
                <w:color w:val="000000"/>
                <w:sz w:val="15"/>
                <w:szCs w:val="15"/>
                <w:lang w:val="en-US" w:bidi="ar"/>
              </w:rPr>
              <w:t xml:space="preserve">的，可依法向人民法院申请强制执行等措施。 </w:t>
            </w:r>
          </w:p>
          <w:p>
            <w:pPr>
              <w:widowControl/>
              <w:jc w:val="both"/>
              <w:rPr>
                <w:sz w:val="15"/>
                <w:szCs w:val="15"/>
              </w:rPr>
            </w:pPr>
            <w:r>
              <w:rPr>
                <w:rFonts w:ascii="TimesNewRomanPSMT" w:hAnsi="TimesNewRomanPSMT" w:eastAsia="TimesNewRomanPSMT" w:cs="TimesNewRomanPSMT"/>
                <w:color w:val="000000"/>
                <w:sz w:val="15"/>
                <w:szCs w:val="15"/>
                <w:lang w:val="en-US" w:bidi="ar"/>
              </w:rPr>
              <w:t>8.</w:t>
            </w:r>
            <w:r>
              <w:rPr>
                <w:rFonts w:hint="eastAsia"/>
                <w:color w:val="000000"/>
                <w:sz w:val="15"/>
                <w:szCs w:val="15"/>
                <w:lang w:val="en-US" w:bidi="ar"/>
              </w:rPr>
              <w:t>其他法律法规政策规定应履行的责任。</w:t>
            </w:r>
          </w:p>
          <w:p>
            <w:pPr>
              <w:widowControl/>
              <w:jc w:val="both"/>
              <w:rPr>
                <w:color w:val="000000"/>
                <w:sz w:val="15"/>
                <w:szCs w:val="15"/>
                <w:lang w:val="en-US" w:bidi="ar"/>
              </w:rPr>
            </w:pPr>
          </w:p>
        </w:tc>
        <w:tc>
          <w:tcPr>
            <w:tcW w:w="3430" w:type="dxa"/>
            <w:vAlign w:val="center"/>
          </w:tcPr>
          <w:p>
            <w:pPr>
              <w:widowControl/>
              <w:jc w:val="both"/>
              <w:rPr>
                <w:sz w:val="15"/>
                <w:szCs w:val="15"/>
              </w:rPr>
            </w:pPr>
            <w:r>
              <w:rPr>
                <w:color w:val="000000"/>
                <w:sz w:val="15"/>
                <w:szCs w:val="15"/>
                <w:lang w:val="en-US" w:bidi="ar"/>
              </w:rPr>
              <w:t xml:space="preserve">行政主管部门及其工作人员有下列行为之一 </w:t>
            </w:r>
          </w:p>
          <w:p>
            <w:pPr>
              <w:widowControl/>
              <w:jc w:val="both"/>
              <w:rPr>
                <w:sz w:val="15"/>
                <w:szCs w:val="15"/>
              </w:rPr>
            </w:pPr>
            <w:r>
              <w:rPr>
                <w:rFonts w:hint="eastAsia"/>
                <w:color w:val="000000"/>
                <w:sz w:val="15"/>
                <w:szCs w:val="15"/>
                <w:lang w:val="en-US" w:bidi="ar"/>
              </w:rPr>
              <w:t xml:space="preserve">的，对直接负责的主管人员和其他直接责任人 </w:t>
            </w:r>
          </w:p>
          <w:p>
            <w:pPr>
              <w:widowControl/>
              <w:jc w:val="both"/>
              <w:rPr>
                <w:sz w:val="15"/>
                <w:szCs w:val="15"/>
              </w:rPr>
            </w:pPr>
            <w:r>
              <w:rPr>
                <w:rFonts w:hint="eastAsia"/>
                <w:color w:val="000000"/>
                <w:sz w:val="15"/>
                <w:szCs w:val="15"/>
                <w:lang w:val="en-US" w:bidi="ar"/>
              </w:rPr>
              <w:t xml:space="preserve">员，依法给予处分；构成犯罪的，依法追究刑 </w:t>
            </w:r>
          </w:p>
          <w:p>
            <w:pPr>
              <w:widowControl/>
              <w:jc w:val="both"/>
              <w:rPr>
                <w:sz w:val="15"/>
                <w:szCs w:val="15"/>
              </w:rPr>
            </w:pPr>
            <w:r>
              <w:rPr>
                <w:rFonts w:hint="eastAsia"/>
                <w:color w:val="000000"/>
                <w:sz w:val="15"/>
                <w:szCs w:val="15"/>
                <w:lang w:val="en-US" w:bidi="ar"/>
              </w:rPr>
              <w:t xml:space="preserve">事责任： </w:t>
            </w:r>
          </w:p>
          <w:p>
            <w:pPr>
              <w:widowControl/>
              <w:jc w:val="both"/>
              <w:rPr>
                <w:sz w:val="15"/>
                <w:szCs w:val="15"/>
              </w:rPr>
            </w:pPr>
            <w:r>
              <w:rPr>
                <w:rFonts w:ascii="TimesNewRomanPSMT" w:hAnsi="TimesNewRomanPSMT" w:eastAsia="TimesNewRomanPSMT" w:cs="TimesNewRomanPSMT"/>
                <w:color w:val="000000"/>
                <w:sz w:val="15"/>
                <w:szCs w:val="15"/>
                <w:lang w:val="en-US" w:bidi="ar"/>
              </w:rPr>
              <w:t>1.</w:t>
            </w:r>
            <w:r>
              <w:rPr>
                <w:rFonts w:hint="eastAsia"/>
                <w:color w:val="000000"/>
                <w:sz w:val="15"/>
                <w:szCs w:val="15"/>
                <w:lang w:val="en-US" w:bidi="ar"/>
              </w:rPr>
              <w:t xml:space="preserve">执法人员玩忽职守，对应当予以制止和处罚的 </w:t>
            </w:r>
          </w:p>
          <w:p>
            <w:pPr>
              <w:widowControl/>
              <w:jc w:val="both"/>
              <w:rPr>
                <w:sz w:val="15"/>
                <w:szCs w:val="15"/>
              </w:rPr>
            </w:pPr>
            <w:r>
              <w:rPr>
                <w:rFonts w:hint="eastAsia"/>
                <w:color w:val="000000"/>
                <w:sz w:val="15"/>
                <w:szCs w:val="15"/>
                <w:lang w:val="en-US" w:bidi="ar"/>
              </w:rPr>
              <w:t xml:space="preserve">违法行为不予制止、处罚，致使国家资源遭受 </w:t>
            </w:r>
          </w:p>
          <w:p>
            <w:pPr>
              <w:widowControl/>
              <w:jc w:val="both"/>
              <w:rPr>
                <w:sz w:val="15"/>
                <w:szCs w:val="15"/>
              </w:rPr>
            </w:pPr>
            <w:r>
              <w:rPr>
                <w:rFonts w:hint="eastAsia"/>
                <w:color w:val="000000"/>
                <w:sz w:val="15"/>
                <w:szCs w:val="15"/>
                <w:lang w:val="en-US" w:bidi="ar"/>
              </w:rPr>
              <w:t xml:space="preserve">损害的； </w:t>
            </w:r>
          </w:p>
          <w:p>
            <w:pPr>
              <w:widowControl/>
              <w:jc w:val="both"/>
              <w:rPr>
                <w:sz w:val="15"/>
                <w:szCs w:val="15"/>
              </w:rPr>
            </w:pPr>
            <w:r>
              <w:rPr>
                <w:rFonts w:ascii="TimesNewRomanPSMT" w:hAnsi="TimesNewRomanPSMT" w:eastAsia="TimesNewRomanPSMT" w:cs="TimesNewRomanPSMT"/>
                <w:color w:val="000000"/>
                <w:sz w:val="15"/>
                <w:szCs w:val="15"/>
                <w:lang w:val="en-US" w:bidi="ar"/>
              </w:rPr>
              <w:t>2.</w:t>
            </w:r>
            <w:r>
              <w:rPr>
                <w:rFonts w:hint="eastAsia"/>
                <w:color w:val="000000"/>
                <w:sz w:val="15"/>
                <w:szCs w:val="15"/>
                <w:lang w:val="en-US" w:bidi="ar"/>
              </w:rPr>
              <w:t xml:space="preserve">不依法受理举报、投诉或者受理后未在法定期 </w:t>
            </w:r>
          </w:p>
          <w:p>
            <w:pPr>
              <w:widowControl/>
              <w:jc w:val="both"/>
              <w:rPr>
                <w:sz w:val="15"/>
                <w:szCs w:val="15"/>
              </w:rPr>
            </w:pPr>
            <w:r>
              <w:rPr>
                <w:rFonts w:hint="eastAsia"/>
                <w:color w:val="000000"/>
                <w:sz w:val="15"/>
                <w:szCs w:val="15"/>
                <w:lang w:val="en-US" w:bidi="ar"/>
              </w:rPr>
              <w:t xml:space="preserve">限内处理的； </w:t>
            </w:r>
          </w:p>
          <w:p>
            <w:pPr>
              <w:widowControl/>
              <w:jc w:val="both"/>
              <w:rPr>
                <w:sz w:val="15"/>
                <w:szCs w:val="15"/>
              </w:rPr>
            </w:pPr>
            <w:r>
              <w:rPr>
                <w:rFonts w:ascii="TimesNewRomanPSMT" w:hAnsi="TimesNewRomanPSMT" w:eastAsia="TimesNewRomanPSMT" w:cs="TimesNewRomanPSMT"/>
                <w:color w:val="000000"/>
                <w:sz w:val="15"/>
                <w:szCs w:val="15"/>
                <w:lang w:val="en-US" w:bidi="ar"/>
              </w:rPr>
              <w:t>3.</w:t>
            </w:r>
            <w:r>
              <w:rPr>
                <w:rFonts w:hint="eastAsia"/>
                <w:color w:val="000000"/>
                <w:sz w:val="15"/>
                <w:szCs w:val="15"/>
                <w:lang w:val="en-US" w:bidi="ar"/>
              </w:rPr>
              <w:t xml:space="preserve">对符合立案条件而不予立案的； </w:t>
            </w:r>
          </w:p>
          <w:p>
            <w:pPr>
              <w:widowControl/>
              <w:jc w:val="both"/>
              <w:rPr>
                <w:sz w:val="15"/>
                <w:szCs w:val="15"/>
              </w:rPr>
            </w:pPr>
            <w:r>
              <w:rPr>
                <w:rFonts w:ascii="TimesNewRomanPSMT" w:hAnsi="TimesNewRomanPSMT" w:eastAsia="TimesNewRomanPSMT" w:cs="TimesNewRomanPSMT"/>
                <w:color w:val="000000"/>
                <w:sz w:val="15"/>
                <w:szCs w:val="15"/>
                <w:lang w:val="en-US" w:bidi="ar"/>
              </w:rPr>
              <w:t>4.</w:t>
            </w:r>
            <w:r>
              <w:rPr>
                <w:rFonts w:hint="eastAsia"/>
                <w:color w:val="000000"/>
                <w:sz w:val="15"/>
                <w:szCs w:val="15"/>
                <w:lang w:val="en-US" w:bidi="ar"/>
              </w:rPr>
              <w:t xml:space="preserve">对不符合立案条件而立案调查的； </w:t>
            </w:r>
          </w:p>
          <w:p>
            <w:pPr>
              <w:widowControl/>
              <w:jc w:val="both"/>
              <w:rPr>
                <w:sz w:val="15"/>
                <w:szCs w:val="15"/>
              </w:rPr>
            </w:pPr>
            <w:r>
              <w:rPr>
                <w:rFonts w:ascii="TimesNewRomanPSMT" w:hAnsi="TimesNewRomanPSMT" w:eastAsia="TimesNewRomanPSMT" w:cs="TimesNewRomanPSMT"/>
                <w:color w:val="000000"/>
                <w:sz w:val="15"/>
                <w:szCs w:val="15"/>
                <w:lang w:val="en-US" w:bidi="ar"/>
              </w:rPr>
              <w:t>5</w:t>
            </w:r>
            <w:r>
              <w:rPr>
                <w:rFonts w:hint="eastAsia"/>
                <w:color w:val="000000"/>
                <w:sz w:val="15"/>
                <w:szCs w:val="15"/>
                <w:lang w:val="en-US" w:bidi="ar"/>
              </w:rPr>
              <w:t xml:space="preserve">没有法定的行政处罚依据的； </w:t>
            </w:r>
          </w:p>
          <w:p>
            <w:pPr>
              <w:widowControl/>
              <w:jc w:val="both"/>
              <w:rPr>
                <w:sz w:val="15"/>
                <w:szCs w:val="15"/>
              </w:rPr>
            </w:pPr>
            <w:r>
              <w:rPr>
                <w:rFonts w:ascii="TimesNewRomanPSMT" w:hAnsi="TimesNewRomanPSMT" w:eastAsia="TimesNewRomanPSMT" w:cs="TimesNewRomanPSMT"/>
                <w:color w:val="000000"/>
                <w:sz w:val="15"/>
                <w:szCs w:val="15"/>
                <w:lang w:val="en-US" w:bidi="ar"/>
              </w:rPr>
              <w:t>6.</w:t>
            </w:r>
            <w:r>
              <w:rPr>
                <w:rFonts w:hint="eastAsia"/>
                <w:color w:val="000000"/>
                <w:sz w:val="15"/>
                <w:szCs w:val="15"/>
                <w:lang w:val="en-US" w:bidi="ar"/>
              </w:rPr>
              <w:t xml:space="preserve">违反法定的行政处罚程序的； </w:t>
            </w:r>
          </w:p>
          <w:p>
            <w:pPr>
              <w:widowControl/>
              <w:jc w:val="both"/>
              <w:rPr>
                <w:sz w:val="15"/>
                <w:szCs w:val="15"/>
              </w:rPr>
            </w:pPr>
            <w:r>
              <w:rPr>
                <w:rFonts w:ascii="TimesNewRomanPSMT" w:hAnsi="TimesNewRomanPSMT" w:eastAsia="TimesNewRomanPSMT" w:cs="TimesNewRomanPSMT"/>
                <w:color w:val="000000"/>
                <w:sz w:val="15"/>
                <w:szCs w:val="15"/>
                <w:lang w:val="en-US" w:bidi="ar"/>
              </w:rPr>
              <w:t>7.</w:t>
            </w:r>
            <w:r>
              <w:rPr>
                <w:rFonts w:hint="eastAsia"/>
                <w:color w:val="000000"/>
                <w:sz w:val="15"/>
                <w:szCs w:val="15"/>
                <w:lang w:val="en-US" w:bidi="ar"/>
              </w:rPr>
              <w:t xml:space="preserve">擅自改变行政处罚种类、幅度的； </w:t>
            </w:r>
          </w:p>
          <w:p>
            <w:pPr>
              <w:widowControl/>
              <w:jc w:val="both"/>
              <w:rPr>
                <w:sz w:val="15"/>
                <w:szCs w:val="15"/>
              </w:rPr>
            </w:pPr>
            <w:r>
              <w:rPr>
                <w:rFonts w:ascii="TimesNewRomanPSMT" w:hAnsi="TimesNewRomanPSMT" w:eastAsia="TimesNewRomanPSMT" w:cs="TimesNewRomanPSMT"/>
                <w:color w:val="000000"/>
                <w:sz w:val="15"/>
                <w:szCs w:val="15"/>
                <w:lang w:val="en-US" w:bidi="ar"/>
              </w:rPr>
              <w:t>8.</w:t>
            </w:r>
            <w:r>
              <w:rPr>
                <w:rFonts w:hint="eastAsia"/>
                <w:color w:val="000000"/>
                <w:sz w:val="15"/>
                <w:szCs w:val="15"/>
                <w:lang w:val="en-US" w:bidi="ar"/>
              </w:rPr>
              <w:t xml:space="preserve">对当事人进行处罚不使用罚款、没收财物单据 </w:t>
            </w:r>
          </w:p>
          <w:p>
            <w:pPr>
              <w:widowControl/>
              <w:jc w:val="both"/>
              <w:rPr>
                <w:sz w:val="15"/>
                <w:szCs w:val="15"/>
              </w:rPr>
            </w:pPr>
            <w:r>
              <w:rPr>
                <w:rFonts w:hint="eastAsia"/>
                <w:color w:val="000000"/>
                <w:sz w:val="15"/>
                <w:szCs w:val="15"/>
                <w:lang w:val="en-US" w:bidi="ar"/>
              </w:rPr>
              <w:t xml:space="preserve">或者使用非法定部门制发的罚款、没收财物单 </w:t>
            </w:r>
          </w:p>
          <w:p>
            <w:pPr>
              <w:widowControl/>
              <w:jc w:val="both"/>
              <w:rPr>
                <w:sz w:val="15"/>
                <w:szCs w:val="15"/>
              </w:rPr>
            </w:pPr>
            <w:r>
              <w:rPr>
                <w:rFonts w:hint="eastAsia"/>
                <w:color w:val="000000"/>
                <w:sz w:val="15"/>
                <w:szCs w:val="15"/>
                <w:lang w:val="en-US" w:bidi="ar"/>
              </w:rPr>
              <w:t xml:space="preserve">据的； </w:t>
            </w:r>
          </w:p>
          <w:p>
            <w:pPr>
              <w:widowControl/>
              <w:jc w:val="both"/>
              <w:rPr>
                <w:sz w:val="15"/>
                <w:szCs w:val="15"/>
              </w:rPr>
            </w:pPr>
            <w:r>
              <w:rPr>
                <w:rFonts w:ascii="TimesNewRomanPSMT" w:hAnsi="TimesNewRomanPSMT" w:eastAsia="TimesNewRomanPSMT" w:cs="TimesNewRomanPSMT"/>
                <w:color w:val="000000"/>
                <w:sz w:val="15"/>
                <w:szCs w:val="15"/>
                <w:lang w:val="en-US" w:bidi="ar"/>
              </w:rPr>
              <w:t>9.</w:t>
            </w:r>
            <w:r>
              <w:rPr>
                <w:rFonts w:hint="eastAsia"/>
                <w:color w:val="000000"/>
                <w:sz w:val="15"/>
                <w:szCs w:val="15"/>
                <w:lang w:val="en-US" w:bidi="ar"/>
              </w:rPr>
              <w:t xml:space="preserve">违反法律规定自行收缴罚款的； </w:t>
            </w:r>
          </w:p>
          <w:p>
            <w:pPr>
              <w:widowControl/>
              <w:jc w:val="both"/>
              <w:rPr>
                <w:sz w:val="15"/>
                <w:szCs w:val="15"/>
              </w:rPr>
            </w:pPr>
            <w:r>
              <w:rPr>
                <w:rFonts w:ascii="TimesNewRomanPSMT" w:hAnsi="TimesNewRomanPSMT" w:eastAsia="TimesNewRomanPSMT" w:cs="TimesNewRomanPSMT"/>
                <w:color w:val="000000"/>
                <w:sz w:val="15"/>
                <w:szCs w:val="15"/>
                <w:lang w:val="en-US" w:bidi="ar"/>
              </w:rPr>
              <w:t>10.</w:t>
            </w:r>
            <w:r>
              <w:rPr>
                <w:rFonts w:hint="eastAsia"/>
                <w:color w:val="000000"/>
                <w:sz w:val="15"/>
                <w:szCs w:val="15"/>
                <w:lang w:val="en-US" w:bidi="ar"/>
              </w:rPr>
              <w:t xml:space="preserve">将罚款、没收的违法所得或者财物截留、私 </w:t>
            </w:r>
          </w:p>
          <w:p>
            <w:pPr>
              <w:widowControl/>
              <w:jc w:val="both"/>
              <w:rPr>
                <w:sz w:val="15"/>
                <w:szCs w:val="15"/>
              </w:rPr>
            </w:pPr>
            <w:r>
              <w:rPr>
                <w:rFonts w:hint="eastAsia"/>
                <w:color w:val="000000"/>
                <w:sz w:val="15"/>
                <w:szCs w:val="15"/>
                <w:lang w:val="en-US" w:bidi="ar"/>
              </w:rPr>
              <w:t xml:space="preserve">分或者变相私分的； </w:t>
            </w:r>
          </w:p>
          <w:p>
            <w:pPr>
              <w:widowControl/>
              <w:jc w:val="both"/>
              <w:rPr>
                <w:sz w:val="15"/>
                <w:szCs w:val="15"/>
              </w:rPr>
            </w:pPr>
            <w:r>
              <w:rPr>
                <w:rFonts w:ascii="TimesNewRomanPSMT" w:hAnsi="TimesNewRomanPSMT" w:eastAsia="TimesNewRomanPSMT" w:cs="TimesNewRomanPSMT"/>
                <w:color w:val="000000"/>
                <w:sz w:val="15"/>
                <w:szCs w:val="15"/>
                <w:lang w:val="en-US" w:bidi="ar"/>
              </w:rPr>
              <w:t>11.</w:t>
            </w:r>
            <w:r>
              <w:rPr>
                <w:rFonts w:hint="eastAsia"/>
                <w:color w:val="000000"/>
                <w:sz w:val="15"/>
                <w:szCs w:val="15"/>
                <w:lang w:val="en-US" w:bidi="ar"/>
              </w:rPr>
              <w:t xml:space="preserve">为牟取本单位私利，对应当移交司法机关追 </w:t>
            </w:r>
          </w:p>
          <w:p>
            <w:pPr>
              <w:widowControl/>
              <w:jc w:val="both"/>
              <w:rPr>
                <w:sz w:val="15"/>
                <w:szCs w:val="15"/>
              </w:rPr>
            </w:pPr>
            <w:r>
              <w:rPr>
                <w:rFonts w:hint="eastAsia"/>
                <w:color w:val="000000"/>
                <w:sz w:val="15"/>
                <w:szCs w:val="15"/>
                <w:lang w:val="en-US" w:bidi="ar"/>
              </w:rPr>
              <w:t xml:space="preserve">究刑事责任的不移交，以行政处罚代替刑罚； </w:t>
            </w:r>
          </w:p>
          <w:p>
            <w:pPr>
              <w:widowControl/>
              <w:jc w:val="both"/>
              <w:rPr>
                <w:sz w:val="15"/>
                <w:szCs w:val="15"/>
              </w:rPr>
            </w:pPr>
            <w:r>
              <w:rPr>
                <w:rFonts w:ascii="TimesNewRomanPSMT" w:hAnsi="TimesNewRomanPSMT" w:eastAsia="TimesNewRomanPSMT" w:cs="TimesNewRomanPSMT"/>
                <w:color w:val="000000"/>
                <w:sz w:val="15"/>
                <w:szCs w:val="15"/>
                <w:lang w:val="en-US" w:bidi="ar"/>
              </w:rPr>
              <w:t>12.</w:t>
            </w:r>
            <w:r>
              <w:rPr>
                <w:rFonts w:hint="eastAsia"/>
                <w:color w:val="000000"/>
                <w:sz w:val="15"/>
                <w:szCs w:val="15"/>
                <w:lang w:val="en-US" w:bidi="ar"/>
              </w:rPr>
              <w:t>其他法律、法规、规章、文件规定的行为。</w:t>
            </w:r>
          </w:p>
          <w:p>
            <w:pPr>
              <w:pStyle w:val="9"/>
              <w:tabs>
                <w:tab w:val="left" w:pos="145"/>
              </w:tabs>
              <w:spacing w:line="206" w:lineRule="exact"/>
              <w:ind w:left="31"/>
              <w:jc w:val="both"/>
              <w:rPr>
                <w:sz w:val="15"/>
                <w:szCs w:val="15"/>
              </w:rPr>
            </w:pPr>
          </w:p>
        </w:tc>
      </w:tr>
    </w:tbl>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spacing w:before="2"/>
        <w:rPr>
          <w:rFonts w:ascii="Times New Roman"/>
          <w:sz w:val="16"/>
        </w:rPr>
      </w:pPr>
    </w:p>
    <w:tbl>
      <w:tblPr>
        <w:tblStyle w:val="5"/>
        <w:tblW w:w="14514"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748"/>
        <w:gridCol w:w="575"/>
        <w:gridCol w:w="2853"/>
        <w:gridCol w:w="444"/>
        <w:gridCol w:w="744"/>
        <w:gridCol w:w="876"/>
        <w:gridCol w:w="444"/>
        <w:gridCol w:w="3538"/>
        <w:gridCol w:w="351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3" w:hRule="atLeast"/>
        </w:trPr>
        <w:tc>
          <w:tcPr>
            <w:tcW w:w="336" w:type="dxa"/>
            <w:vMerge w:val="restart"/>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444" w:type="dxa"/>
            <w:vMerge w:val="restart"/>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323" w:type="dxa"/>
            <w:gridSpan w:val="2"/>
          </w:tcPr>
          <w:p>
            <w:pPr>
              <w:pStyle w:val="9"/>
              <w:spacing w:before="117"/>
              <w:ind w:left="201"/>
              <w:rPr>
                <w:rFonts w:ascii="黑体" w:eastAsia="黑体"/>
                <w:b/>
                <w:sz w:val="18"/>
              </w:rPr>
            </w:pPr>
            <w:r>
              <w:rPr>
                <w:rFonts w:hint="eastAsia" w:ascii="黑体" w:eastAsia="黑体"/>
                <w:b/>
                <w:sz w:val="18"/>
              </w:rPr>
              <w:t>职权名称</w:t>
            </w:r>
          </w:p>
        </w:tc>
        <w:tc>
          <w:tcPr>
            <w:tcW w:w="2853" w:type="dxa"/>
            <w:vMerge w:val="restart"/>
          </w:tcPr>
          <w:p>
            <w:pPr>
              <w:pStyle w:val="9"/>
              <w:rPr>
                <w:rFonts w:ascii="Times New Roman"/>
                <w:sz w:val="18"/>
              </w:rPr>
            </w:pPr>
          </w:p>
          <w:p>
            <w:pPr>
              <w:pStyle w:val="9"/>
              <w:spacing w:before="140"/>
              <w:ind w:right="1120" w:firstLine="904" w:firstLineChars="500"/>
              <w:jc w:val="both"/>
              <w:rPr>
                <w:rFonts w:ascii="黑体" w:eastAsia="黑体"/>
                <w:b/>
                <w:sz w:val="18"/>
              </w:rPr>
            </w:pPr>
            <w:r>
              <w:rPr>
                <w:rFonts w:hint="eastAsia" w:ascii="黑体" w:eastAsia="黑体"/>
                <w:b/>
                <w:sz w:val="18"/>
              </w:rPr>
              <w:t>实施依据</w:t>
            </w:r>
          </w:p>
        </w:tc>
        <w:tc>
          <w:tcPr>
            <w:tcW w:w="444" w:type="dxa"/>
            <w:vMerge w:val="restart"/>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44" w:type="dxa"/>
            <w:vMerge w:val="restart"/>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76" w:type="dxa"/>
            <w:vMerge w:val="restart"/>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44" w:type="dxa"/>
            <w:vMerge w:val="restart"/>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538" w:type="dxa"/>
            <w:vMerge w:val="restart"/>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512" w:type="dxa"/>
            <w:vMerge w:val="restart"/>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vMerge w:val="continue"/>
            <w:tcBorders>
              <w:top w:val="nil"/>
            </w:tcBorders>
          </w:tcPr>
          <w:p>
            <w:pPr>
              <w:rPr>
                <w:sz w:val="2"/>
                <w:szCs w:val="2"/>
              </w:rPr>
            </w:pPr>
          </w:p>
        </w:tc>
        <w:tc>
          <w:tcPr>
            <w:tcW w:w="444" w:type="dxa"/>
            <w:vMerge w:val="continue"/>
            <w:tcBorders>
              <w:top w:val="nil"/>
            </w:tcBorders>
          </w:tcPr>
          <w:p>
            <w:pPr>
              <w:rPr>
                <w:sz w:val="2"/>
                <w:szCs w:val="2"/>
              </w:rPr>
            </w:pPr>
          </w:p>
        </w:tc>
        <w:tc>
          <w:tcPr>
            <w:tcW w:w="748" w:type="dxa"/>
          </w:tcPr>
          <w:p>
            <w:pPr>
              <w:pStyle w:val="9"/>
              <w:spacing w:before="117"/>
              <w:ind w:left="85"/>
              <w:rPr>
                <w:rFonts w:ascii="黑体" w:eastAsia="黑体"/>
                <w:b/>
                <w:sz w:val="18"/>
              </w:rPr>
            </w:pPr>
            <w:r>
              <w:rPr>
                <w:rFonts w:hint="eastAsia" w:ascii="黑体" w:eastAsia="黑体"/>
                <w:b/>
                <w:sz w:val="18"/>
              </w:rPr>
              <w:t>项目</w:t>
            </w:r>
          </w:p>
        </w:tc>
        <w:tc>
          <w:tcPr>
            <w:tcW w:w="575" w:type="dxa"/>
          </w:tcPr>
          <w:p>
            <w:pPr>
              <w:pStyle w:val="9"/>
              <w:spacing w:before="117"/>
              <w:ind w:left="119"/>
              <w:rPr>
                <w:rFonts w:ascii="黑体" w:eastAsia="黑体"/>
                <w:b/>
                <w:sz w:val="18"/>
              </w:rPr>
            </w:pPr>
            <w:r>
              <w:rPr>
                <w:rFonts w:hint="eastAsia" w:ascii="黑体" w:eastAsia="黑体"/>
                <w:b/>
                <w:sz w:val="18"/>
              </w:rPr>
              <w:t>子项</w:t>
            </w:r>
          </w:p>
        </w:tc>
        <w:tc>
          <w:tcPr>
            <w:tcW w:w="2853" w:type="dxa"/>
            <w:vMerge w:val="continue"/>
            <w:tcBorders>
              <w:top w:val="nil"/>
            </w:tcBorders>
          </w:tcPr>
          <w:p>
            <w:pPr>
              <w:rPr>
                <w:sz w:val="2"/>
                <w:szCs w:val="2"/>
              </w:rPr>
            </w:pPr>
          </w:p>
        </w:tc>
        <w:tc>
          <w:tcPr>
            <w:tcW w:w="444" w:type="dxa"/>
            <w:vMerge w:val="continue"/>
            <w:tcBorders>
              <w:top w:val="nil"/>
            </w:tcBorders>
          </w:tcPr>
          <w:p>
            <w:pPr>
              <w:rPr>
                <w:sz w:val="2"/>
                <w:szCs w:val="2"/>
              </w:rPr>
            </w:pPr>
          </w:p>
        </w:tc>
        <w:tc>
          <w:tcPr>
            <w:tcW w:w="744" w:type="dxa"/>
            <w:vMerge w:val="continue"/>
            <w:tcBorders>
              <w:top w:val="nil"/>
            </w:tcBorders>
          </w:tcPr>
          <w:p>
            <w:pPr>
              <w:rPr>
                <w:sz w:val="2"/>
                <w:szCs w:val="2"/>
              </w:rPr>
            </w:pPr>
          </w:p>
        </w:tc>
        <w:tc>
          <w:tcPr>
            <w:tcW w:w="876" w:type="dxa"/>
            <w:vMerge w:val="continue"/>
            <w:tcBorders>
              <w:top w:val="nil"/>
            </w:tcBorders>
          </w:tcPr>
          <w:p>
            <w:pPr>
              <w:rPr>
                <w:sz w:val="2"/>
                <w:szCs w:val="2"/>
              </w:rPr>
            </w:pPr>
          </w:p>
        </w:tc>
        <w:tc>
          <w:tcPr>
            <w:tcW w:w="444" w:type="dxa"/>
            <w:vMerge w:val="continue"/>
            <w:tcBorders>
              <w:top w:val="nil"/>
            </w:tcBorders>
          </w:tcPr>
          <w:p>
            <w:pPr>
              <w:rPr>
                <w:sz w:val="2"/>
                <w:szCs w:val="2"/>
              </w:rPr>
            </w:pPr>
          </w:p>
        </w:tc>
        <w:tc>
          <w:tcPr>
            <w:tcW w:w="3538" w:type="dxa"/>
            <w:vMerge w:val="continue"/>
            <w:tcBorders>
              <w:top w:val="nil"/>
            </w:tcBorders>
          </w:tcPr>
          <w:p>
            <w:pPr>
              <w:rPr>
                <w:sz w:val="2"/>
                <w:szCs w:val="2"/>
              </w:rPr>
            </w:pPr>
          </w:p>
        </w:tc>
        <w:tc>
          <w:tcPr>
            <w:tcW w:w="3512"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376" w:hRule="atLeast"/>
        </w:trPr>
        <w:tc>
          <w:tcPr>
            <w:tcW w:w="336" w:type="dxa"/>
            <w:vAlign w:val="center"/>
          </w:tcPr>
          <w:p>
            <w:pPr>
              <w:pStyle w:val="9"/>
              <w:spacing w:before="112"/>
              <w:ind w:left="28"/>
              <w:jc w:val="center"/>
              <w:rPr>
                <w:rFonts w:ascii="Times New Roman"/>
                <w:sz w:val="16"/>
                <w:szCs w:val="16"/>
              </w:rPr>
            </w:pPr>
            <w:r>
              <w:rPr>
                <w:rFonts w:hint="eastAsia" w:ascii="Times New Roman"/>
                <w:sz w:val="16"/>
                <w:szCs w:val="16"/>
                <w:lang w:val="en-US"/>
              </w:rPr>
              <w:t>4</w:t>
            </w:r>
          </w:p>
        </w:tc>
        <w:tc>
          <w:tcPr>
            <w:tcW w:w="444" w:type="dxa"/>
            <w:vAlign w:val="center"/>
          </w:tcPr>
          <w:p>
            <w:pPr>
              <w:pStyle w:val="9"/>
              <w:ind w:left="33"/>
              <w:rPr>
                <w:rFonts w:ascii="Times New Roman"/>
                <w:sz w:val="16"/>
                <w:szCs w:val="16"/>
              </w:rPr>
            </w:pPr>
            <w:r>
              <w:rPr>
                <w:rFonts w:ascii="Times New Roman"/>
                <w:w w:val="105"/>
                <w:sz w:val="16"/>
                <w:szCs w:val="16"/>
              </w:rPr>
              <w:t>65010</w:t>
            </w:r>
            <w:r>
              <w:rPr>
                <w:rFonts w:hint="eastAsia" w:ascii="Times New Roman"/>
                <w:w w:val="105"/>
                <w:sz w:val="16"/>
                <w:szCs w:val="16"/>
                <w:lang w:val="en-US"/>
              </w:rPr>
              <w:t>9</w:t>
            </w:r>
            <w:r>
              <w:rPr>
                <w:rFonts w:ascii="Times New Roman"/>
                <w:w w:val="105"/>
                <w:sz w:val="16"/>
                <w:szCs w:val="16"/>
              </w:rPr>
              <w:t>201</w:t>
            </w:r>
            <w:r>
              <w:rPr>
                <w:rFonts w:ascii="Times New Roman"/>
                <w:sz w:val="16"/>
                <w:szCs w:val="16"/>
              </w:rPr>
              <w:t>CF00</w:t>
            </w:r>
            <w:r>
              <w:rPr>
                <w:rFonts w:hint="eastAsia" w:ascii="Times New Roman"/>
                <w:sz w:val="16"/>
                <w:szCs w:val="16"/>
                <w:lang w:val="en-US"/>
              </w:rPr>
              <w:t>4</w:t>
            </w:r>
          </w:p>
        </w:tc>
        <w:tc>
          <w:tcPr>
            <w:tcW w:w="748" w:type="dxa"/>
            <w:vAlign w:val="center"/>
          </w:tcPr>
          <w:p>
            <w:pPr>
              <w:widowControl/>
              <w:rPr>
                <w:sz w:val="16"/>
                <w:szCs w:val="16"/>
              </w:rPr>
            </w:pPr>
            <w:r>
              <w:rPr>
                <w:color w:val="000000"/>
                <w:sz w:val="16"/>
                <w:szCs w:val="16"/>
                <w:lang w:val="en-US" w:bidi="ar"/>
              </w:rPr>
              <w:t>对未经批准</w:t>
            </w:r>
            <w:r>
              <w:rPr>
                <w:rFonts w:hint="eastAsia"/>
                <w:color w:val="000000"/>
                <w:sz w:val="16"/>
                <w:szCs w:val="16"/>
                <w:lang w:val="en-US" w:bidi="ar"/>
              </w:rPr>
              <w:t>或者未采取安全措施，在煤矿采区</w:t>
            </w:r>
          </w:p>
          <w:p>
            <w:pPr>
              <w:widowControl/>
              <w:rPr>
                <w:rFonts w:hint="eastAsia"/>
                <w:sz w:val="16"/>
                <w:szCs w:val="16"/>
              </w:rPr>
            </w:pPr>
            <w:r>
              <w:rPr>
                <w:rFonts w:hint="eastAsia"/>
                <w:color w:val="000000"/>
                <w:sz w:val="16"/>
                <w:szCs w:val="16"/>
                <w:lang w:val="en-US" w:bidi="ar"/>
              </w:rPr>
              <w:t>范围内进行危及煤矿安全作业的处罚</w:t>
            </w:r>
          </w:p>
        </w:tc>
        <w:tc>
          <w:tcPr>
            <w:tcW w:w="575" w:type="dxa"/>
            <w:vAlign w:val="center"/>
          </w:tcPr>
          <w:p>
            <w:pPr>
              <w:pStyle w:val="9"/>
              <w:jc w:val="center"/>
              <w:rPr>
                <w:rFonts w:ascii="Times New Roman"/>
                <w:sz w:val="16"/>
                <w:szCs w:val="16"/>
              </w:rPr>
            </w:pPr>
          </w:p>
        </w:tc>
        <w:tc>
          <w:tcPr>
            <w:tcW w:w="2853" w:type="dxa"/>
            <w:vAlign w:val="center"/>
          </w:tcPr>
          <w:p>
            <w:pPr>
              <w:widowControl/>
              <w:jc w:val="both"/>
              <w:rPr>
                <w:sz w:val="16"/>
                <w:szCs w:val="16"/>
              </w:rPr>
            </w:pPr>
            <w:r>
              <w:rPr>
                <w:color w:val="000000"/>
                <w:sz w:val="16"/>
                <w:szCs w:val="16"/>
                <w:lang w:val="en-US" w:bidi="ar"/>
              </w:rPr>
              <w:t>《中华人民共和国煤炭法》第五十四条第一款 任</w:t>
            </w:r>
          </w:p>
          <w:p>
            <w:pPr>
              <w:widowControl/>
              <w:jc w:val="both"/>
              <w:rPr>
                <w:sz w:val="16"/>
                <w:szCs w:val="16"/>
              </w:rPr>
            </w:pPr>
            <w:r>
              <w:rPr>
                <w:rFonts w:hint="eastAsia"/>
                <w:color w:val="000000"/>
                <w:sz w:val="16"/>
                <w:szCs w:val="16"/>
                <w:lang w:val="en-US" w:bidi="ar"/>
              </w:rPr>
              <w:t>何单位或者个人需要在煤矿采区范围内进行可能</w:t>
            </w:r>
          </w:p>
          <w:p>
            <w:pPr>
              <w:widowControl/>
              <w:jc w:val="both"/>
              <w:rPr>
                <w:sz w:val="16"/>
                <w:szCs w:val="16"/>
              </w:rPr>
            </w:pPr>
            <w:r>
              <w:rPr>
                <w:rFonts w:hint="eastAsia"/>
                <w:color w:val="000000"/>
                <w:sz w:val="16"/>
                <w:szCs w:val="16"/>
                <w:lang w:val="en-US" w:bidi="ar"/>
              </w:rPr>
              <w:t>危及煤矿安全的作业时，应当经煤矿企业同意，</w:t>
            </w:r>
          </w:p>
          <w:p>
            <w:pPr>
              <w:widowControl/>
              <w:jc w:val="both"/>
              <w:rPr>
                <w:sz w:val="16"/>
                <w:szCs w:val="16"/>
              </w:rPr>
            </w:pPr>
            <w:r>
              <w:rPr>
                <w:rFonts w:hint="eastAsia"/>
                <w:color w:val="000000"/>
                <w:sz w:val="16"/>
                <w:szCs w:val="16"/>
                <w:lang w:val="en-US" w:bidi="ar"/>
              </w:rPr>
              <w:t>报煤炭管理部门批准，并采取安全措施后，方可</w:t>
            </w:r>
          </w:p>
          <w:p>
            <w:pPr>
              <w:widowControl/>
              <w:jc w:val="both"/>
              <w:rPr>
                <w:color w:val="000000"/>
                <w:sz w:val="16"/>
                <w:szCs w:val="16"/>
                <w:lang w:val="en-US" w:bidi="ar"/>
              </w:rPr>
            </w:pPr>
            <w:r>
              <w:rPr>
                <w:rFonts w:hint="eastAsia"/>
                <w:color w:val="000000"/>
                <w:sz w:val="16"/>
                <w:szCs w:val="16"/>
                <w:lang w:val="en-US" w:bidi="ar"/>
              </w:rPr>
              <w:t>进行作业。</w:t>
            </w:r>
          </w:p>
          <w:p>
            <w:pPr>
              <w:widowControl/>
              <w:jc w:val="both"/>
              <w:rPr>
                <w:sz w:val="16"/>
                <w:szCs w:val="16"/>
              </w:rPr>
            </w:pPr>
            <w:r>
              <w:rPr>
                <w:rFonts w:hint="eastAsia"/>
                <w:color w:val="000000"/>
                <w:sz w:val="16"/>
                <w:szCs w:val="16"/>
                <w:lang w:val="en-US" w:bidi="ar"/>
              </w:rPr>
              <w:t>第六十四条 违反本法第五十四条的规定，未批准或者未采取安全措施，在煤矿采区范围内进行危及煤矿安全作业的，由煤炭管理部门责令停止作</w:t>
            </w:r>
          </w:p>
          <w:p>
            <w:pPr>
              <w:widowControl/>
              <w:jc w:val="both"/>
              <w:rPr>
                <w:sz w:val="16"/>
                <w:szCs w:val="16"/>
              </w:rPr>
            </w:pPr>
            <w:r>
              <w:rPr>
                <w:rFonts w:hint="eastAsia"/>
                <w:color w:val="000000"/>
                <w:sz w:val="16"/>
                <w:szCs w:val="16"/>
                <w:lang w:val="en-US" w:bidi="ar"/>
              </w:rPr>
              <w:t>业，可以并处五万元以下的罚款；造成损失的，依法承担赔偿责任</w:t>
            </w:r>
          </w:p>
          <w:p>
            <w:pPr>
              <w:pStyle w:val="9"/>
              <w:spacing w:before="126" w:line="189" w:lineRule="auto"/>
              <w:ind w:left="33" w:right="62"/>
              <w:jc w:val="both"/>
              <w:rPr>
                <w:sz w:val="16"/>
                <w:szCs w:val="16"/>
              </w:rPr>
            </w:pPr>
          </w:p>
        </w:tc>
        <w:tc>
          <w:tcPr>
            <w:tcW w:w="444" w:type="dxa"/>
            <w:vAlign w:val="center"/>
          </w:tcPr>
          <w:p>
            <w:pPr>
              <w:widowControl/>
              <w:jc w:val="center"/>
              <w:rPr>
                <w:sz w:val="16"/>
                <w:szCs w:val="16"/>
              </w:rPr>
            </w:pPr>
            <w:r>
              <w:rPr>
                <w:color w:val="000000"/>
                <w:sz w:val="16"/>
                <w:szCs w:val="16"/>
                <w:lang w:val="en-US" w:bidi="ar"/>
              </w:rPr>
              <w:t>煤矿</w:t>
            </w:r>
          </w:p>
          <w:p>
            <w:pPr>
              <w:widowControl/>
              <w:jc w:val="center"/>
              <w:rPr>
                <w:sz w:val="16"/>
                <w:szCs w:val="16"/>
              </w:rPr>
            </w:pPr>
            <w:r>
              <w:rPr>
                <w:rFonts w:hint="eastAsia"/>
                <w:color w:val="000000"/>
                <w:sz w:val="16"/>
                <w:szCs w:val="16"/>
                <w:lang w:val="en-US" w:bidi="ar"/>
              </w:rPr>
              <w:t>企业</w:t>
            </w:r>
          </w:p>
          <w:p>
            <w:pPr>
              <w:pStyle w:val="9"/>
              <w:spacing w:before="4" w:line="189" w:lineRule="auto"/>
              <w:ind w:left="83" w:right="49"/>
              <w:jc w:val="center"/>
              <w:rPr>
                <w:sz w:val="16"/>
                <w:szCs w:val="16"/>
              </w:rPr>
            </w:pPr>
          </w:p>
        </w:tc>
        <w:tc>
          <w:tcPr>
            <w:tcW w:w="744" w:type="dxa"/>
            <w:vAlign w:val="center"/>
          </w:tcPr>
          <w:p>
            <w:pPr>
              <w:pStyle w:val="9"/>
              <w:spacing w:before="7"/>
              <w:ind w:right="66"/>
              <w:jc w:val="center"/>
              <w:rPr>
                <w:rFonts w:ascii="Times New Roman" w:eastAsia="Times New Roman"/>
                <w:sz w:val="16"/>
                <w:szCs w:val="16"/>
              </w:rPr>
            </w:pPr>
            <w:r>
              <w:rPr>
                <w:rFonts w:hint="eastAsia"/>
                <w:color w:val="000000"/>
                <w:sz w:val="16"/>
                <w:szCs w:val="16"/>
                <w:lang w:val="en-US" w:bidi="ar"/>
              </w:rPr>
              <w:t>安全科3311262</w:t>
            </w:r>
          </w:p>
        </w:tc>
        <w:tc>
          <w:tcPr>
            <w:tcW w:w="876" w:type="dxa"/>
            <w:vAlign w:val="center"/>
          </w:tcPr>
          <w:p>
            <w:pPr>
              <w:pStyle w:val="9"/>
              <w:ind w:left="32"/>
              <w:jc w:val="center"/>
              <w:rPr>
                <w:sz w:val="16"/>
                <w:szCs w:val="16"/>
              </w:rPr>
            </w:pPr>
            <w:r>
              <w:rPr>
                <w:w w:val="102"/>
                <w:sz w:val="16"/>
                <w:szCs w:val="16"/>
              </w:rPr>
              <w:t>无</w:t>
            </w:r>
          </w:p>
        </w:tc>
        <w:tc>
          <w:tcPr>
            <w:tcW w:w="444" w:type="dxa"/>
            <w:vAlign w:val="center"/>
          </w:tcPr>
          <w:p>
            <w:pPr>
              <w:widowControl/>
              <w:jc w:val="center"/>
              <w:rPr>
                <w:color w:val="000000"/>
                <w:sz w:val="16"/>
                <w:szCs w:val="16"/>
                <w:lang w:val="en-US" w:bidi="ar"/>
              </w:rPr>
            </w:pPr>
            <w:r>
              <w:rPr>
                <w:rFonts w:hint="eastAsia"/>
                <w:color w:val="000000"/>
                <w:sz w:val="16"/>
                <w:szCs w:val="16"/>
                <w:lang w:val="en-US" w:bidi="ar"/>
              </w:rPr>
              <w:t>米东区发改委（工信局）</w:t>
            </w:r>
          </w:p>
          <w:p>
            <w:pPr>
              <w:widowControl/>
              <w:jc w:val="center"/>
              <w:rPr>
                <w:sz w:val="16"/>
                <w:szCs w:val="16"/>
              </w:rPr>
            </w:pPr>
          </w:p>
        </w:tc>
        <w:tc>
          <w:tcPr>
            <w:tcW w:w="3538" w:type="dxa"/>
            <w:vAlign w:val="center"/>
          </w:tcPr>
          <w:p>
            <w:pPr>
              <w:widowControl/>
              <w:jc w:val="both"/>
              <w:rPr>
                <w:sz w:val="16"/>
                <w:szCs w:val="16"/>
              </w:rPr>
            </w:pPr>
            <w:r>
              <w:rPr>
                <w:rFonts w:ascii="TimesNewRomanPSMT" w:hAnsi="TimesNewRomanPSMT" w:eastAsia="TimesNewRomanPSMT" w:cs="TimesNewRomanPSMT"/>
                <w:color w:val="000000"/>
                <w:sz w:val="16"/>
                <w:szCs w:val="16"/>
                <w:lang w:val="en-US" w:bidi="ar"/>
              </w:rPr>
              <w:t>1.</w:t>
            </w:r>
            <w:r>
              <w:rPr>
                <w:color w:val="000000"/>
                <w:sz w:val="16"/>
                <w:szCs w:val="16"/>
                <w:lang w:val="en-US" w:bidi="ar"/>
              </w:rPr>
              <w:t>立案责任：按照立案条件在规定期限内进行审查</w:t>
            </w:r>
          </w:p>
          <w:p>
            <w:pPr>
              <w:widowControl/>
              <w:jc w:val="both"/>
              <w:rPr>
                <w:sz w:val="16"/>
                <w:szCs w:val="16"/>
              </w:rPr>
            </w:pPr>
            <w:r>
              <w:rPr>
                <w:rFonts w:hint="eastAsia"/>
                <w:color w:val="000000"/>
                <w:sz w:val="16"/>
                <w:szCs w:val="16"/>
                <w:lang w:val="en-US" w:bidi="ar"/>
              </w:rPr>
              <w:t>并决定是否立案（不予立案应当告知理由）；对需要补充材料的，应当场一次性告知。</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调查责任：对违法违规行为进行调查，依法收集整理证据材料；执法人员不得少于两人，调查时应出示执法身份证件，允许当事人陈述申辩，并严格执行监察回避制度。</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审查责任：应当对案件违法事实、证据、调查取证程序、法律适用、处罚种类和幅度以及当事人陈述申辩理由等方面进行审查，并提出处理意见。对情节复杂或者重大违法行为给予较重的行政处罚，由市工信局（大数据发展局）局务会研究提出审查意见。</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告知责任：在做出行政处罚决定前，应书面告知当事人违法事实及其享有的陈述、申辩、要求听证等权利。</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决定责任：决定给予行政处罚的，应制作《行政处罚决定书》，载明违法事实和证据、处罚依据和内容、申请行政复议或提起行政诉讼的途径和期限等。</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送达责任：《行政处罚决定书》应在规定期限内依法送达当事人。</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执行责任：监督当事人在规定的期限内履行生效的行政处罚决定。当事人在法定期限内既不申请行政复议或者提起行政诉讼，又不履行处罚决定的，可依法向人民法院申请强制执行等措施。</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其他法律法规政策规定应履行的责任。</w:t>
            </w:r>
          </w:p>
          <w:p>
            <w:pPr>
              <w:pStyle w:val="9"/>
              <w:tabs>
                <w:tab w:val="left" w:pos="146"/>
              </w:tabs>
              <w:spacing w:line="205" w:lineRule="exact"/>
              <w:ind w:left="32"/>
              <w:jc w:val="both"/>
              <w:rPr>
                <w:sz w:val="16"/>
                <w:szCs w:val="16"/>
              </w:rPr>
            </w:pPr>
          </w:p>
        </w:tc>
        <w:tc>
          <w:tcPr>
            <w:tcW w:w="3512" w:type="dxa"/>
            <w:vAlign w:val="center"/>
          </w:tcPr>
          <w:p>
            <w:pPr>
              <w:widowControl/>
              <w:jc w:val="both"/>
              <w:rPr>
                <w:sz w:val="16"/>
                <w:szCs w:val="16"/>
              </w:rPr>
            </w:pPr>
            <w:r>
              <w:rPr>
                <w:color w:val="000000"/>
                <w:sz w:val="16"/>
                <w:szCs w:val="16"/>
                <w:lang w:val="en-US" w:bidi="ar"/>
              </w:rPr>
              <w:t xml:space="preserve">行政主管部门及其工作人员有下列行为之一 </w:t>
            </w:r>
            <w:r>
              <w:rPr>
                <w:rFonts w:hint="eastAsia"/>
                <w:color w:val="000000"/>
                <w:sz w:val="16"/>
                <w:szCs w:val="16"/>
                <w:lang w:val="en-US" w:bidi="ar"/>
              </w:rPr>
              <w:t xml:space="preserve">的，对直接负责的主管人员和其他直接责任人 员，依法给予处分；构成犯罪的，依法追究刑 事责任： </w:t>
            </w:r>
          </w:p>
          <w:p>
            <w:pPr>
              <w:widowControl/>
              <w:jc w:val="both"/>
              <w:rPr>
                <w:sz w:val="16"/>
                <w:szCs w:val="16"/>
              </w:rPr>
            </w:pPr>
            <w:r>
              <w:rPr>
                <w:rFonts w:ascii="TimesNewRomanPSMT" w:hAnsi="TimesNewRomanPSMT" w:eastAsia="TimesNewRomanPSMT" w:cs="TimesNewRomanPSMT"/>
                <w:color w:val="000000"/>
                <w:sz w:val="16"/>
                <w:szCs w:val="16"/>
                <w:lang w:val="en-US" w:bidi="ar"/>
              </w:rPr>
              <w:t>1.</w:t>
            </w:r>
            <w:r>
              <w:rPr>
                <w:rFonts w:hint="eastAsia"/>
                <w:color w:val="000000"/>
                <w:sz w:val="16"/>
                <w:szCs w:val="16"/>
                <w:lang w:val="en-US" w:bidi="ar"/>
              </w:rPr>
              <w:t xml:space="preserve">执法人员玩忽职守，对应当予以制止和处罚的 违法行为不予制止、处罚，致使国家资源遭受 损害的； </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 xml:space="preserve">不依法受理举报、投诉或者受理后未在法定期限内处理的； </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 xml:space="preserve">对符合立案条件而不予立案的； </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 xml:space="preserve">对不符合立案条件而立案调查的； </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 xml:space="preserve">没有法定的行政处罚依据的； </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 xml:space="preserve">违反法定的行政处罚程序的； </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 xml:space="preserve">擅自改变行政处罚种类、幅度的； </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 xml:space="preserve">对当事人进行处罚不使用罚款、没收财物单据或者使用非法定部门制发的罚款、没收财物单据的； </w:t>
            </w:r>
          </w:p>
          <w:p>
            <w:pPr>
              <w:widowControl/>
              <w:jc w:val="both"/>
              <w:rPr>
                <w:sz w:val="16"/>
                <w:szCs w:val="16"/>
              </w:rPr>
            </w:pPr>
            <w:r>
              <w:rPr>
                <w:rFonts w:ascii="TimesNewRomanPSMT" w:hAnsi="TimesNewRomanPSMT" w:eastAsia="TimesNewRomanPSMT" w:cs="TimesNewRomanPSMT"/>
                <w:color w:val="000000"/>
                <w:sz w:val="16"/>
                <w:szCs w:val="16"/>
                <w:lang w:val="en-US" w:bidi="ar"/>
              </w:rPr>
              <w:t>9.</w:t>
            </w:r>
            <w:r>
              <w:rPr>
                <w:rFonts w:hint="eastAsia"/>
                <w:color w:val="000000"/>
                <w:sz w:val="16"/>
                <w:szCs w:val="16"/>
                <w:lang w:val="en-US" w:bidi="ar"/>
              </w:rPr>
              <w:t xml:space="preserve">违反法律规定自行收缴罚款的； </w:t>
            </w:r>
          </w:p>
          <w:p>
            <w:pPr>
              <w:widowControl/>
              <w:jc w:val="both"/>
              <w:rPr>
                <w:sz w:val="16"/>
                <w:szCs w:val="16"/>
              </w:rPr>
            </w:pPr>
            <w:r>
              <w:rPr>
                <w:rFonts w:ascii="TimesNewRomanPSMT" w:hAnsi="TimesNewRomanPSMT" w:eastAsia="TimesNewRomanPSMT" w:cs="TimesNewRomanPSMT"/>
                <w:color w:val="000000"/>
                <w:sz w:val="16"/>
                <w:szCs w:val="16"/>
                <w:lang w:val="en-US" w:bidi="ar"/>
              </w:rPr>
              <w:t>10.</w:t>
            </w:r>
            <w:r>
              <w:rPr>
                <w:rFonts w:hint="eastAsia"/>
                <w:color w:val="000000"/>
                <w:sz w:val="16"/>
                <w:szCs w:val="16"/>
                <w:lang w:val="en-US" w:bidi="ar"/>
              </w:rPr>
              <w:t xml:space="preserve">将罚款、没收的违法所得或者财物截留、私分或者变相私分的； </w:t>
            </w:r>
          </w:p>
          <w:p>
            <w:pPr>
              <w:widowControl/>
              <w:jc w:val="both"/>
              <w:rPr>
                <w:sz w:val="16"/>
                <w:szCs w:val="16"/>
              </w:rPr>
            </w:pPr>
            <w:r>
              <w:rPr>
                <w:rFonts w:ascii="TimesNewRomanPSMT" w:hAnsi="TimesNewRomanPSMT" w:eastAsia="TimesNewRomanPSMT" w:cs="TimesNewRomanPSMT"/>
                <w:color w:val="000000"/>
                <w:sz w:val="16"/>
                <w:szCs w:val="16"/>
                <w:lang w:val="en-US" w:bidi="ar"/>
              </w:rPr>
              <w:t>11.</w:t>
            </w:r>
            <w:r>
              <w:rPr>
                <w:rFonts w:hint="eastAsia"/>
                <w:color w:val="000000"/>
                <w:sz w:val="16"/>
                <w:szCs w:val="16"/>
                <w:lang w:val="en-US" w:bidi="ar"/>
              </w:rPr>
              <w:t xml:space="preserve">为牟取本单位私利，对应当移交司法机关追究刑事责任的不移交，以行政处罚代替刑罚； </w:t>
            </w:r>
          </w:p>
          <w:p>
            <w:pPr>
              <w:widowControl/>
              <w:jc w:val="both"/>
              <w:rPr>
                <w:sz w:val="16"/>
                <w:szCs w:val="16"/>
              </w:rPr>
            </w:pPr>
            <w:r>
              <w:rPr>
                <w:rFonts w:ascii="TimesNewRomanPSMT" w:hAnsi="TimesNewRomanPSMT" w:eastAsia="TimesNewRomanPSMT" w:cs="TimesNewRomanPSMT"/>
                <w:color w:val="000000"/>
                <w:sz w:val="16"/>
                <w:szCs w:val="16"/>
                <w:lang w:val="en-US" w:bidi="ar"/>
              </w:rPr>
              <w:t>12.</w:t>
            </w:r>
            <w:r>
              <w:rPr>
                <w:rFonts w:hint="eastAsia"/>
                <w:color w:val="000000"/>
                <w:sz w:val="16"/>
                <w:szCs w:val="16"/>
                <w:lang w:val="en-US" w:bidi="ar"/>
              </w:rPr>
              <w:t>其他法律、法规、规章、文件规定的行为。</w:t>
            </w:r>
          </w:p>
          <w:p>
            <w:pPr>
              <w:pStyle w:val="9"/>
              <w:tabs>
                <w:tab w:val="left" w:pos="219"/>
              </w:tabs>
              <w:spacing w:line="202" w:lineRule="exact"/>
              <w:ind w:left="32"/>
              <w:jc w:val="both"/>
              <w:rPr>
                <w:sz w:val="16"/>
                <w:szCs w:val="16"/>
              </w:rPr>
            </w:pPr>
          </w:p>
        </w:tc>
      </w:tr>
    </w:tbl>
    <w:p/>
    <w:p/>
    <w:p>
      <w:pPr>
        <w:pStyle w:val="2"/>
        <w:rPr>
          <w:rFonts w:ascii="Times New Roman"/>
          <w:sz w:val="20"/>
        </w:rPr>
      </w:pPr>
    </w:p>
    <w:p>
      <w:pPr>
        <w:pStyle w:val="2"/>
        <w:spacing w:before="2"/>
        <w:rPr>
          <w:rFonts w:ascii="Times New Roman"/>
          <w:sz w:val="16"/>
        </w:rPr>
      </w:pPr>
    </w:p>
    <w:tbl>
      <w:tblPr>
        <w:tblStyle w:val="5"/>
        <w:tblW w:w="14514"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90"/>
        <w:gridCol w:w="490"/>
        <w:gridCol w:w="522"/>
        <w:gridCol w:w="903"/>
        <w:gridCol w:w="2651"/>
        <w:gridCol w:w="458"/>
        <w:gridCol w:w="730"/>
        <w:gridCol w:w="876"/>
        <w:gridCol w:w="444"/>
        <w:gridCol w:w="3538"/>
        <w:gridCol w:w="351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90" w:type="dxa"/>
            <w:vMerge w:val="restart"/>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490" w:type="dxa"/>
            <w:vMerge w:val="restart"/>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425" w:type="dxa"/>
            <w:gridSpan w:val="2"/>
          </w:tcPr>
          <w:p>
            <w:pPr>
              <w:pStyle w:val="9"/>
              <w:spacing w:before="117"/>
              <w:ind w:left="201"/>
              <w:rPr>
                <w:rFonts w:ascii="黑体" w:eastAsia="黑体"/>
                <w:b/>
                <w:sz w:val="18"/>
              </w:rPr>
            </w:pPr>
            <w:r>
              <w:rPr>
                <w:rFonts w:hint="eastAsia" w:ascii="黑体" w:eastAsia="黑体"/>
                <w:b/>
                <w:sz w:val="18"/>
              </w:rPr>
              <w:t>职权名称</w:t>
            </w:r>
          </w:p>
        </w:tc>
        <w:tc>
          <w:tcPr>
            <w:tcW w:w="2651" w:type="dxa"/>
            <w:vMerge w:val="restart"/>
          </w:tcPr>
          <w:p>
            <w:pPr>
              <w:pStyle w:val="9"/>
              <w:spacing w:before="140"/>
              <w:ind w:right="1120" w:firstLine="100" w:firstLineChars="100"/>
              <w:jc w:val="both"/>
              <w:rPr>
                <w:rFonts w:ascii="黑体" w:eastAsia="黑体"/>
                <w:b/>
                <w:sz w:val="10"/>
                <w:szCs w:val="10"/>
              </w:rPr>
            </w:pPr>
          </w:p>
          <w:p>
            <w:pPr>
              <w:pStyle w:val="9"/>
              <w:spacing w:before="140"/>
              <w:ind w:right="1120" w:firstLine="723" w:firstLineChars="400"/>
              <w:jc w:val="both"/>
              <w:rPr>
                <w:rFonts w:ascii="黑体" w:eastAsia="黑体"/>
                <w:b/>
                <w:sz w:val="18"/>
              </w:rPr>
            </w:pPr>
            <w:r>
              <w:rPr>
                <w:rFonts w:hint="eastAsia" w:ascii="黑体" w:eastAsia="黑体"/>
                <w:b/>
                <w:sz w:val="18"/>
              </w:rPr>
              <w:t>实施依据</w:t>
            </w:r>
          </w:p>
        </w:tc>
        <w:tc>
          <w:tcPr>
            <w:tcW w:w="458" w:type="dxa"/>
            <w:vMerge w:val="restart"/>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30" w:type="dxa"/>
            <w:vMerge w:val="restart"/>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76" w:type="dxa"/>
            <w:vMerge w:val="restart"/>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44" w:type="dxa"/>
            <w:vMerge w:val="restart"/>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538" w:type="dxa"/>
            <w:vMerge w:val="restart"/>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512" w:type="dxa"/>
            <w:vMerge w:val="restart"/>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1" w:hRule="atLeast"/>
        </w:trPr>
        <w:tc>
          <w:tcPr>
            <w:tcW w:w="390" w:type="dxa"/>
            <w:vMerge w:val="continue"/>
            <w:tcBorders>
              <w:top w:val="nil"/>
            </w:tcBorders>
          </w:tcPr>
          <w:p>
            <w:pPr>
              <w:rPr>
                <w:sz w:val="2"/>
                <w:szCs w:val="2"/>
              </w:rPr>
            </w:pPr>
          </w:p>
        </w:tc>
        <w:tc>
          <w:tcPr>
            <w:tcW w:w="490" w:type="dxa"/>
            <w:vMerge w:val="continue"/>
            <w:tcBorders>
              <w:top w:val="nil"/>
            </w:tcBorders>
          </w:tcPr>
          <w:p>
            <w:pPr>
              <w:rPr>
                <w:sz w:val="2"/>
                <w:szCs w:val="2"/>
              </w:rPr>
            </w:pPr>
          </w:p>
        </w:tc>
        <w:tc>
          <w:tcPr>
            <w:tcW w:w="522" w:type="dxa"/>
          </w:tcPr>
          <w:p>
            <w:pPr>
              <w:pStyle w:val="9"/>
              <w:spacing w:before="117"/>
              <w:ind w:left="85"/>
              <w:rPr>
                <w:rFonts w:ascii="黑体" w:eastAsia="黑体"/>
                <w:b/>
                <w:sz w:val="18"/>
              </w:rPr>
            </w:pPr>
            <w:r>
              <w:rPr>
                <w:rFonts w:hint="eastAsia" w:ascii="黑体" w:eastAsia="黑体"/>
                <w:b/>
                <w:sz w:val="18"/>
              </w:rPr>
              <w:t>项目</w:t>
            </w:r>
          </w:p>
        </w:tc>
        <w:tc>
          <w:tcPr>
            <w:tcW w:w="903" w:type="dxa"/>
          </w:tcPr>
          <w:p>
            <w:pPr>
              <w:pStyle w:val="9"/>
              <w:spacing w:before="117"/>
              <w:ind w:left="119"/>
              <w:rPr>
                <w:rFonts w:ascii="黑体" w:eastAsia="黑体"/>
                <w:b/>
                <w:sz w:val="18"/>
              </w:rPr>
            </w:pPr>
            <w:r>
              <w:rPr>
                <w:rFonts w:hint="eastAsia" w:ascii="黑体" w:eastAsia="黑体"/>
                <w:b/>
                <w:sz w:val="18"/>
              </w:rPr>
              <w:t>子项</w:t>
            </w:r>
          </w:p>
        </w:tc>
        <w:tc>
          <w:tcPr>
            <w:tcW w:w="2651" w:type="dxa"/>
            <w:vMerge w:val="continue"/>
            <w:tcBorders>
              <w:top w:val="nil"/>
            </w:tcBorders>
          </w:tcPr>
          <w:p>
            <w:pPr>
              <w:rPr>
                <w:sz w:val="2"/>
                <w:szCs w:val="2"/>
              </w:rPr>
            </w:pPr>
          </w:p>
        </w:tc>
        <w:tc>
          <w:tcPr>
            <w:tcW w:w="458" w:type="dxa"/>
            <w:vMerge w:val="continue"/>
            <w:tcBorders>
              <w:top w:val="nil"/>
            </w:tcBorders>
          </w:tcPr>
          <w:p>
            <w:pPr>
              <w:rPr>
                <w:sz w:val="2"/>
                <w:szCs w:val="2"/>
              </w:rPr>
            </w:pPr>
          </w:p>
        </w:tc>
        <w:tc>
          <w:tcPr>
            <w:tcW w:w="730" w:type="dxa"/>
            <w:vMerge w:val="continue"/>
            <w:tcBorders>
              <w:top w:val="nil"/>
            </w:tcBorders>
          </w:tcPr>
          <w:p>
            <w:pPr>
              <w:rPr>
                <w:sz w:val="2"/>
                <w:szCs w:val="2"/>
              </w:rPr>
            </w:pPr>
          </w:p>
        </w:tc>
        <w:tc>
          <w:tcPr>
            <w:tcW w:w="876" w:type="dxa"/>
            <w:vMerge w:val="continue"/>
            <w:tcBorders>
              <w:top w:val="nil"/>
            </w:tcBorders>
          </w:tcPr>
          <w:p>
            <w:pPr>
              <w:rPr>
                <w:sz w:val="2"/>
                <w:szCs w:val="2"/>
              </w:rPr>
            </w:pPr>
          </w:p>
        </w:tc>
        <w:tc>
          <w:tcPr>
            <w:tcW w:w="444" w:type="dxa"/>
            <w:vMerge w:val="continue"/>
            <w:tcBorders>
              <w:top w:val="nil"/>
            </w:tcBorders>
          </w:tcPr>
          <w:p>
            <w:pPr>
              <w:rPr>
                <w:sz w:val="2"/>
                <w:szCs w:val="2"/>
              </w:rPr>
            </w:pPr>
          </w:p>
        </w:tc>
        <w:tc>
          <w:tcPr>
            <w:tcW w:w="3538" w:type="dxa"/>
            <w:vMerge w:val="continue"/>
            <w:tcBorders>
              <w:top w:val="nil"/>
            </w:tcBorders>
          </w:tcPr>
          <w:p>
            <w:pPr>
              <w:rPr>
                <w:sz w:val="2"/>
                <w:szCs w:val="2"/>
              </w:rPr>
            </w:pPr>
          </w:p>
        </w:tc>
        <w:tc>
          <w:tcPr>
            <w:tcW w:w="3512" w:type="dxa"/>
            <w:vMerge w:val="continue"/>
            <w:tcBorders>
              <w:top w:val="nil"/>
            </w:tcBorders>
          </w:tcPr>
          <w:p>
            <w:pPr>
              <w:rPr>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384" w:hRule="atLeast"/>
        </w:trPr>
        <w:tc>
          <w:tcPr>
            <w:tcW w:w="390" w:type="dxa"/>
            <w:vMerge w:val="restart"/>
            <w:vAlign w:val="center"/>
          </w:tcPr>
          <w:p>
            <w:pPr>
              <w:pStyle w:val="9"/>
              <w:spacing w:before="112"/>
              <w:ind w:left="28"/>
              <w:jc w:val="both"/>
              <w:rPr>
                <w:rFonts w:ascii="Times New Roman"/>
                <w:sz w:val="18"/>
                <w:szCs w:val="18"/>
              </w:rPr>
            </w:pPr>
            <w:r>
              <w:rPr>
                <w:rFonts w:hint="eastAsia" w:ascii="TimesNewRomanPSMT" w:hAnsi="TimesNewRomanPSMT" w:eastAsia="TimesNewRomanPSMT" w:cs="TimesNewRomanPSMT"/>
                <w:color w:val="000000"/>
                <w:sz w:val="18"/>
                <w:szCs w:val="18"/>
                <w:lang w:val="en-US" w:bidi="ar"/>
              </w:rPr>
              <w:t>5</w:t>
            </w:r>
          </w:p>
        </w:tc>
        <w:tc>
          <w:tcPr>
            <w:tcW w:w="490" w:type="dxa"/>
            <w:vAlign w:val="center"/>
          </w:tcPr>
          <w:p>
            <w:pPr>
              <w:pStyle w:val="9"/>
              <w:ind w:left="33"/>
              <w:jc w:val="both"/>
              <w:rPr>
                <w:rFonts w:ascii="Times New Roman"/>
                <w:sz w:val="15"/>
                <w:szCs w:val="15"/>
              </w:rPr>
            </w:pPr>
            <w:r>
              <w:rPr>
                <w:rFonts w:ascii="Times New Roman"/>
                <w:w w:val="105"/>
                <w:sz w:val="15"/>
                <w:szCs w:val="15"/>
              </w:rPr>
              <w:t>65010</w:t>
            </w:r>
          </w:p>
          <w:p>
            <w:pPr>
              <w:pStyle w:val="9"/>
              <w:spacing w:before="26"/>
              <w:ind w:left="33"/>
              <w:jc w:val="both"/>
              <w:rPr>
                <w:rFonts w:ascii="Times New Roman"/>
                <w:sz w:val="15"/>
                <w:szCs w:val="15"/>
              </w:rPr>
            </w:pPr>
            <w:r>
              <w:rPr>
                <w:rFonts w:hint="eastAsia" w:ascii="Times New Roman"/>
                <w:w w:val="105"/>
                <w:sz w:val="15"/>
                <w:szCs w:val="15"/>
                <w:lang w:val="en-US"/>
              </w:rPr>
              <w:t>9</w:t>
            </w:r>
            <w:r>
              <w:rPr>
                <w:rFonts w:ascii="Times New Roman"/>
                <w:w w:val="105"/>
                <w:sz w:val="15"/>
                <w:szCs w:val="15"/>
              </w:rPr>
              <w:t>201</w:t>
            </w:r>
          </w:p>
          <w:p>
            <w:pPr>
              <w:pStyle w:val="9"/>
              <w:jc w:val="both"/>
              <w:rPr>
                <w:rFonts w:hint="eastAsia" w:ascii="Times New Roman"/>
                <w:sz w:val="15"/>
                <w:szCs w:val="15"/>
                <w:lang w:val="en-US"/>
              </w:rPr>
            </w:pPr>
            <w:r>
              <w:rPr>
                <w:rFonts w:ascii="Times New Roman"/>
                <w:sz w:val="15"/>
                <w:szCs w:val="15"/>
              </w:rPr>
              <w:t xml:space="preserve">CF00 </w:t>
            </w:r>
            <w:r>
              <w:rPr>
                <w:rFonts w:hint="eastAsia" w:ascii="Times New Roman"/>
                <w:sz w:val="15"/>
                <w:szCs w:val="15"/>
                <w:lang w:val="en-US"/>
              </w:rPr>
              <w:t>5</w:t>
            </w:r>
          </w:p>
        </w:tc>
        <w:tc>
          <w:tcPr>
            <w:tcW w:w="522" w:type="dxa"/>
            <w:vMerge w:val="restart"/>
            <w:vAlign w:val="center"/>
          </w:tcPr>
          <w:p>
            <w:pPr>
              <w:widowControl/>
              <w:jc w:val="both"/>
              <w:rPr>
                <w:sz w:val="15"/>
                <w:szCs w:val="15"/>
              </w:rPr>
            </w:pPr>
            <w:r>
              <w:rPr>
                <w:color w:val="000000"/>
                <w:sz w:val="15"/>
                <w:szCs w:val="15"/>
                <w:lang w:val="en-US" w:bidi="ar"/>
              </w:rPr>
              <w:t>对煤矿生产</w:t>
            </w:r>
          </w:p>
          <w:p>
            <w:pPr>
              <w:widowControl/>
              <w:jc w:val="both"/>
              <w:rPr>
                <w:sz w:val="15"/>
                <w:szCs w:val="15"/>
              </w:rPr>
            </w:pPr>
            <w:r>
              <w:rPr>
                <w:rFonts w:hint="eastAsia"/>
                <w:color w:val="000000"/>
                <w:sz w:val="15"/>
                <w:szCs w:val="15"/>
                <w:lang w:val="en-US" w:bidi="ar"/>
              </w:rPr>
              <w:t>存在重大安</w:t>
            </w:r>
          </w:p>
          <w:p>
            <w:pPr>
              <w:widowControl/>
              <w:jc w:val="both"/>
              <w:rPr>
                <w:sz w:val="15"/>
                <w:szCs w:val="15"/>
              </w:rPr>
            </w:pPr>
            <w:r>
              <w:rPr>
                <w:rFonts w:hint="eastAsia"/>
                <w:color w:val="000000"/>
                <w:sz w:val="15"/>
                <w:szCs w:val="15"/>
                <w:lang w:val="en-US" w:bidi="ar"/>
              </w:rPr>
              <w:t>全隐患仍组</w:t>
            </w:r>
          </w:p>
          <w:p>
            <w:pPr>
              <w:widowControl/>
              <w:jc w:val="both"/>
              <w:rPr>
                <w:sz w:val="15"/>
                <w:szCs w:val="15"/>
              </w:rPr>
            </w:pPr>
            <w:r>
              <w:rPr>
                <w:rFonts w:hint="eastAsia"/>
                <w:color w:val="000000"/>
                <w:sz w:val="15"/>
                <w:szCs w:val="15"/>
                <w:lang w:val="en-US" w:bidi="ar"/>
              </w:rPr>
              <w:t>织生产行为</w:t>
            </w:r>
          </w:p>
          <w:p>
            <w:pPr>
              <w:widowControl/>
              <w:jc w:val="both"/>
              <w:rPr>
                <w:sz w:val="15"/>
                <w:szCs w:val="15"/>
              </w:rPr>
            </w:pPr>
            <w:r>
              <w:rPr>
                <w:rFonts w:hint="eastAsia"/>
                <w:color w:val="000000"/>
                <w:sz w:val="15"/>
                <w:szCs w:val="15"/>
                <w:lang w:val="en-US" w:bidi="ar"/>
              </w:rPr>
              <w:t>的处罚</w:t>
            </w:r>
          </w:p>
          <w:p>
            <w:pPr>
              <w:pStyle w:val="9"/>
              <w:spacing w:line="192" w:lineRule="auto"/>
              <w:ind w:left="32" w:right="39"/>
              <w:jc w:val="both"/>
              <w:rPr>
                <w:sz w:val="15"/>
                <w:szCs w:val="15"/>
              </w:rPr>
            </w:pPr>
          </w:p>
        </w:tc>
        <w:tc>
          <w:tcPr>
            <w:tcW w:w="903" w:type="dxa"/>
            <w:vAlign w:val="center"/>
          </w:tcPr>
          <w:p>
            <w:pPr>
              <w:widowControl/>
              <w:jc w:val="both"/>
              <w:rPr>
                <w:rFonts w:hint="eastAsia"/>
                <w:sz w:val="15"/>
                <w:szCs w:val="15"/>
              </w:rPr>
            </w:pPr>
            <w:r>
              <w:rPr>
                <w:color w:val="000000"/>
                <w:sz w:val="15"/>
                <w:szCs w:val="15"/>
                <w:lang w:val="en-US" w:bidi="ar"/>
              </w:rPr>
              <w:t>对超能力、超</w:t>
            </w:r>
            <w:r>
              <w:rPr>
                <w:rFonts w:hint="eastAsia"/>
                <w:color w:val="000000"/>
                <w:sz w:val="15"/>
                <w:szCs w:val="15"/>
                <w:lang w:val="en-US" w:bidi="ar"/>
              </w:rPr>
              <w:t>强度或者超定员组织生产的处罚</w:t>
            </w:r>
          </w:p>
        </w:tc>
        <w:tc>
          <w:tcPr>
            <w:tcW w:w="2651" w:type="dxa"/>
            <w:vMerge w:val="restart"/>
            <w:vAlign w:val="center"/>
          </w:tcPr>
          <w:p>
            <w:pPr>
              <w:widowControl/>
              <w:jc w:val="both"/>
              <w:rPr>
                <w:sz w:val="15"/>
                <w:szCs w:val="15"/>
              </w:rPr>
            </w:pPr>
            <w:r>
              <w:rPr>
                <w:color w:val="000000"/>
                <w:sz w:val="15"/>
                <w:szCs w:val="15"/>
                <w:lang w:val="en-US" w:bidi="ar"/>
              </w:rPr>
              <w:t xml:space="preserve">《关于预防煤矿生产安全事故的特别规定》第八 </w:t>
            </w:r>
            <w:r>
              <w:rPr>
                <w:rFonts w:hint="eastAsia"/>
                <w:color w:val="000000"/>
                <w:sz w:val="15"/>
                <w:szCs w:val="15"/>
                <w:lang w:val="en-US" w:bidi="ar"/>
              </w:rPr>
              <w:t>条规定的</w:t>
            </w:r>
            <w:r>
              <w:rPr>
                <w:rFonts w:ascii="TimesNewRomanPSMT" w:hAnsi="TimesNewRomanPSMT" w:eastAsia="TimesNewRomanPSMT" w:cs="TimesNewRomanPSMT"/>
                <w:color w:val="000000"/>
                <w:sz w:val="15"/>
                <w:szCs w:val="15"/>
                <w:lang w:val="en-US" w:bidi="ar"/>
              </w:rPr>
              <w:t>15</w:t>
            </w:r>
            <w:r>
              <w:rPr>
                <w:rFonts w:hint="eastAsia"/>
                <w:color w:val="000000"/>
                <w:sz w:val="15"/>
                <w:szCs w:val="15"/>
                <w:lang w:val="en-US" w:bidi="ar"/>
              </w:rPr>
              <w:t>条重大安全隐患的处罚 煤矿有下列重 大安全生产隐患和行为的，应当立即停止生产， 排除隐患：（一）超能力、超强度或者超定员组 织生产的； （二）瓦斯超限作业的；（三）煤与 瓦斯突出矿井，未依照规定实施防突出措施的； （四）高瓦斯矿井未建立瓦斯抽放系统和监控系 统，或者瓦斯监控系统不能正常运行的；（五） 通风系统不完善、不可靠的；（六）有严重水 患，未采取有效措施的；（七）超层越界开采 的；（八）有冲击地压危险，未采取有效措施的； （九）自然发火严重，未采取有效措施的； （十）使用明令禁止使用或者淘汰的设备、工艺 的；（十一）年产</w:t>
            </w:r>
            <w:r>
              <w:rPr>
                <w:rFonts w:ascii="TimesNewRomanPSMT" w:hAnsi="TimesNewRomanPSMT" w:eastAsia="TimesNewRomanPSMT" w:cs="TimesNewRomanPSMT"/>
                <w:color w:val="000000"/>
                <w:sz w:val="15"/>
                <w:szCs w:val="15"/>
                <w:lang w:val="en-US" w:bidi="ar"/>
              </w:rPr>
              <w:t>6</w:t>
            </w:r>
            <w:r>
              <w:rPr>
                <w:rFonts w:hint="eastAsia"/>
                <w:color w:val="000000"/>
                <w:sz w:val="15"/>
                <w:szCs w:val="15"/>
                <w:lang w:val="en-US" w:bidi="ar"/>
              </w:rPr>
              <w:t>万吨以上的煤矿没有回路供电系统的；</w:t>
            </w:r>
          </w:p>
          <w:p>
            <w:pPr>
              <w:pStyle w:val="9"/>
              <w:spacing w:before="126" w:line="189" w:lineRule="auto"/>
              <w:ind w:left="33" w:right="62"/>
              <w:jc w:val="both"/>
              <w:rPr>
                <w:sz w:val="15"/>
                <w:szCs w:val="15"/>
              </w:rPr>
            </w:pPr>
          </w:p>
        </w:tc>
        <w:tc>
          <w:tcPr>
            <w:tcW w:w="458" w:type="dxa"/>
            <w:vMerge w:val="restart"/>
            <w:vAlign w:val="center"/>
          </w:tcPr>
          <w:p>
            <w:pPr>
              <w:widowControl/>
              <w:jc w:val="center"/>
              <w:rPr>
                <w:sz w:val="15"/>
                <w:szCs w:val="15"/>
              </w:rPr>
            </w:pPr>
            <w:r>
              <w:rPr>
                <w:color w:val="000000"/>
                <w:sz w:val="15"/>
                <w:szCs w:val="15"/>
                <w:lang w:val="en-US" w:bidi="ar"/>
              </w:rPr>
              <w:t>煤矿</w:t>
            </w:r>
          </w:p>
          <w:p>
            <w:pPr>
              <w:widowControl/>
              <w:jc w:val="center"/>
              <w:rPr>
                <w:sz w:val="15"/>
                <w:szCs w:val="15"/>
              </w:rPr>
            </w:pPr>
            <w:r>
              <w:rPr>
                <w:rFonts w:hint="eastAsia"/>
                <w:color w:val="000000"/>
                <w:sz w:val="15"/>
                <w:szCs w:val="15"/>
                <w:lang w:val="en-US" w:bidi="ar"/>
              </w:rPr>
              <w:t>企业</w:t>
            </w:r>
          </w:p>
          <w:p>
            <w:pPr>
              <w:pStyle w:val="9"/>
              <w:spacing w:line="192" w:lineRule="auto"/>
              <w:ind w:left="83" w:right="23"/>
              <w:jc w:val="center"/>
              <w:rPr>
                <w:sz w:val="15"/>
                <w:szCs w:val="15"/>
              </w:rPr>
            </w:pPr>
          </w:p>
        </w:tc>
        <w:tc>
          <w:tcPr>
            <w:tcW w:w="730" w:type="dxa"/>
            <w:vMerge w:val="restart"/>
            <w:vAlign w:val="center"/>
          </w:tcPr>
          <w:p>
            <w:pPr>
              <w:pStyle w:val="9"/>
              <w:spacing w:before="7"/>
              <w:ind w:right="66"/>
              <w:jc w:val="center"/>
              <w:rPr>
                <w:rFonts w:ascii="Times New Roman" w:eastAsia="Times New Roman"/>
                <w:sz w:val="15"/>
                <w:szCs w:val="15"/>
              </w:rPr>
            </w:pPr>
            <w:r>
              <w:rPr>
                <w:rFonts w:hint="eastAsia"/>
                <w:color w:val="000000"/>
                <w:sz w:val="15"/>
                <w:szCs w:val="15"/>
                <w:lang w:val="en-US" w:bidi="ar"/>
              </w:rPr>
              <w:t>安全科3311262</w:t>
            </w:r>
          </w:p>
        </w:tc>
        <w:tc>
          <w:tcPr>
            <w:tcW w:w="876" w:type="dxa"/>
            <w:vMerge w:val="restart"/>
            <w:vAlign w:val="center"/>
          </w:tcPr>
          <w:p>
            <w:pPr>
              <w:pStyle w:val="9"/>
              <w:jc w:val="center"/>
              <w:rPr>
                <w:sz w:val="15"/>
                <w:szCs w:val="15"/>
              </w:rPr>
            </w:pPr>
            <w:r>
              <w:rPr>
                <w:w w:val="102"/>
                <w:sz w:val="15"/>
                <w:szCs w:val="15"/>
              </w:rPr>
              <w:t>无</w:t>
            </w:r>
          </w:p>
        </w:tc>
        <w:tc>
          <w:tcPr>
            <w:tcW w:w="444" w:type="dxa"/>
            <w:vMerge w:val="restart"/>
            <w:vAlign w:val="center"/>
          </w:tcPr>
          <w:p>
            <w:pPr>
              <w:widowControl/>
              <w:jc w:val="both"/>
              <w:rPr>
                <w:color w:val="000000"/>
                <w:sz w:val="15"/>
                <w:szCs w:val="15"/>
                <w:lang w:val="en-US" w:bidi="ar"/>
              </w:rPr>
            </w:pPr>
            <w:r>
              <w:rPr>
                <w:rFonts w:hint="eastAsia"/>
                <w:color w:val="000000"/>
                <w:sz w:val="15"/>
                <w:szCs w:val="15"/>
                <w:lang w:val="en-US" w:bidi="ar"/>
              </w:rPr>
              <w:t>米东区发改委（工信局）</w:t>
            </w:r>
          </w:p>
          <w:p>
            <w:pPr>
              <w:widowControl/>
              <w:jc w:val="both"/>
              <w:rPr>
                <w:sz w:val="15"/>
                <w:szCs w:val="15"/>
              </w:rPr>
            </w:pPr>
          </w:p>
        </w:tc>
        <w:tc>
          <w:tcPr>
            <w:tcW w:w="3538" w:type="dxa"/>
            <w:vMerge w:val="restart"/>
            <w:vAlign w:val="center"/>
          </w:tcPr>
          <w:p>
            <w:pPr>
              <w:widowControl/>
              <w:jc w:val="both"/>
              <w:rPr>
                <w:sz w:val="16"/>
                <w:szCs w:val="16"/>
              </w:rPr>
            </w:pPr>
            <w:r>
              <w:rPr>
                <w:rFonts w:ascii="TimesNewRomanPSMT" w:hAnsi="TimesNewRomanPSMT" w:eastAsia="TimesNewRomanPSMT" w:cs="TimesNewRomanPSMT"/>
                <w:color w:val="000000"/>
                <w:sz w:val="16"/>
                <w:szCs w:val="16"/>
                <w:lang w:val="en-US" w:bidi="ar"/>
              </w:rPr>
              <w:t>1.</w:t>
            </w:r>
            <w:r>
              <w:rPr>
                <w:color w:val="000000"/>
                <w:sz w:val="16"/>
                <w:szCs w:val="16"/>
                <w:lang w:val="en-US" w:bidi="ar"/>
              </w:rPr>
              <w:t>立案责任：按照立案条件在规定期限内进行审查</w:t>
            </w:r>
          </w:p>
          <w:p>
            <w:pPr>
              <w:widowControl/>
              <w:jc w:val="both"/>
              <w:rPr>
                <w:sz w:val="16"/>
                <w:szCs w:val="16"/>
              </w:rPr>
            </w:pPr>
            <w:r>
              <w:rPr>
                <w:rFonts w:hint="eastAsia"/>
                <w:color w:val="000000"/>
                <w:sz w:val="16"/>
                <w:szCs w:val="16"/>
                <w:lang w:val="en-US" w:bidi="ar"/>
              </w:rPr>
              <w:t>并决定是否立案（不予立案应当告知理由）；对需要补充材料的，应当场一次性告知。</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调查责任：对违法违规行为进行调查，依法收集整理证据材料；执法人员不得少于两人，调查时应出示执法身份证件，允许当事人陈述申辩，并严格执行监察回避制度。</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审查责任：应当对案件违法事实、证据、调查取证程序、法律适用、处罚种类和幅度以及当事人陈述申辩理由等方面进行审查，并提出处理意见。对情节复杂或者重大违法行为给予较重的行政处罚，由市工信局（大数据发展局）局务会研究提出审查意见。</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告知责任：在做出行政处罚决定前，应书面告知当事人违法事实及其享有的陈述、申辩、要求听证等权利。</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决定责任：决定给予行政处罚的，应制作《行政处罚决定书》，载明违法事实和证据、处罚依据和内容、申请行政复议或提起行政诉讼的途径和期限等。</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送达责任：《行政处罚决定书》应在规定期限内依法送达当事人。</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执行责任：监督当事人在规定的期限内履行生效的行政处罚决定。当事人在法定期限内既不申请行政复议或者提起行政诉讼，又不履行处罚决定的，可依法向人民法院申请强制执行等措施。</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其他法律法规政策规定应履行的责任。</w:t>
            </w:r>
          </w:p>
          <w:p>
            <w:pPr>
              <w:pStyle w:val="9"/>
              <w:tabs>
                <w:tab w:val="left" w:pos="146"/>
              </w:tabs>
              <w:spacing w:line="205" w:lineRule="exact"/>
              <w:ind w:left="32"/>
              <w:jc w:val="both"/>
              <w:rPr>
                <w:sz w:val="13"/>
                <w:szCs w:val="13"/>
              </w:rPr>
            </w:pPr>
          </w:p>
        </w:tc>
        <w:tc>
          <w:tcPr>
            <w:tcW w:w="3512" w:type="dxa"/>
            <w:vMerge w:val="restart"/>
            <w:vAlign w:val="center"/>
          </w:tcPr>
          <w:p>
            <w:pPr>
              <w:widowControl/>
              <w:jc w:val="both"/>
              <w:rPr>
                <w:sz w:val="16"/>
                <w:szCs w:val="16"/>
              </w:rPr>
            </w:pPr>
            <w:r>
              <w:rPr>
                <w:color w:val="000000"/>
                <w:sz w:val="16"/>
                <w:szCs w:val="16"/>
                <w:lang w:val="en-US" w:bidi="ar"/>
              </w:rPr>
              <w:t xml:space="preserve">行政主管部门及其工作人员有下列行为之一 </w:t>
            </w:r>
            <w:r>
              <w:rPr>
                <w:rFonts w:hint="eastAsia"/>
                <w:color w:val="000000"/>
                <w:sz w:val="16"/>
                <w:szCs w:val="16"/>
                <w:lang w:val="en-US" w:bidi="ar"/>
              </w:rPr>
              <w:t xml:space="preserve">的，对直接负责的主管人员和其他直接责任人 员，依法给予处分；构成犯罪的，依法追究刑 事责任： </w:t>
            </w:r>
          </w:p>
          <w:p>
            <w:pPr>
              <w:widowControl/>
              <w:jc w:val="both"/>
              <w:rPr>
                <w:sz w:val="16"/>
                <w:szCs w:val="16"/>
              </w:rPr>
            </w:pPr>
            <w:r>
              <w:rPr>
                <w:rFonts w:ascii="TimesNewRomanPSMT" w:hAnsi="TimesNewRomanPSMT" w:eastAsia="TimesNewRomanPSMT" w:cs="TimesNewRomanPSMT"/>
                <w:color w:val="000000"/>
                <w:sz w:val="16"/>
                <w:szCs w:val="16"/>
                <w:lang w:val="en-US" w:bidi="ar"/>
              </w:rPr>
              <w:t>1.</w:t>
            </w:r>
            <w:r>
              <w:rPr>
                <w:rFonts w:hint="eastAsia"/>
                <w:color w:val="000000"/>
                <w:sz w:val="16"/>
                <w:szCs w:val="16"/>
                <w:lang w:val="en-US" w:bidi="ar"/>
              </w:rPr>
              <w:t xml:space="preserve">执法人员玩忽职守，对应当予以制止和处罚的 违法行为不予制止、处罚，致使国家资源遭受 损害的； </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 xml:space="preserve">不依法受理举报、投诉或者受理后未在法定期限内处理的； </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 xml:space="preserve">对符合立案条件而不予立案的； </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 xml:space="preserve">对不符合立案条件而立案调查的； </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 xml:space="preserve">没有法定的行政处罚依据的； </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 xml:space="preserve">违反法定的行政处罚程序的； </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 xml:space="preserve">擅自改变行政处罚种类、幅度的； </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 xml:space="preserve">对当事人进行处罚不使用罚款、没收财物单据或者使用非法定部门制发的罚款、没收财物单据的； </w:t>
            </w:r>
          </w:p>
          <w:p>
            <w:pPr>
              <w:widowControl/>
              <w:jc w:val="both"/>
              <w:rPr>
                <w:sz w:val="16"/>
                <w:szCs w:val="16"/>
              </w:rPr>
            </w:pPr>
            <w:r>
              <w:rPr>
                <w:rFonts w:ascii="TimesNewRomanPSMT" w:hAnsi="TimesNewRomanPSMT" w:eastAsia="TimesNewRomanPSMT" w:cs="TimesNewRomanPSMT"/>
                <w:color w:val="000000"/>
                <w:sz w:val="16"/>
                <w:szCs w:val="16"/>
                <w:lang w:val="en-US" w:bidi="ar"/>
              </w:rPr>
              <w:t>9.</w:t>
            </w:r>
            <w:r>
              <w:rPr>
                <w:rFonts w:hint="eastAsia"/>
                <w:color w:val="000000"/>
                <w:sz w:val="16"/>
                <w:szCs w:val="16"/>
                <w:lang w:val="en-US" w:bidi="ar"/>
              </w:rPr>
              <w:t xml:space="preserve">违反法律规定自行收缴罚款的； </w:t>
            </w:r>
          </w:p>
          <w:p>
            <w:pPr>
              <w:widowControl/>
              <w:jc w:val="both"/>
              <w:rPr>
                <w:sz w:val="16"/>
                <w:szCs w:val="16"/>
              </w:rPr>
            </w:pPr>
            <w:r>
              <w:rPr>
                <w:rFonts w:ascii="TimesNewRomanPSMT" w:hAnsi="TimesNewRomanPSMT" w:eastAsia="TimesNewRomanPSMT" w:cs="TimesNewRomanPSMT"/>
                <w:color w:val="000000"/>
                <w:sz w:val="16"/>
                <w:szCs w:val="16"/>
                <w:lang w:val="en-US" w:bidi="ar"/>
              </w:rPr>
              <w:t>10.</w:t>
            </w:r>
            <w:r>
              <w:rPr>
                <w:rFonts w:hint="eastAsia"/>
                <w:color w:val="000000"/>
                <w:sz w:val="16"/>
                <w:szCs w:val="16"/>
                <w:lang w:val="en-US" w:bidi="ar"/>
              </w:rPr>
              <w:t xml:space="preserve">将罚款、没收的违法所得或者财物截留、私分或者变相私分的； </w:t>
            </w:r>
          </w:p>
          <w:p>
            <w:pPr>
              <w:widowControl/>
              <w:jc w:val="both"/>
              <w:rPr>
                <w:sz w:val="16"/>
                <w:szCs w:val="16"/>
              </w:rPr>
            </w:pPr>
            <w:r>
              <w:rPr>
                <w:rFonts w:ascii="TimesNewRomanPSMT" w:hAnsi="TimesNewRomanPSMT" w:eastAsia="TimesNewRomanPSMT" w:cs="TimesNewRomanPSMT"/>
                <w:color w:val="000000"/>
                <w:sz w:val="16"/>
                <w:szCs w:val="16"/>
                <w:lang w:val="en-US" w:bidi="ar"/>
              </w:rPr>
              <w:t>11.</w:t>
            </w:r>
            <w:r>
              <w:rPr>
                <w:rFonts w:hint="eastAsia"/>
                <w:color w:val="000000"/>
                <w:sz w:val="16"/>
                <w:szCs w:val="16"/>
                <w:lang w:val="en-US" w:bidi="ar"/>
              </w:rPr>
              <w:t xml:space="preserve">为牟取本单位私利，对应当移交司法机关追究刑事责任的不移交，以行政处罚代替刑罚； </w:t>
            </w:r>
          </w:p>
          <w:p>
            <w:pPr>
              <w:widowControl/>
              <w:jc w:val="both"/>
              <w:rPr>
                <w:sz w:val="16"/>
                <w:szCs w:val="16"/>
              </w:rPr>
            </w:pPr>
            <w:r>
              <w:rPr>
                <w:rFonts w:ascii="TimesNewRomanPSMT" w:hAnsi="TimesNewRomanPSMT" w:eastAsia="TimesNewRomanPSMT" w:cs="TimesNewRomanPSMT"/>
                <w:color w:val="000000"/>
                <w:sz w:val="16"/>
                <w:szCs w:val="16"/>
                <w:lang w:val="en-US" w:bidi="ar"/>
              </w:rPr>
              <w:t>12.</w:t>
            </w:r>
            <w:r>
              <w:rPr>
                <w:rFonts w:hint="eastAsia"/>
                <w:color w:val="000000"/>
                <w:sz w:val="16"/>
                <w:szCs w:val="16"/>
                <w:lang w:val="en-US" w:bidi="ar"/>
              </w:rPr>
              <w:t>其他法律、法规、规章、文件规定的行为。</w:t>
            </w:r>
          </w:p>
          <w:p>
            <w:pPr>
              <w:pStyle w:val="9"/>
              <w:tabs>
                <w:tab w:val="left" w:pos="219"/>
              </w:tabs>
              <w:spacing w:line="202" w:lineRule="exact"/>
              <w:ind w:left="32"/>
              <w:jc w:val="both"/>
              <w:rPr>
                <w:sz w:val="13"/>
                <w:szCs w:val="13"/>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228" w:hRule="atLeast"/>
        </w:trPr>
        <w:tc>
          <w:tcPr>
            <w:tcW w:w="390" w:type="dxa"/>
            <w:vMerge w:val="continue"/>
            <w:vAlign w:val="center"/>
          </w:tcPr>
          <w:p>
            <w:pPr>
              <w:pStyle w:val="9"/>
              <w:spacing w:before="26" w:line="278" w:lineRule="auto"/>
              <w:ind w:left="33" w:right="59"/>
              <w:jc w:val="both"/>
              <w:rPr>
                <w:sz w:val="13"/>
                <w:szCs w:val="13"/>
              </w:rPr>
            </w:pPr>
          </w:p>
        </w:tc>
        <w:tc>
          <w:tcPr>
            <w:tcW w:w="490" w:type="dxa"/>
            <w:vAlign w:val="center"/>
          </w:tcPr>
          <w:p>
            <w:pPr>
              <w:pStyle w:val="9"/>
              <w:jc w:val="both"/>
              <w:rPr>
                <w:rFonts w:ascii="Times New Roman"/>
                <w:sz w:val="15"/>
                <w:szCs w:val="15"/>
              </w:rPr>
            </w:pPr>
            <w:r>
              <w:rPr>
                <w:rFonts w:ascii="Times New Roman"/>
                <w:w w:val="105"/>
                <w:sz w:val="15"/>
                <w:szCs w:val="15"/>
              </w:rPr>
              <w:t>65010</w:t>
            </w:r>
          </w:p>
          <w:p>
            <w:pPr>
              <w:pStyle w:val="9"/>
              <w:spacing w:before="26"/>
              <w:ind w:left="33"/>
              <w:jc w:val="both"/>
              <w:rPr>
                <w:rFonts w:ascii="Times New Roman"/>
                <w:sz w:val="15"/>
                <w:szCs w:val="15"/>
              </w:rPr>
            </w:pPr>
            <w:r>
              <w:rPr>
                <w:rFonts w:hint="eastAsia" w:ascii="Times New Roman"/>
                <w:w w:val="105"/>
                <w:sz w:val="15"/>
                <w:szCs w:val="15"/>
                <w:lang w:val="en-US"/>
              </w:rPr>
              <w:t>9</w:t>
            </w:r>
            <w:r>
              <w:rPr>
                <w:rFonts w:ascii="Times New Roman"/>
                <w:w w:val="105"/>
                <w:sz w:val="15"/>
                <w:szCs w:val="15"/>
              </w:rPr>
              <w:t>201</w:t>
            </w:r>
          </w:p>
          <w:p>
            <w:pPr>
              <w:pStyle w:val="9"/>
              <w:jc w:val="both"/>
              <w:rPr>
                <w:rFonts w:ascii="Times New Roman"/>
                <w:sz w:val="15"/>
                <w:szCs w:val="15"/>
                <w:lang w:val="en-US"/>
              </w:rPr>
            </w:pPr>
            <w:r>
              <w:rPr>
                <w:rFonts w:ascii="Times New Roman"/>
                <w:sz w:val="15"/>
                <w:szCs w:val="15"/>
              </w:rPr>
              <w:t xml:space="preserve">CF00 </w:t>
            </w:r>
            <w:r>
              <w:rPr>
                <w:rFonts w:hint="eastAsia" w:ascii="Times New Roman"/>
                <w:sz w:val="15"/>
                <w:szCs w:val="15"/>
                <w:lang w:val="en-US"/>
              </w:rPr>
              <w:t>6</w:t>
            </w:r>
          </w:p>
        </w:tc>
        <w:tc>
          <w:tcPr>
            <w:tcW w:w="522" w:type="dxa"/>
            <w:vMerge w:val="continue"/>
            <w:vAlign w:val="center"/>
          </w:tcPr>
          <w:p>
            <w:pPr>
              <w:pStyle w:val="9"/>
              <w:spacing w:before="26" w:line="278" w:lineRule="auto"/>
              <w:ind w:left="33" w:right="59"/>
              <w:jc w:val="both"/>
              <w:rPr>
                <w:rFonts w:ascii="Times New Roman"/>
                <w:sz w:val="13"/>
                <w:szCs w:val="13"/>
              </w:rPr>
            </w:pPr>
          </w:p>
        </w:tc>
        <w:tc>
          <w:tcPr>
            <w:tcW w:w="903" w:type="dxa"/>
            <w:vAlign w:val="center"/>
          </w:tcPr>
          <w:p>
            <w:pPr>
              <w:widowControl/>
              <w:jc w:val="both"/>
              <w:rPr>
                <w:rFonts w:hint="eastAsia"/>
                <w:sz w:val="15"/>
                <w:szCs w:val="15"/>
              </w:rPr>
            </w:pPr>
            <w:r>
              <w:rPr>
                <w:color w:val="000000"/>
                <w:sz w:val="15"/>
                <w:szCs w:val="15"/>
                <w:lang w:val="en-US" w:bidi="ar"/>
              </w:rPr>
              <w:t xml:space="preserve">对瓦斯超限作 </w:t>
            </w:r>
            <w:r>
              <w:rPr>
                <w:rFonts w:hint="eastAsia"/>
                <w:color w:val="000000"/>
                <w:sz w:val="15"/>
                <w:szCs w:val="15"/>
                <w:lang w:val="en-US" w:bidi="ar"/>
              </w:rPr>
              <w:t>业的处罚</w:t>
            </w:r>
          </w:p>
        </w:tc>
        <w:tc>
          <w:tcPr>
            <w:tcW w:w="2651" w:type="dxa"/>
            <w:vMerge w:val="continue"/>
          </w:tcPr>
          <w:p>
            <w:pPr>
              <w:pStyle w:val="9"/>
              <w:spacing w:before="26" w:line="278" w:lineRule="auto"/>
              <w:ind w:left="33" w:right="59"/>
              <w:rPr>
                <w:rFonts w:ascii="Times New Roman"/>
                <w:sz w:val="14"/>
              </w:rPr>
            </w:pPr>
          </w:p>
        </w:tc>
        <w:tc>
          <w:tcPr>
            <w:tcW w:w="458" w:type="dxa"/>
            <w:vMerge w:val="continue"/>
          </w:tcPr>
          <w:p>
            <w:pPr>
              <w:pStyle w:val="9"/>
              <w:spacing w:before="26" w:line="278" w:lineRule="auto"/>
              <w:ind w:left="33" w:right="59"/>
              <w:rPr>
                <w:rFonts w:ascii="Times New Roman"/>
                <w:sz w:val="14"/>
              </w:rPr>
            </w:pPr>
          </w:p>
        </w:tc>
        <w:tc>
          <w:tcPr>
            <w:tcW w:w="730" w:type="dxa"/>
            <w:vMerge w:val="continue"/>
          </w:tcPr>
          <w:p>
            <w:pPr>
              <w:pStyle w:val="9"/>
              <w:spacing w:before="26" w:line="278" w:lineRule="auto"/>
              <w:ind w:left="33" w:right="59"/>
              <w:rPr>
                <w:rFonts w:ascii="Times New Roman"/>
                <w:sz w:val="14"/>
              </w:rPr>
            </w:pPr>
          </w:p>
        </w:tc>
        <w:tc>
          <w:tcPr>
            <w:tcW w:w="876" w:type="dxa"/>
            <w:vMerge w:val="continue"/>
          </w:tcPr>
          <w:p>
            <w:pPr>
              <w:pStyle w:val="9"/>
              <w:spacing w:before="26" w:line="278" w:lineRule="auto"/>
              <w:ind w:left="33" w:right="59"/>
              <w:rPr>
                <w:rFonts w:ascii="Times New Roman"/>
                <w:sz w:val="14"/>
              </w:rPr>
            </w:pPr>
          </w:p>
        </w:tc>
        <w:tc>
          <w:tcPr>
            <w:tcW w:w="444" w:type="dxa"/>
            <w:vMerge w:val="continue"/>
          </w:tcPr>
          <w:p>
            <w:pPr>
              <w:pStyle w:val="9"/>
              <w:spacing w:before="26" w:line="278" w:lineRule="auto"/>
              <w:ind w:left="33" w:right="59"/>
              <w:rPr>
                <w:rFonts w:ascii="Times New Roman"/>
                <w:sz w:val="14"/>
              </w:rPr>
            </w:pPr>
          </w:p>
        </w:tc>
        <w:tc>
          <w:tcPr>
            <w:tcW w:w="3538" w:type="dxa"/>
            <w:vMerge w:val="continue"/>
          </w:tcPr>
          <w:p>
            <w:pPr>
              <w:pStyle w:val="9"/>
              <w:spacing w:before="26" w:line="278" w:lineRule="auto"/>
              <w:ind w:left="33" w:right="59"/>
              <w:rPr>
                <w:rFonts w:ascii="Times New Roman"/>
                <w:sz w:val="14"/>
              </w:rPr>
            </w:pPr>
          </w:p>
        </w:tc>
        <w:tc>
          <w:tcPr>
            <w:tcW w:w="3512" w:type="dxa"/>
            <w:vMerge w:val="continue"/>
          </w:tcPr>
          <w:p>
            <w:pPr>
              <w:pStyle w:val="9"/>
              <w:spacing w:before="26" w:line="278" w:lineRule="auto"/>
              <w:ind w:left="33" w:right="59"/>
              <w:rPr>
                <w:rFonts w:ascii="Times New Roman"/>
                <w:sz w:val="1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0" w:hRule="atLeast"/>
        </w:trPr>
        <w:tc>
          <w:tcPr>
            <w:tcW w:w="390" w:type="dxa"/>
            <w:vMerge w:val="continue"/>
            <w:vAlign w:val="center"/>
          </w:tcPr>
          <w:p>
            <w:pPr>
              <w:pStyle w:val="9"/>
              <w:spacing w:before="26" w:line="278" w:lineRule="auto"/>
              <w:ind w:left="33" w:right="59"/>
              <w:jc w:val="both"/>
              <w:rPr>
                <w:rFonts w:ascii="Times New Roman"/>
                <w:sz w:val="13"/>
                <w:szCs w:val="13"/>
              </w:rPr>
            </w:pPr>
          </w:p>
        </w:tc>
        <w:tc>
          <w:tcPr>
            <w:tcW w:w="490" w:type="dxa"/>
            <w:vAlign w:val="center"/>
          </w:tcPr>
          <w:p>
            <w:pPr>
              <w:pStyle w:val="9"/>
              <w:jc w:val="both"/>
              <w:rPr>
                <w:rFonts w:ascii="Times New Roman"/>
                <w:sz w:val="15"/>
                <w:szCs w:val="15"/>
              </w:rPr>
            </w:pPr>
            <w:r>
              <w:rPr>
                <w:rFonts w:ascii="Times New Roman"/>
                <w:w w:val="105"/>
                <w:sz w:val="15"/>
                <w:szCs w:val="15"/>
              </w:rPr>
              <w:t>65010</w:t>
            </w:r>
          </w:p>
          <w:p>
            <w:pPr>
              <w:pStyle w:val="9"/>
              <w:spacing w:before="26"/>
              <w:ind w:left="33"/>
              <w:jc w:val="both"/>
              <w:rPr>
                <w:rFonts w:ascii="Times New Roman"/>
                <w:sz w:val="15"/>
                <w:szCs w:val="15"/>
              </w:rPr>
            </w:pPr>
            <w:r>
              <w:rPr>
                <w:rFonts w:hint="eastAsia" w:ascii="Times New Roman"/>
                <w:w w:val="105"/>
                <w:sz w:val="15"/>
                <w:szCs w:val="15"/>
                <w:lang w:val="en-US"/>
              </w:rPr>
              <w:t>9</w:t>
            </w:r>
            <w:r>
              <w:rPr>
                <w:rFonts w:ascii="Times New Roman"/>
                <w:w w:val="105"/>
                <w:sz w:val="15"/>
                <w:szCs w:val="15"/>
              </w:rPr>
              <w:t>201</w:t>
            </w:r>
          </w:p>
          <w:p>
            <w:pPr>
              <w:pStyle w:val="9"/>
              <w:jc w:val="both"/>
              <w:rPr>
                <w:rFonts w:hint="eastAsia" w:ascii="Times New Roman"/>
                <w:sz w:val="15"/>
                <w:szCs w:val="15"/>
                <w:lang w:val="en-US"/>
              </w:rPr>
            </w:pPr>
            <w:r>
              <w:rPr>
                <w:rFonts w:ascii="Times New Roman"/>
                <w:sz w:val="15"/>
                <w:szCs w:val="15"/>
              </w:rPr>
              <w:t xml:space="preserve">CF00 </w:t>
            </w:r>
            <w:r>
              <w:rPr>
                <w:rFonts w:hint="eastAsia" w:ascii="Times New Roman"/>
                <w:sz w:val="15"/>
                <w:szCs w:val="15"/>
                <w:lang w:val="en-US"/>
              </w:rPr>
              <w:t>7</w:t>
            </w:r>
          </w:p>
        </w:tc>
        <w:tc>
          <w:tcPr>
            <w:tcW w:w="522" w:type="dxa"/>
            <w:vMerge w:val="continue"/>
            <w:vAlign w:val="center"/>
          </w:tcPr>
          <w:p>
            <w:pPr>
              <w:pStyle w:val="9"/>
              <w:spacing w:before="26" w:line="278" w:lineRule="auto"/>
              <w:ind w:left="33" w:right="59"/>
              <w:jc w:val="both"/>
              <w:rPr>
                <w:rFonts w:ascii="Times New Roman"/>
                <w:sz w:val="13"/>
                <w:szCs w:val="13"/>
              </w:rPr>
            </w:pPr>
          </w:p>
        </w:tc>
        <w:tc>
          <w:tcPr>
            <w:tcW w:w="903" w:type="dxa"/>
            <w:vAlign w:val="center"/>
          </w:tcPr>
          <w:p>
            <w:pPr>
              <w:widowControl/>
              <w:jc w:val="both"/>
              <w:rPr>
                <w:rFonts w:hint="eastAsia"/>
                <w:sz w:val="15"/>
                <w:szCs w:val="15"/>
              </w:rPr>
            </w:pPr>
            <w:r>
              <w:rPr>
                <w:color w:val="000000"/>
                <w:sz w:val="15"/>
                <w:szCs w:val="15"/>
                <w:lang w:val="en-US" w:bidi="ar"/>
              </w:rPr>
              <w:t>对煤与瓦斯突</w:t>
            </w:r>
            <w:r>
              <w:rPr>
                <w:rFonts w:hint="eastAsia"/>
                <w:color w:val="000000"/>
                <w:sz w:val="15"/>
                <w:szCs w:val="15"/>
                <w:lang w:val="en-US" w:bidi="ar"/>
              </w:rPr>
              <w:t>出矿井，未依照规定实施防突出措施的处罚</w:t>
            </w:r>
          </w:p>
        </w:tc>
        <w:tc>
          <w:tcPr>
            <w:tcW w:w="2651" w:type="dxa"/>
            <w:vMerge w:val="continue"/>
          </w:tcPr>
          <w:p>
            <w:pPr>
              <w:pStyle w:val="9"/>
              <w:spacing w:before="26" w:line="278" w:lineRule="auto"/>
              <w:ind w:left="33" w:right="59"/>
              <w:rPr>
                <w:rFonts w:ascii="Times New Roman"/>
                <w:sz w:val="14"/>
              </w:rPr>
            </w:pPr>
          </w:p>
        </w:tc>
        <w:tc>
          <w:tcPr>
            <w:tcW w:w="458" w:type="dxa"/>
            <w:vMerge w:val="continue"/>
          </w:tcPr>
          <w:p>
            <w:pPr>
              <w:pStyle w:val="9"/>
              <w:spacing w:before="26" w:line="278" w:lineRule="auto"/>
              <w:ind w:left="33" w:right="59"/>
              <w:rPr>
                <w:rFonts w:ascii="Times New Roman"/>
                <w:sz w:val="14"/>
              </w:rPr>
            </w:pPr>
          </w:p>
        </w:tc>
        <w:tc>
          <w:tcPr>
            <w:tcW w:w="730" w:type="dxa"/>
            <w:vMerge w:val="continue"/>
          </w:tcPr>
          <w:p>
            <w:pPr>
              <w:pStyle w:val="9"/>
              <w:spacing w:before="26" w:line="278" w:lineRule="auto"/>
              <w:ind w:left="33" w:right="59"/>
              <w:rPr>
                <w:rFonts w:ascii="Times New Roman"/>
                <w:sz w:val="14"/>
              </w:rPr>
            </w:pPr>
          </w:p>
        </w:tc>
        <w:tc>
          <w:tcPr>
            <w:tcW w:w="876" w:type="dxa"/>
            <w:vMerge w:val="continue"/>
          </w:tcPr>
          <w:p>
            <w:pPr>
              <w:pStyle w:val="9"/>
              <w:spacing w:before="26" w:line="278" w:lineRule="auto"/>
              <w:ind w:left="33" w:right="59"/>
              <w:rPr>
                <w:rFonts w:ascii="Times New Roman"/>
                <w:sz w:val="14"/>
              </w:rPr>
            </w:pPr>
          </w:p>
        </w:tc>
        <w:tc>
          <w:tcPr>
            <w:tcW w:w="444" w:type="dxa"/>
            <w:vMerge w:val="continue"/>
          </w:tcPr>
          <w:p>
            <w:pPr>
              <w:pStyle w:val="9"/>
              <w:spacing w:before="26" w:line="278" w:lineRule="auto"/>
              <w:ind w:left="33" w:right="59"/>
              <w:rPr>
                <w:rFonts w:ascii="Times New Roman"/>
                <w:sz w:val="14"/>
              </w:rPr>
            </w:pPr>
          </w:p>
        </w:tc>
        <w:tc>
          <w:tcPr>
            <w:tcW w:w="3538" w:type="dxa"/>
            <w:vMerge w:val="continue"/>
          </w:tcPr>
          <w:p>
            <w:pPr>
              <w:pStyle w:val="9"/>
              <w:spacing w:before="26" w:line="278" w:lineRule="auto"/>
              <w:ind w:left="33" w:right="59"/>
              <w:rPr>
                <w:rFonts w:ascii="Times New Roman"/>
                <w:sz w:val="14"/>
              </w:rPr>
            </w:pPr>
          </w:p>
        </w:tc>
        <w:tc>
          <w:tcPr>
            <w:tcW w:w="3512" w:type="dxa"/>
            <w:vMerge w:val="continue"/>
          </w:tcPr>
          <w:p>
            <w:pPr>
              <w:pStyle w:val="9"/>
              <w:spacing w:before="26" w:line="278" w:lineRule="auto"/>
              <w:ind w:left="33" w:right="59"/>
              <w:rPr>
                <w:rFonts w:ascii="Times New Roman"/>
                <w:sz w:val="1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43" w:hRule="atLeast"/>
        </w:trPr>
        <w:tc>
          <w:tcPr>
            <w:tcW w:w="390" w:type="dxa"/>
            <w:vMerge w:val="continue"/>
            <w:vAlign w:val="center"/>
          </w:tcPr>
          <w:p>
            <w:pPr>
              <w:pStyle w:val="9"/>
              <w:spacing w:before="26" w:line="278" w:lineRule="auto"/>
              <w:ind w:left="33" w:right="59"/>
              <w:jc w:val="both"/>
              <w:rPr>
                <w:rFonts w:ascii="Times New Roman"/>
                <w:sz w:val="13"/>
                <w:szCs w:val="13"/>
              </w:rPr>
            </w:pPr>
          </w:p>
        </w:tc>
        <w:tc>
          <w:tcPr>
            <w:tcW w:w="490" w:type="dxa"/>
            <w:vAlign w:val="center"/>
          </w:tcPr>
          <w:p>
            <w:pPr>
              <w:pStyle w:val="9"/>
              <w:jc w:val="both"/>
              <w:rPr>
                <w:rFonts w:ascii="Times New Roman"/>
                <w:sz w:val="15"/>
                <w:szCs w:val="15"/>
              </w:rPr>
            </w:pPr>
            <w:r>
              <w:rPr>
                <w:rFonts w:ascii="Times New Roman"/>
                <w:w w:val="105"/>
                <w:sz w:val="15"/>
                <w:szCs w:val="15"/>
              </w:rPr>
              <w:t>65010</w:t>
            </w:r>
          </w:p>
          <w:p>
            <w:pPr>
              <w:pStyle w:val="9"/>
              <w:spacing w:before="26"/>
              <w:ind w:left="33"/>
              <w:jc w:val="both"/>
              <w:rPr>
                <w:rFonts w:ascii="Times New Roman"/>
                <w:sz w:val="15"/>
                <w:szCs w:val="15"/>
              </w:rPr>
            </w:pPr>
            <w:r>
              <w:rPr>
                <w:rFonts w:hint="eastAsia" w:ascii="Times New Roman"/>
                <w:w w:val="105"/>
                <w:sz w:val="15"/>
                <w:szCs w:val="15"/>
                <w:lang w:val="en-US"/>
              </w:rPr>
              <w:t>9</w:t>
            </w:r>
            <w:r>
              <w:rPr>
                <w:rFonts w:ascii="Times New Roman"/>
                <w:w w:val="105"/>
                <w:sz w:val="15"/>
                <w:szCs w:val="15"/>
              </w:rPr>
              <w:t>201</w:t>
            </w:r>
          </w:p>
          <w:p>
            <w:pPr>
              <w:pStyle w:val="9"/>
              <w:jc w:val="both"/>
              <w:rPr>
                <w:rFonts w:hint="eastAsia" w:ascii="Times New Roman"/>
                <w:sz w:val="15"/>
                <w:szCs w:val="15"/>
                <w:lang w:val="en-US"/>
              </w:rPr>
            </w:pPr>
            <w:r>
              <w:rPr>
                <w:rFonts w:ascii="Times New Roman"/>
                <w:sz w:val="15"/>
                <w:szCs w:val="15"/>
              </w:rPr>
              <w:t xml:space="preserve">CF00 </w:t>
            </w:r>
          </w:p>
        </w:tc>
        <w:tc>
          <w:tcPr>
            <w:tcW w:w="522" w:type="dxa"/>
            <w:vMerge w:val="continue"/>
            <w:vAlign w:val="center"/>
          </w:tcPr>
          <w:p>
            <w:pPr>
              <w:pStyle w:val="9"/>
              <w:spacing w:before="26" w:line="278" w:lineRule="auto"/>
              <w:ind w:left="33" w:right="59"/>
              <w:jc w:val="both"/>
              <w:rPr>
                <w:rFonts w:ascii="Times New Roman"/>
                <w:sz w:val="13"/>
                <w:szCs w:val="13"/>
              </w:rPr>
            </w:pPr>
          </w:p>
        </w:tc>
        <w:tc>
          <w:tcPr>
            <w:tcW w:w="903" w:type="dxa"/>
            <w:vAlign w:val="center"/>
          </w:tcPr>
          <w:p>
            <w:pPr>
              <w:widowControl/>
              <w:rPr>
                <w:rFonts w:hint="eastAsia"/>
                <w:sz w:val="15"/>
                <w:szCs w:val="15"/>
              </w:rPr>
            </w:pPr>
            <w:r>
              <w:rPr>
                <w:color w:val="000000"/>
                <w:sz w:val="15"/>
                <w:szCs w:val="15"/>
                <w:lang w:val="en-US" w:bidi="ar"/>
              </w:rPr>
              <w:t>对高瓦斯矿井</w:t>
            </w:r>
            <w:r>
              <w:rPr>
                <w:rFonts w:hint="eastAsia"/>
                <w:color w:val="000000"/>
                <w:sz w:val="15"/>
                <w:szCs w:val="15"/>
                <w:lang w:val="en-US" w:bidi="ar"/>
              </w:rPr>
              <w:t>未建立瓦斯抽放系统和监控系统，或者瓦 斯监控系统不能正常运行的处罚</w:t>
            </w:r>
          </w:p>
        </w:tc>
        <w:tc>
          <w:tcPr>
            <w:tcW w:w="2651" w:type="dxa"/>
            <w:vMerge w:val="continue"/>
          </w:tcPr>
          <w:p>
            <w:pPr>
              <w:pStyle w:val="9"/>
              <w:spacing w:before="26" w:line="278" w:lineRule="auto"/>
              <w:ind w:left="33" w:right="59"/>
              <w:rPr>
                <w:rFonts w:ascii="Times New Roman"/>
                <w:sz w:val="14"/>
              </w:rPr>
            </w:pPr>
          </w:p>
        </w:tc>
        <w:tc>
          <w:tcPr>
            <w:tcW w:w="458" w:type="dxa"/>
            <w:vMerge w:val="continue"/>
          </w:tcPr>
          <w:p>
            <w:pPr>
              <w:pStyle w:val="9"/>
              <w:spacing w:before="26" w:line="278" w:lineRule="auto"/>
              <w:ind w:left="33" w:right="59"/>
              <w:rPr>
                <w:rFonts w:ascii="Times New Roman"/>
                <w:sz w:val="14"/>
              </w:rPr>
            </w:pPr>
          </w:p>
        </w:tc>
        <w:tc>
          <w:tcPr>
            <w:tcW w:w="730" w:type="dxa"/>
            <w:vMerge w:val="continue"/>
          </w:tcPr>
          <w:p>
            <w:pPr>
              <w:pStyle w:val="9"/>
              <w:spacing w:before="26" w:line="278" w:lineRule="auto"/>
              <w:ind w:left="33" w:right="59"/>
              <w:rPr>
                <w:rFonts w:ascii="Times New Roman"/>
                <w:sz w:val="14"/>
              </w:rPr>
            </w:pPr>
          </w:p>
        </w:tc>
        <w:tc>
          <w:tcPr>
            <w:tcW w:w="876" w:type="dxa"/>
            <w:vMerge w:val="continue"/>
          </w:tcPr>
          <w:p>
            <w:pPr>
              <w:pStyle w:val="9"/>
              <w:spacing w:before="26" w:line="278" w:lineRule="auto"/>
              <w:ind w:left="33" w:right="59"/>
              <w:rPr>
                <w:rFonts w:ascii="Times New Roman"/>
                <w:sz w:val="14"/>
              </w:rPr>
            </w:pPr>
          </w:p>
        </w:tc>
        <w:tc>
          <w:tcPr>
            <w:tcW w:w="444" w:type="dxa"/>
            <w:vMerge w:val="continue"/>
          </w:tcPr>
          <w:p>
            <w:pPr>
              <w:pStyle w:val="9"/>
              <w:spacing w:before="26" w:line="278" w:lineRule="auto"/>
              <w:ind w:left="33" w:right="59"/>
              <w:rPr>
                <w:rFonts w:ascii="Times New Roman"/>
                <w:sz w:val="14"/>
              </w:rPr>
            </w:pPr>
          </w:p>
        </w:tc>
        <w:tc>
          <w:tcPr>
            <w:tcW w:w="3538" w:type="dxa"/>
            <w:vMerge w:val="continue"/>
          </w:tcPr>
          <w:p>
            <w:pPr>
              <w:pStyle w:val="9"/>
              <w:spacing w:before="26" w:line="278" w:lineRule="auto"/>
              <w:ind w:left="33" w:right="59"/>
              <w:rPr>
                <w:rFonts w:ascii="Times New Roman"/>
                <w:sz w:val="14"/>
              </w:rPr>
            </w:pPr>
          </w:p>
        </w:tc>
        <w:tc>
          <w:tcPr>
            <w:tcW w:w="3512" w:type="dxa"/>
            <w:vMerge w:val="continue"/>
          </w:tcPr>
          <w:p>
            <w:pPr>
              <w:pStyle w:val="9"/>
              <w:spacing w:before="26" w:line="278" w:lineRule="auto"/>
              <w:ind w:left="33" w:right="59"/>
              <w:rPr>
                <w:rFonts w:ascii="Times New Roman"/>
                <w:sz w:val="14"/>
              </w:rPr>
            </w:pPr>
          </w:p>
        </w:tc>
      </w:tr>
    </w:tbl>
    <w:p>
      <w:pPr>
        <w:rPr>
          <w:rFonts w:hint="eastAsia"/>
        </w:rPr>
      </w:pPr>
    </w:p>
    <w:tbl>
      <w:tblPr>
        <w:tblStyle w:val="5"/>
        <w:tblW w:w="14514"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806"/>
        <w:gridCol w:w="665"/>
        <w:gridCol w:w="2705"/>
        <w:gridCol w:w="444"/>
        <w:gridCol w:w="744"/>
        <w:gridCol w:w="687"/>
        <w:gridCol w:w="633"/>
        <w:gridCol w:w="3538"/>
        <w:gridCol w:w="351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tcPr>
          <w:p>
            <w:pPr>
              <w:pStyle w:val="9"/>
              <w:spacing w:line="230" w:lineRule="auto"/>
              <w:ind w:left="81" w:right="52"/>
              <w:rPr>
                <w:rFonts w:ascii="黑体" w:eastAsia="黑体"/>
                <w:b/>
                <w:sz w:val="18"/>
              </w:rPr>
            </w:pPr>
          </w:p>
          <w:p>
            <w:pPr>
              <w:pStyle w:val="9"/>
              <w:spacing w:line="230" w:lineRule="auto"/>
              <w:ind w:left="81" w:right="52"/>
              <w:rPr>
                <w:rFonts w:ascii="黑体" w:eastAsia="黑体"/>
                <w:b/>
                <w:sz w:val="18"/>
              </w:rPr>
            </w:pPr>
            <w:r>
              <w:rPr>
                <w:rFonts w:hint="eastAsia" w:ascii="黑体" w:eastAsia="黑体"/>
                <w:b/>
                <w:sz w:val="18"/>
              </w:rPr>
              <w:t>序号</w:t>
            </w:r>
          </w:p>
        </w:tc>
        <w:tc>
          <w:tcPr>
            <w:tcW w:w="444" w:type="dxa"/>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471" w:type="dxa"/>
            <w:gridSpan w:val="2"/>
          </w:tcPr>
          <w:p>
            <w:pPr>
              <w:pStyle w:val="9"/>
              <w:spacing w:before="117"/>
              <w:jc w:val="both"/>
              <w:rPr>
                <w:rFonts w:ascii="黑体" w:eastAsia="黑体"/>
                <w:b/>
                <w:sz w:val="10"/>
                <w:szCs w:val="10"/>
              </w:rPr>
            </w:pPr>
          </w:p>
          <w:p>
            <w:pPr>
              <w:pStyle w:val="9"/>
              <w:spacing w:before="117"/>
              <w:ind w:firstLine="361" w:firstLineChars="200"/>
              <w:jc w:val="both"/>
              <w:rPr>
                <w:rFonts w:ascii="黑体" w:eastAsia="黑体"/>
                <w:b/>
                <w:sz w:val="18"/>
              </w:rPr>
            </w:pPr>
            <w:r>
              <w:rPr>
                <w:rFonts w:hint="eastAsia" w:ascii="黑体" w:eastAsia="黑体"/>
                <w:b/>
                <w:sz w:val="18"/>
              </w:rPr>
              <w:t>职权名称</w:t>
            </w:r>
          </w:p>
        </w:tc>
        <w:tc>
          <w:tcPr>
            <w:tcW w:w="2705" w:type="dxa"/>
          </w:tcPr>
          <w:p>
            <w:pPr>
              <w:pStyle w:val="9"/>
              <w:spacing w:before="140"/>
              <w:ind w:right="1120"/>
              <w:jc w:val="both"/>
              <w:rPr>
                <w:rFonts w:ascii="黑体" w:eastAsia="黑体"/>
                <w:b/>
                <w:sz w:val="10"/>
                <w:szCs w:val="10"/>
                <w:lang w:val="en-US"/>
              </w:rPr>
            </w:pPr>
            <w:r>
              <w:rPr>
                <w:rFonts w:hint="eastAsia" w:ascii="黑体" w:eastAsia="黑体"/>
                <w:b/>
                <w:sz w:val="18"/>
                <w:lang w:val="en-US"/>
              </w:rPr>
              <w:t xml:space="preserve"> </w:t>
            </w:r>
          </w:p>
          <w:p>
            <w:pPr>
              <w:pStyle w:val="9"/>
              <w:spacing w:before="140"/>
              <w:ind w:right="1120" w:firstLine="723" w:firstLineChars="400"/>
              <w:jc w:val="both"/>
              <w:rPr>
                <w:rFonts w:ascii="黑体" w:eastAsia="黑体"/>
                <w:b/>
                <w:sz w:val="18"/>
              </w:rPr>
            </w:pPr>
            <w:r>
              <w:rPr>
                <w:rFonts w:hint="eastAsia" w:ascii="黑体" w:eastAsia="黑体"/>
                <w:b/>
                <w:sz w:val="18"/>
              </w:rPr>
              <w:t>实施依据</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44"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687" w:type="dxa"/>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633"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538" w:type="dxa"/>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512" w:type="dxa"/>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651" w:hRule="atLeast"/>
        </w:trPr>
        <w:tc>
          <w:tcPr>
            <w:tcW w:w="336" w:type="dxa"/>
            <w:vMerge w:val="restart"/>
            <w:vAlign w:val="center"/>
          </w:tcPr>
          <w:p>
            <w:pPr>
              <w:widowControl/>
              <w:jc w:val="center"/>
              <w:rPr>
                <w:rFonts w:hint="eastAsia" w:ascii="Times New Roman"/>
                <w:sz w:val="15"/>
                <w:szCs w:val="15"/>
                <w:lang w:val="en-US"/>
              </w:rPr>
            </w:pPr>
            <w:r>
              <w:rPr>
                <w:rFonts w:hint="eastAsia" w:ascii="Times New Roman"/>
                <w:sz w:val="15"/>
                <w:szCs w:val="15"/>
                <w:lang w:val="en-US"/>
              </w:rPr>
              <w:t>5</w:t>
            </w:r>
          </w:p>
        </w:tc>
        <w:tc>
          <w:tcPr>
            <w:tcW w:w="444" w:type="dxa"/>
            <w:vAlign w:val="center"/>
          </w:tcPr>
          <w:p>
            <w:pPr>
              <w:pStyle w:val="9"/>
              <w:ind w:left="33"/>
              <w:jc w:val="both"/>
              <w:rPr>
                <w:rFonts w:ascii="Times New Roman"/>
                <w:sz w:val="15"/>
                <w:szCs w:val="15"/>
              </w:rPr>
            </w:pPr>
            <w:r>
              <w:rPr>
                <w:rFonts w:ascii="Times New Roman"/>
                <w:w w:val="105"/>
                <w:sz w:val="15"/>
                <w:szCs w:val="15"/>
              </w:rPr>
              <w:t>65010</w:t>
            </w:r>
            <w:r>
              <w:rPr>
                <w:rFonts w:hint="eastAsia" w:ascii="Times New Roman"/>
                <w:w w:val="105"/>
                <w:sz w:val="15"/>
                <w:szCs w:val="15"/>
                <w:lang w:val="en-US"/>
              </w:rPr>
              <w:t>9</w:t>
            </w:r>
            <w:r>
              <w:rPr>
                <w:rFonts w:ascii="Times New Roman"/>
                <w:w w:val="105"/>
                <w:sz w:val="15"/>
                <w:szCs w:val="15"/>
              </w:rPr>
              <w:t>201</w:t>
            </w:r>
            <w:r>
              <w:rPr>
                <w:rFonts w:ascii="Times New Roman"/>
                <w:sz w:val="15"/>
                <w:szCs w:val="15"/>
              </w:rPr>
              <w:t>CF00</w:t>
            </w:r>
            <w:r>
              <w:rPr>
                <w:rFonts w:hint="eastAsia" w:ascii="Times New Roman"/>
                <w:sz w:val="15"/>
                <w:szCs w:val="15"/>
                <w:lang w:val="en-US"/>
              </w:rPr>
              <w:t>9</w:t>
            </w:r>
          </w:p>
        </w:tc>
        <w:tc>
          <w:tcPr>
            <w:tcW w:w="806" w:type="dxa"/>
            <w:vMerge w:val="restart"/>
            <w:vAlign w:val="center"/>
          </w:tcPr>
          <w:p>
            <w:pPr>
              <w:widowControl/>
              <w:jc w:val="both"/>
              <w:rPr>
                <w:sz w:val="15"/>
                <w:szCs w:val="15"/>
              </w:rPr>
            </w:pPr>
            <w:r>
              <w:rPr>
                <w:color w:val="000000"/>
                <w:sz w:val="15"/>
                <w:szCs w:val="15"/>
                <w:lang w:val="en-US" w:bidi="ar"/>
              </w:rPr>
              <w:t xml:space="preserve">对煤矿生产 </w:t>
            </w:r>
          </w:p>
          <w:p>
            <w:pPr>
              <w:widowControl/>
              <w:jc w:val="both"/>
              <w:rPr>
                <w:sz w:val="15"/>
                <w:szCs w:val="15"/>
              </w:rPr>
            </w:pPr>
            <w:r>
              <w:rPr>
                <w:rFonts w:hint="eastAsia"/>
                <w:color w:val="000000"/>
                <w:sz w:val="15"/>
                <w:szCs w:val="15"/>
                <w:lang w:val="en-US" w:bidi="ar"/>
              </w:rPr>
              <w:t xml:space="preserve">存在重大安 </w:t>
            </w:r>
          </w:p>
          <w:p>
            <w:pPr>
              <w:widowControl/>
              <w:jc w:val="both"/>
              <w:rPr>
                <w:sz w:val="15"/>
                <w:szCs w:val="15"/>
              </w:rPr>
            </w:pPr>
            <w:r>
              <w:rPr>
                <w:rFonts w:hint="eastAsia"/>
                <w:color w:val="000000"/>
                <w:sz w:val="15"/>
                <w:szCs w:val="15"/>
                <w:lang w:val="en-US" w:bidi="ar"/>
              </w:rPr>
              <w:t xml:space="preserve">全隐患仍组 </w:t>
            </w:r>
          </w:p>
          <w:p>
            <w:pPr>
              <w:widowControl/>
              <w:jc w:val="both"/>
              <w:rPr>
                <w:sz w:val="15"/>
                <w:szCs w:val="15"/>
              </w:rPr>
            </w:pPr>
            <w:r>
              <w:rPr>
                <w:rFonts w:hint="eastAsia"/>
                <w:color w:val="000000"/>
                <w:sz w:val="15"/>
                <w:szCs w:val="15"/>
                <w:lang w:val="en-US" w:bidi="ar"/>
              </w:rPr>
              <w:t xml:space="preserve">织生产行为 </w:t>
            </w:r>
          </w:p>
          <w:p>
            <w:pPr>
              <w:widowControl/>
              <w:jc w:val="both"/>
              <w:rPr>
                <w:sz w:val="15"/>
                <w:szCs w:val="15"/>
              </w:rPr>
            </w:pPr>
            <w:r>
              <w:rPr>
                <w:rFonts w:hint="eastAsia"/>
                <w:color w:val="000000"/>
                <w:sz w:val="15"/>
                <w:szCs w:val="15"/>
                <w:lang w:val="en-US" w:bidi="ar"/>
              </w:rPr>
              <w:t>的处罚</w:t>
            </w:r>
          </w:p>
          <w:p>
            <w:pPr>
              <w:pStyle w:val="9"/>
              <w:spacing w:line="192" w:lineRule="auto"/>
              <w:ind w:left="32" w:right="39"/>
              <w:jc w:val="both"/>
              <w:rPr>
                <w:sz w:val="15"/>
                <w:szCs w:val="15"/>
              </w:rPr>
            </w:pPr>
          </w:p>
        </w:tc>
        <w:tc>
          <w:tcPr>
            <w:tcW w:w="665" w:type="dxa"/>
            <w:vAlign w:val="center"/>
          </w:tcPr>
          <w:p>
            <w:pPr>
              <w:widowControl/>
              <w:jc w:val="both"/>
              <w:rPr>
                <w:sz w:val="15"/>
                <w:szCs w:val="15"/>
              </w:rPr>
            </w:pPr>
            <w:r>
              <w:rPr>
                <w:color w:val="000000"/>
                <w:sz w:val="15"/>
                <w:szCs w:val="15"/>
                <w:lang w:val="en-US" w:bidi="ar"/>
              </w:rPr>
              <w:t xml:space="preserve">对通风系统不 </w:t>
            </w:r>
            <w:r>
              <w:rPr>
                <w:rFonts w:hint="eastAsia"/>
                <w:color w:val="000000"/>
                <w:sz w:val="15"/>
                <w:szCs w:val="15"/>
                <w:lang w:val="en-US" w:bidi="ar"/>
              </w:rPr>
              <w:t>完善、不可靠 的处罚</w:t>
            </w:r>
          </w:p>
          <w:p>
            <w:pPr>
              <w:pStyle w:val="9"/>
              <w:jc w:val="both"/>
              <w:rPr>
                <w:rFonts w:ascii="Times New Roman"/>
                <w:sz w:val="15"/>
                <w:szCs w:val="15"/>
              </w:rPr>
            </w:pPr>
          </w:p>
        </w:tc>
        <w:tc>
          <w:tcPr>
            <w:tcW w:w="2705" w:type="dxa"/>
            <w:vMerge w:val="restart"/>
            <w:vAlign w:val="center"/>
          </w:tcPr>
          <w:p>
            <w:pPr>
              <w:widowControl/>
              <w:jc w:val="both"/>
              <w:rPr>
                <w:sz w:val="15"/>
                <w:szCs w:val="15"/>
              </w:rPr>
            </w:pPr>
            <w:r>
              <w:rPr>
                <w:color w:val="000000"/>
                <w:sz w:val="15"/>
                <w:szCs w:val="15"/>
                <w:lang w:val="en-US" w:bidi="ar"/>
              </w:rPr>
              <w:t>《关于预防煤矿生产安全事故的特别规定》第八</w:t>
            </w:r>
            <w:r>
              <w:rPr>
                <w:rFonts w:hint="eastAsia"/>
                <w:color w:val="000000"/>
                <w:sz w:val="15"/>
                <w:szCs w:val="15"/>
                <w:lang w:val="en-US" w:bidi="ar"/>
              </w:rPr>
              <w:t>条规定的</w:t>
            </w:r>
            <w:r>
              <w:rPr>
                <w:rFonts w:ascii="TimesNewRomanPSMT" w:hAnsi="TimesNewRomanPSMT" w:eastAsia="TimesNewRomanPSMT" w:cs="TimesNewRomanPSMT"/>
                <w:color w:val="000000"/>
                <w:sz w:val="15"/>
                <w:szCs w:val="15"/>
                <w:lang w:val="en-US" w:bidi="ar"/>
              </w:rPr>
              <w:t>15</w:t>
            </w:r>
            <w:r>
              <w:rPr>
                <w:rFonts w:hint="eastAsia"/>
                <w:color w:val="000000"/>
                <w:sz w:val="15"/>
                <w:szCs w:val="15"/>
                <w:lang w:val="en-US" w:bidi="ar"/>
              </w:rPr>
              <w:t xml:space="preserve">条重大安全隐患的处罚 煤矿有下列重大安全生产隐患和行为的，应当立即停止生产，排除隐患： </w:t>
            </w:r>
          </w:p>
          <w:p>
            <w:pPr>
              <w:widowControl/>
              <w:jc w:val="both"/>
              <w:rPr>
                <w:sz w:val="15"/>
                <w:szCs w:val="15"/>
              </w:rPr>
            </w:pPr>
            <w:r>
              <w:rPr>
                <w:rFonts w:hint="eastAsia"/>
                <w:color w:val="000000"/>
                <w:sz w:val="15"/>
                <w:szCs w:val="15"/>
                <w:lang w:val="en-US" w:bidi="ar"/>
              </w:rPr>
              <w:t xml:space="preserve">（一）超能力、超强度或者超定员组织生产的； </w:t>
            </w:r>
          </w:p>
          <w:p>
            <w:pPr>
              <w:widowControl/>
              <w:jc w:val="both"/>
              <w:rPr>
                <w:sz w:val="15"/>
                <w:szCs w:val="15"/>
              </w:rPr>
            </w:pPr>
            <w:r>
              <w:rPr>
                <w:rFonts w:hint="eastAsia"/>
                <w:color w:val="000000"/>
                <w:sz w:val="15"/>
                <w:szCs w:val="15"/>
                <w:lang w:val="en-US" w:bidi="ar"/>
              </w:rPr>
              <w:t>（二）瓦斯超限作业的；</w:t>
            </w:r>
          </w:p>
          <w:p>
            <w:pPr>
              <w:widowControl/>
              <w:jc w:val="both"/>
              <w:rPr>
                <w:sz w:val="15"/>
                <w:szCs w:val="15"/>
              </w:rPr>
            </w:pPr>
            <w:r>
              <w:rPr>
                <w:rFonts w:hint="eastAsia"/>
                <w:color w:val="000000"/>
                <w:sz w:val="15"/>
                <w:szCs w:val="15"/>
                <w:lang w:val="en-US" w:bidi="ar"/>
              </w:rPr>
              <w:t>（三）煤与瓦斯突出矿井，未依照规定实施防突 出措施的；</w:t>
            </w:r>
          </w:p>
          <w:p>
            <w:pPr>
              <w:widowControl/>
              <w:jc w:val="both"/>
              <w:rPr>
                <w:sz w:val="15"/>
                <w:szCs w:val="15"/>
              </w:rPr>
            </w:pPr>
            <w:r>
              <w:rPr>
                <w:rFonts w:hint="eastAsia"/>
                <w:color w:val="000000"/>
                <w:sz w:val="15"/>
                <w:szCs w:val="15"/>
                <w:lang w:val="en-US" w:bidi="ar"/>
              </w:rPr>
              <w:t xml:space="preserve">（四）高瓦斯矿井未建立瓦斯抽放系统和监控系统，或者瓦斯监控系统不能正常运行的； </w:t>
            </w:r>
          </w:p>
          <w:p>
            <w:pPr>
              <w:widowControl/>
              <w:jc w:val="both"/>
              <w:rPr>
                <w:sz w:val="15"/>
                <w:szCs w:val="15"/>
              </w:rPr>
            </w:pPr>
            <w:r>
              <w:rPr>
                <w:rFonts w:hint="eastAsia"/>
                <w:color w:val="000000"/>
                <w:sz w:val="15"/>
                <w:szCs w:val="15"/>
                <w:lang w:val="en-US" w:bidi="ar"/>
              </w:rPr>
              <w:t xml:space="preserve">（五）通风系统不完善、不可靠的； </w:t>
            </w:r>
          </w:p>
          <w:p>
            <w:pPr>
              <w:widowControl/>
              <w:jc w:val="both"/>
              <w:rPr>
                <w:sz w:val="15"/>
                <w:szCs w:val="15"/>
              </w:rPr>
            </w:pPr>
            <w:r>
              <w:rPr>
                <w:rFonts w:hint="eastAsia"/>
                <w:color w:val="000000"/>
                <w:sz w:val="15"/>
                <w:szCs w:val="15"/>
                <w:lang w:val="en-US" w:bidi="ar"/>
              </w:rPr>
              <w:t xml:space="preserve">（六）有严重水患，未采取有效措施的； </w:t>
            </w:r>
          </w:p>
          <w:p>
            <w:pPr>
              <w:widowControl/>
              <w:jc w:val="both"/>
              <w:rPr>
                <w:sz w:val="15"/>
                <w:szCs w:val="15"/>
              </w:rPr>
            </w:pPr>
            <w:r>
              <w:rPr>
                <w:rFonts w:hint="eastAsia"/>
                <w:color w:val="000000"/>
                <w:sz w:val="15"/>
                <w:szCs w:val="15"/>
                <w:lang w:val="en-US" w:bidi="ar"/>
              </w:rPr>
              <w:t xml:space="preserve">（七）超层越界开采的； </w:t>
            </w:r>
          </w:p>
          <w:p>
            <w:pPr>
              <w:widowControl/>
              <w:jc w:val="both"/>
              <w:rPr>
                <w:sz w:val="15"/>
                <w:szCs w:val="15"/>
              </w:rPr>
            </w:pPr>
            <w:r>
              <w:rPr>
                <w:rFonts w:hint="eastAsia"/>
                <w:color w:val="000000"/>
                <w:sz w:val="15"/>
                <w:szCs w:val="15"/>
                <w:lang w:val="en-US" w:bidi="ar"/>
              </w:rPr>
              <w:t xml:space="preserve">（八）有冲击地压危险，未采取有效措施的； </w:t>
            </w:r>
          </w:p>
          <w:p>
            <w:pPr>
              <w:widowControl/>
              <w:jc w:val="both"/>
              <w:rPr>
                <w:sz w:val="15"/>
                <w:szCs w:val="15"/>
              </w:rPr>
            </w:pPr>
            <w:r>
              <w:rPr>
                <w:rFonts w:hint="eastAsia"/>
                <w:color w:val="000000"/>
                <w:sz w:val="15"/>
                <w:szCs w:val="15"/>
                <w:lang w:val="en-US" w:bidi="ar"/>
              </w:rPr>
              <w:t xml:space="preserve">（九）自然发火严重，未采取有效措施的； </w:t>
            </w:r>
          </w:p>
          <w:p>
            <w:pPr>
              <w:widowControl/>
              <w:jc w:val="both"/>
              <w:rPr>
                <w:sz w:val="15"/>
                <w:szCs w:val="15"/>
              </w:rPr>
            </w:pPr>
            <w:r>
              <w:rPr>
                <w:rFonts w:hint="eastAsia"/>
                <w:color w:val="000000"/>
                <w:sz w:val="15"/>
                <w:szCs w:val="15"/>
                <w:lang w:val="en-US" w:bidi="ar"/>
              </w:rPr>
              <w:t>（十）使用明令禁止使用或者淘汰的设备、工艺 的；</w:t>
            </w:r>
          </w:p>
          <w:p>
            <w:pPr>
              <w:widowControl/>
              <w:jc w:val="both"/>
              <w:rPr>
                <w:sz w:val="15"/>
                <w:szCs w:val="15"/>
              </w:rPr>
            </w:pPr>
            <w:r>
              <w:rPr>
                <w:rFonts w:hint="eastAsia"/>
                <w:color w:val="000000"/>
                <w:sz w:val="15"/>
                <w:szCs w:val="15"/>
                <w:lang w:val="en-US" w:bidi="ar"/>
              </w:rPr>
              <w:t>（十一）年产</w:t>
            </w:r>
            <w:r>
              <w:rPr>
                <w:rFonts w:ascii="TimesNewRomanPSMT" w:hAnsi="TimesNewRomanPSMT" w:eastAsia="TimesNewRomanPSMT" w:cs="TimesNewRomanPSMT"/>
                <w:color w:val="000000"/>
                <w:sz w:val="15"/>
                <w:szCs w:val="15"/>
                <w:lang w:val="en-US" w:bidi="ar"/>
              </w:rPr>
              <w:t>6</w:t>
            </w:r>
            <w:r>
              <w:rPr>
                <w:rFonts w:hint="eastAsia"/>
                <w:color w:val="000000"/>
                <w:sz w:val="15"/>
                <w:szCs w:val="15"/>
                <w:lang w:val="en-US" w:bidi="ar"/>
              </w:rPr>
              <w:t>万吨以上的煤矿没有双回路供电系 统的</w:t>
            </w:r>
          </w:p>
          <w:p>
            <w:pPr>
              <w:pStyle w:val="9"/>
              <w:spacing w:before="126" w:line="189" w:lineRule="auto"/>
              <w:ind w:left="33" w:right="62"/>
              <w:jc w:val="both"/>
              <w:rPr>
                <w:sz w:val="15"/>
                <w:szCs w:val="15"/>
              </w:rPr>
            </w:pPr>
          </w:p>
        </w:tc>
        <w:tc>
          <w:tcPr>
            <w:tcW w:w="444" w:type="dxa"/>
            <w:vMerge w:val="restart"/>
            <w:vAlign w:val="center"/>
          </w:tcPr>
          <w:p>
            <w:pPr>
              <w:widowControl/>
              <w:jc w:val="both"/>
              <w:rPr>
                <w:sz w:val="15"/>
                <w:szCs w:val="15"/>
              </w:rPr>
            </w:pPr>
            <w:r>
              <w:rPr>
                <w:color w:val="000000"/>
                <w:sz w:val="15"/>
                <w:szCs w:val="15"/>
                <w:lang w:val="en-US" w:bidi="ar"/>
              </w:rPr>
              <w:t>煤矿</w:t>
            </w:r>
          </w:p>
          <w:p>
            <w:pPr>
              <w:widowControl/>
              <w:jc w:val="both"/>
              <w:rPr>
                <w:sz w:val="15"/>
                <w:szCs w:val="15"/>
              </w:rPr>
            </w:pPr>
            <w:r>
              <w:rPr>
                <w:rFonts w:hint="eastAsia"/>
                <w:color w:val="000000"/>
                <w:sz w:val="15"/>
                <w:szCs w:val="15"/>
                <w:lang w:val="en-US" w:bidi="ar"/>
              </w:rPr>
              <w:t>企业</w:t>
            </w:r>
          </w:p>
          <w:p>
            <w:pPr>
              <w:pStyle w:val="9"/>
              <w:jc w:val="both"/>
              <w:rPr>
                <w:rFonts w:ascii="Times New Roman"/>
                <w:sz w:val="15"/>
                <w:szCs w:val="15"/>
              </w:rPr>
            </w:pPr>
          </w:p>
          <w:p>
            <w:pPr>
              <w:pStyle w:val="9"/>
              <w:spacing w:line="192" w:lineRule="auto"/>
              <w:ind w:left="83" w:right="23"/>
              <w:jc w:val="both"/>
              <w:rPr>
                <w:sz w:val="15"/>
                <w:szCs w:val="15"/>
              </w:rPr>
            </w:pPr>
          </w:p>
        </w:tc>
        <w:tc>
          <w:tcPr>
            <w:tcW w:w="744" w:type="dxa"/>
            <w:vMerge w:val="restart"/>
            <w:vAlign w:val="center"/>
          </w:tcPr>
          <w:p>
            <w:pPr>
              <w:pStyle w:val="9"/>
              <w:jc w:val="both"/>
              <w:rPr>
                <w:rFonts w:ascii="Times New Roman"/>
                <w:sz w:val="15"/>
                <w:szCs w:val="15"/>
              </w:rPr>
            </w:pPr>
          </w:p>
          <w:p>
            <w:pPr>
              <w:pStyle w:val="9"/>
              <w:spacing w:before="7"/>
              <w:ind w:left="97" w:right="66"/>
              <w:jc w:val="both"/>
              <w:rPr>
                <w:rFonts w:ascii="Times New Roman" w:eastAsia="Times New Roman"/>
                <w:sz w:val="15"/>
                <w:szCs w:val="15"/>
              </w:rPr>
            </w:pPr>
            <w:r>
              <w:rPr>
                <w:rFonts w:hint="eastAsia"/>
                <w:color w:val="000000"/>
                <w:sz w:val="15"/>
                <w:szCs w:val="15"/>
                <w:lang w:val="en-US" w:bidi="ar"/>
              </w:rPr>
              <w:t>安全科3311262</w:t>
            </w:r>
          </w:p>
        </w:tc>
        <w:tc>
          <w:tcPr>
            <w:tcW w:w="687" w:type="dxa"/>
            <w:vMerge w:val="restart"/>
            <w:vAlign w:val="center"/>
          </w:tcPr>
          <w:p>
            <w:pPr>
              <w:pStyle w:val="9"/>
              <w:ind w:left="32"/>
              <w:jc w:val="both"/>
              <w:rPr>
                <w:sz w:val="15"/>
                <w:szCs w:val="15"/>
              </w:rPr>
            </w:pPr>
            <w:r>
              <w:rPr>
                <w:w w:val="102"/>
                <w:sz w:val="15"/>
                <w:szCs w:val="15"/>
              </w:rPr>
              <w:t>无</w:t>
            </w:r>
          </w:p>
        </w:tc>
        <w:tc>
          <w:tcPr>
            <w:tcW w:w="633" w:type="dxa"/>
            <w:vMerge w:val="restart"/>
            <w:vAlign w:val="center"/>
          </w:tcPr>
          <w:p>
            <w:pPr>
              <w:widowControl/>
              <w:jc w:val="both"/>
              <w:rPr>
                <w:color w:val="000000"/>
                <w:sz w:val="15"/>
                <w:szCs w:val="15"/>
                <w:lang w:val="en-US" w:bidi="ar"/>
              </w:rPr>
            </w:pPr>
            <w:r>
              <w:rPr>
                <w:rFonts w:hint="eastAsia"/>
                <w:color w:val="000000"/>
                <w:sz w:val="15"/>
                <w:szCs w:val="15"/>
                <w:lang w:val="en-US" w:bidi="ar"/>
              </w:rPr>
              <w:t>米东区发改委（工信局）</w:t>
            </w:r>
          </w:p>
          <w:p>
            <w:pPr>
              <w:widowControl/>
              <w:jc w:val="both"/>
              <w:rPr>
                <w:sz w:val="15"/>
                <w:szCs w:val="15"/>
              </w:rPr>
            </w:pPr>
          </w:p>
        </w:tc>
        <w:tc>
          <w:tcPr>
            <w:tcW w:w="3538" w:type="dxa"/>
            <w:vMerge w:val="restart"/>
          </w:tcPr>
          <w:p>
            <w:pPr>
              <w:widowControl/>
              <w:jc w:val="both"/>
              <w:rPr>
                <w:sz w:val="16"/>
                <w:szCs w:val="16"/>
              </w:rPr>
            </w:pPr>
            <w:r>
              <w:rPr>
                <w:rFonts w:ascii="TimesNewRomanPSMT" w:hAnsi="TimesNewRomanPSMT" w:eastAsia="TimesNewRomanPSMT" w:cs="TimesNewRomanPSMT"/>
                <w:color w:val="000000"/>
                <w:sz w:val="16"/>
                <w:szCs w:val="16"/>
                <w:lang w:val="en-US" w:bidi="ar"/>
              </w:rPr>
              <w:t>1.</w:t>
            </w:r>
            <w:r>
              <w:rPr>
                <w:color w:val="000000"/>
                <w:sz w:val="16"/>
                <w:szCs w:val="16"/>
                <w:lang w:val="en-US" w:bidi="ar"/>
              </w:rPr>
              <w:t>立案责任：按照立案条件在规定期限内进行审查</w:t>
            </w:r>
          </w:p>
          <w:p>
            <w:pPr>
              <w:widowControl/>
              <w:jc w:val="both"/>
              <w:rPr>
                <w:sz w:val="16"/>
                <w:szCs w:val="16"/>
              </w:rPr>
            </w:pPr>
            <w:r>
              <w:rPr>
                <w:rFonts w:hint="eastAsia"/>
                <w:color w:val="000000"/>
                <w:sz w:val="16"/>
                <w:szCs w:val="16"/>
                <w:lang w:val="en-US" w:bidi="ar"/>
              </w:rPr>
              <w:t>并决定是否立案（不予立案应当告知理由）；对需要补充材料的，应当场一次性告知。</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调查责任：对违法违规行为进行调查，依法收集整理证据材料；执法人员不得少于两人，调查时应出示执法身份证件，允许当事人陈述申辩，并严格执行监察回避制度。</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审查责任：应当对案件违法事实、证据、调查取证程序、法律适用、处罚种类和幅度以及当事人陈述申辩理由等方面进行审查，并提出处理意见。对情节复杂或者重大违法行为给予较重的行政处罚，由市工信局（大数据发展局）局务会研究提出审查意见。</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告知责任：在做出行政处罚决定前，应书面告知当事人违法事实及其享有的陈述、申辩、要求听证等权利。</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决定责任：决定给予行政处罚的，应制作《行政处罚决定书》，载明违法事实和证据、处罚依据和内容、申请行政复议或提起行政诉讼的途径和期限等。</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送达责任：《行政处罚决定书》应在规定期限内依法送达当事人。</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执行责任：监督当事人在规定的期限内履行生效的行政处罚决定。当事人在法定期限内既不申请行政复议或者提起行政诉讼，又不履行处罚决定的，可依法向人民法院申请强制执行等措施。</w:t>
            </w:r>
          </w:p>
          <w:p>
            <w:pPr>
              <w:pStyle w:val="9"/>
              <w:tabs>
                <w:tab w:val="left" w:pos="146"/>
              </w:tabs>
              <w:spacing w:line="205" w:lineRule="exact"/>
              <w:ind w:left="32"/>
              <w:rPr>
                <w:sz w:val="13"/>
                <w:szCs w:val="13"/>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其他法律法规政策规定应履行的责任。</w:t>
            </w:r>
          </w:p>
        </w:tc>
        <w:tc>
          <w:tcPr>
            <w:tcW w:w="3512" w:type="dxa"/>
            <w:vMerge w:val="restart"/>
            <w:vAlign w:val="center"/>
          </w:tcPr>
          <w:p>
            <w:pPr>
              <w:widowControl/>
              <w:jc w:val="both"/>
              <w:rPr>
                <w:sz w:val="16"/>
                <w:szCs w:val="16"/>
              </w:rPr>
            </w:pPr>
            <w:r>
              <w:rPr>
                <w:color w:val="000000"/>
                <w:sz w:val="16"/>
                <w:szCs w:val="16"/>
                <w:lang w:val="en-US" w:bidi="ar"/>
              </w:rPr>
              <w:t xml:space="preserve">行政主管部门及其工作人员有下列行为之一 </w:t>
            </w:r>
            <w:r>
              <w:rPr>
                <w:rFonts w:hint="eastAsia"/>
                <w:color w:val="000000"/>
                <w:sz w:val="16"/>
                <w:szCs w:val="16"/>
                <w:lang w:val="en-US" w:bidi="ar"/>
              </w:rPr>
              <w:t xml:space="preserve">的，对直接负责的主管人员和其他直接责任人 员，依法给予处分；构成犯罪的，依法追究刑 事责任： </w:t>
            </w:r>
          </w:p>
          <w:p>
            <w:pPr>
              <w:widowControl/>
              <w:jc w:val="both"/>
              <w:rPr>
                <w:sz w:val="16"/>
                <w:szCs w:val="16"/>
              </w:rPr>
            </w:pPr>
            <w:r>
              <w:rPr>
                <w:rFonts w:ascii="TimesNewRomanPSMT" w:hAnsi="TimesNewRomanPSMT" w:eastAsia="TimesNewRomanPSMT" w:cs="TimesNewRomanPSMT"/>
                <w:color w:val="000000"/>
                <w:sz w:val="16"/>
                <w:szCs w:val="16"/>
                <w:lang w:val="en-US" w:bidi="ar"/>
              </w:rPr>
              <w:t>1.</w:t>
            </w:r>
            <w:r>
              <w:rPr>
                <w:rFonts w:hint="eastAsia"/>
                <w:color w:val="000000"/>
                <w:sz w:val="16"/>
                <w:szCs w:val="16"/>
                <w:lang w:val="en-US" w:bidi="ar"/>
              </w:rPr>
              <w:t xml:space="preserve">执法人员玩忽职守，对应当予以制止和处罚的 违法行为不予制止、处罚，致使国家资源遭受 损害的； </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 xml:space="preserve">不依法受理举报、投诉或者受理后未在法定期限内处理的； </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 xml:space="preserve">对符合立案条件而不予立案的； </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 xml:space="preserve">对不符合立案条件而立案调查的； </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 xml:space="preserve">没有法定的行政处罚依据的； </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 xml:space="preserve">违反法定的行政处罚程序的； </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 xml:space="preserve">擅自改变行政处罚种类、幅度的； </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 xml:space="preserve">对当事人进行处罚不使用罚款、没收财物单据或者使用非法定部门制发的罚款、没收财物单据的； </w:t>
            </w:r>
          </w:p>
          <w:p>
            <w:pPr>
              <w:widowControl/>
              <w:jc w:val="both"/>
              <w:rPr>
                <w:sz w:val="16"/>
                <w:szCs w:val="16"/>
              </w:rPr>
            </w:pPr>
            <w:r>
              <w:rPr>
                <w:rFonts w:ascii="TimesNewRomanPSMT" w:hAnsi="TimesNewRomanPSMT" w:eastAsia="TimesNewRomanPSMT" w:cs="TimesNewRomanPSMT"/>
                <w:color w:val="000000"/>
                <w:sz w:val="16"/>
                <w:szCs w:val="16"/>
                <w:lang w:val="en-US" w:bidi="ar"/>
              </w:rPr>
              <w:t>9.</w:t>
            </w:r>
            <w:r>
              <w:rPr>
                <w:rFonts w:hint="eastAsia"/>
                <w:color w:val="000000"/>
                <w:sz w:val="16"/>
                <w:szCs w:val="16"/>
                <w:lang w:val="en-US" w:bidi="ar"/>
              </w:rPr>
              <w:t xml:space="preserve">违反法律规定自行收缴罚款的； </w:t>
            </w:r>
          </w:p>
          <w:p>
            <w:pPr>
              <w:widowControl/>
              <w:jc w:val="both"/>
              <w:rPr>
                <w:sz w:val="16"/>
                <w:szCs w:val="16"/>
              </w:rPr>
            </w:pPr>
            <w:r>
              <w:rPr>
                <w:rFonts w:ascii="TimesNewRomanPSMT" w:hAnsi="TimesNewRomanPSMT" w:eastAsia="TimesNewRomanPSMT" w:cs="TimesNewRomanPSMT"/>
                <w:color w:val="000000"/>
                <w:sz w:val="16"/>
                <w:szCs w:val="16"/>
                <w:lang w:val="en-US" w:bidi="ar"/>
              </w:rPr>
              <w:t>10.</w:t>
            </w:r>
            <w:r>
              <w:rPr>
                <w:rFonts w:hint="eastAsia"/>
                <w:color w:val="000000"/>
                <w:sz w:val="16"/>
                <w:szCs w:val="16"/>
                <w:lang w:val="en-US" w:bidi="ar"/>
              </w:rPr>
              <w:t xml:space="preserve">将罚款、没收的违法所得或者财物截留、私分或者变相私分的； </w:t>
            </w:r>
          </w:p>
          <w:p>
            <w:pPr>
              <w:widowControl/>
              <w:jc w:val="both"/>
              <w:rPr>
                <w:sz w:val="16"/>
                <w:szCs w:val="16"/>
              </w:rPr>
            </w:pPr>
            <w:r>
              <w:rPr>
                <w:rFonts w:ascii="TimesNewRomanPSMT" w:hAnsi="TimesNewRomanPSMT" w:eastAsia="TimesNewRomanPSMT" w:cs="TimesNewRomanPSMT"/>
                <w:color w:val="000000"/>
                <w:sz w:val="16"/>
                <w:szCs w:val="16"/>
                <w:lang w:val="en-US" w:bidi="ar"/>
              </w:rPr>
              <w:t>11.</w:t>
            </w:r>
            <w:r>
              <w:rPr>
                <w:rFonts w:hint="eastAsia"/>
                <w:color w:val="000000"/>
                <w:sz w:val="16"/>
                <w:szCs w:val="16"/>
                <w:lang w:val="en-US" w:bidi="ar"/>
              </w:rPr>
              <w:t xml:space="preserve">为牟取本单位私利，对应当移交司法机关追究刑事责任的不移交，以行政处罚代替刑罚； </w:t>
            </w:r>
          </w:p>
          <w:p>
            <w:pPr>
              <w:widowControl/>
              <w:jc w:val="both"/>
              <w:rPr>
                <w:sz w:val="16"/>
                <w:szCs w:val="16"/>
              </w:rPr>
            </w:pPr>
            <w:r>
              <w:rPr>
                <w:rFonts w:ascii="TimesNewRomanPSMT" w:hAnsi="TimesNewRomanPSMT" w:eastAsia="TimesNewRomanPSMT" w:cs="TimesNewRomanPSMT"/>
                <w:color w:val="000000"/>
                <w:sz w:val="16"/>
                <w:szCs w:val="16"/>
                <w:lang w:val="en-US" w:bidi="ar"/>
              </w:rPr>
              <w:t>12.</w:t>
            </w:r>
            <w:r>
              <w:rPr>
                <w:rFonts w:hint="eastAsia"/>
                <w:color w:val="000000"/>
                <w:sz w:val="16"/>
                <w:szCs w:val="16"/>
                <w:lang w:val="en-US" w:bidi="ar"/>
              </w:rPr>
              <w:t>其他法律、法规、规章、文件规定的行为。</w:t>
            </w:r>
          </w:p>
          <w:p>
            <w:pPr>
              <w:pStyle w:val="9"/>
              <w:tabs>
                <w:tab w:val="left" w:pos="219"/>
              </w:tabs>
              <w:spacing w:line="202" w:lineRule="exact"/>
              <w:ind w:left="32"/>
              <w:jc w:val="both"/>
              <w:rPr>
                <w:sz w:val="13"/>
                <w:szCs w:val="13"/>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475" w:hRule="atLeast"/>
        </w:trPr>
        <w:tc>
          <w:tcPr>
            <w:tcW w:w="336" w:type="dxa"/>
            <w:vMerge w:val="continue"/>
          </w:tcPr>
          <w:p>
            <w:pPr>
              <w:jc w:val="center"/>
              <w:rPr>
                <w:sz w:val="13"/>
                <w:szCs w:val="13"/>
              </w:rPr>
            </w:pPr>
          </w:p>
        </w:tc>
        <w:tc>
          <w:tcPr>
            <w:tcW w:w="444" w:type="dxa"/>
            <w:vAlign w:val="center"/>
          </w:tcPr>
          <w:p>
            <w:pPr>
              <w:pStyle w:val="9"/>
              <w:jc w:val="both"/>
              <w:rPr>
                <w:rFonts w:ascii="Times New Roman"/>
                <w:sz w:val="15"/>
                <w:szCs w:val="15"/>
              </w:rPr>
            </w:pPr>
            <w:r>
              <w:rPr>
                <w:rFonts w:ascii="Times New Roman"/>
                <w:w w:val="105"/>
                <w:sz w:val="15"/>
                <w:szCs w:val="15"/>
              </w:rPr>
              <w:t>65010</w:t>
            </w:r>
          </w:p>
          <w:p>
            <w:pPr>
              <w:pStyle w:val="9"/>
              <w:spacing w:before="26"/>
              <w:ind w:left="33"/>
              <w:jc w:val="both"/>
              <w:rPr>
                <w:rFonts w:ascii="Times New Roman"/>
                <w:sz w:val="15"/>
                <w:szCs w:val="15"/>
              </w:rPr>
            </w:pPr>
            <w:r>
              <w:rPr>
                <w:rFonts w:hint="eastAsia" w:ascii="Times New Roman"/>
                <w:w w:val="105"/>
                <w:sz w:val="15"/>
                <w:szCs w:val="15"/>
                <w:lang w:val="en-US"/>
              </w:rPr>
              <w:t>9</w:t>
            </w:r>
            <w:r>
              <w:rPr>
                <w:rFonts w:ascii="Times New Roman"/>
                <w:w w:val="105"/>
                <w:sz w:val="15"/>
                <w:szCs w:val="15"/>
              </w:rPr>
              <w:t>201</w:t>
            </w:r>
          </w:p>
          <w:p>
            <w:pPr>
              <w:jc w:val="both"/>
              <w:rPr>
                <w:sz w:val="15"/>
                <w:szCs w:val="15"/>
                <w:lang w:val="en-US"/>
              </w:rPr>
            </w:pPr>
            <w:r>
              <w:rPr>
                <w:rFonts w:ascii="Times New Roman"/>
                <w:sz w:val="15"/>
                <w:szCs w:val="15"/>
              </w:rPr>
              <w:t>CF0</w:t>
            </w:r>
            <w:r>
              <w:rPr>
                <w:rFonts w:hint="eastAsia" w:ascii="Times New Roman"/>
                <w:sz w:val="15"/>
                <w:szCs w:val="15"/>
                <w:lang w:val="en-US"/>
              </w:rPr>
              <w:t>10</w:t>
            </w:r>
          </w:p>
        </w:tc>
        <w:tc>
          <w:tcPr>
            <w:tcW w:w="806" w:type="dxa"/>
            <w:vMerge w:val="continue"/>
          </w:tcPr>
          <w:p>
            <w:pPr>
              <w:jc w:val="center"/>
              <w:rPr>
                <w:sz w:val="13"/>
                <w:szCs w:val="13"/>
              </w:rPr>
            </w:pPr>
          </w:p>
        </w:tc>
        <w:tc>
          <w:tcPr>
            <w:tcW w:w="665" w:type="dxa"/>
          </w:tcPr>
          <w:p>
            <w:pPr>
              <w:widowControl/>
              <w:rPr>
                <w:rFonts w:hint="eastAsia"/>
                <w:sz w:val="15"/>
                <w:szCs w:val="15"/>
              </w:rPr>
            </w:pPr>
            <w:r>
              <w:rPr>
                <w:color w:val="000000"/>
                <w:sz w:val="15"/>
                <w:szCs w:val="15"/>
                <w:lang w:val="en-US" w:bidi="ar"/>
              </w:rPr>
              <w:t xml:space="preserve">对有严重水 </w:t>
            </w:r>
            <w:r>
              <w:rPr>
                <w:rFonts w:hint="eastAsia"/>
                <w:color w:val="000000"/>
                <w:sz w:val="15"/>
                <w:szCs w:val="15"/>
                <w:lang w:val="en-US" w:bidi="ar"/>
              </w:rPr>
              <w:t>患，未采取有 效措施的处罚</w:t>
            </w:r>
          </w:p>
        </w:tc>
        <w:tc>
          <w:tcPr>
            <w:tcW w:w="2705" w:type="dxa"/>
            <w:vMerge w:val="continue"/>
          </w:tcPr>
          <w:p>
            <w:pPr>
              <w:jc w:val="center"/>
            </w:pPr>
          </w:p>
        </w:tc>
        <w:tc>
          <w:tcPr>
            <w:tcW w:w="444" w:type="dxa"/>
            <w:vMerge w:val="continue"/>
          </w:tcPr>
          <w:p>
            <w:pPr>
              <w:jc w:val="center"/>
            </w:pPr>
          </w:p>
        </w:tc>
        <w:tc>
          <w:tcPr>
            <w:tcW w:w="744" w:type="dxa"/>
            <w:vMerge w:val="continue"/>
          </w:tcPr>
          <w:p>
            <w:pPr>
              <w:jc w:val="center"/>
            </w:pPr>
          </w:p>
        </w:tc>
        <w:tc>
          <w:tcPr>
            <w:tcW w:w="687" w:type="dxa"/>
            <w:vMerge w:val="continue"/>
          </w:tcPr>
          <w:p>
            <w:pPr>
              <w:jc w:val="center"/>
            </w:pPr>
          </w:p>
        </w:tc>
        <w:tc>
          <w:tcPr>
            <w:tcW w:w="633" w:type="dxa"/>
            <w:vMerge w:val="continue"/>
          </w:tcPr>
          <w:p>
            <w:pPr>
              <w:jc w:val="center"/>
            </w:pPr>
          </w:p>
        </w:tc>
        <w:tc>
          <w:tcPr>
            <w:tcW w:w="3538" w:type="dxa"/>
            <w:vMerge w:val="continue"/>
          </w:tcPr>
          <w:p>
            <w:pPr>
              <w:jc w:val="center"/>
            </w:pPr>
          </w:p>
        </w:tc>
        <w:tc>
          <w:tcPr>
            <w:tcW w:w="3512" w:type="dxa"/>
            <w:vMerge w:val="continue"/>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475" w:hRule="atLeast"/>
        </w:trPr>
        <w:tc>
          <w:tcPr>
            <w:tcW w:w="336" w:type="dxa"/>
            <w:vMerge w:val="continue"/>
          </w:tcPr>
          <w:p>
            <w:pPr>
              <w:jc w:val="center"/>
              <w:rPr>
                <w:sz w:val="13"/>
                <w:szCs w:val="13"/>
              </w:rPr>
            </w:pPr>
          </w:p>
        </w:tc>
        <w:tc>
          <w:tcPr>
            <w:tcW w:w="444" w:type="dxa"/>
            <w:vAlign w:val="center"/>
          </w:tcPr>
          <w:p>
            <w:pPr>
              <w:pStyle w:val="9"/>
              <w:ind w:left="33"/>
              <w:jc w:val="both"/>
              <w:rPr>
                <w:rFonts w:ascii="Times New Roman"/>
                <w:sz w:val="15"/>
                <w:szCs w:val="15"/>
              </w:rPr>
            </w:pPr>
            <w:r>
              <w:rPr>
                <w:rFonts w:ascii="Times New Roman"/>
                <w:w w:val="105"/>
                <w:sz w:val="15"/>
                <w:szCs w:val="15"/>
              </w:rPr>
              <w:t>65010</w:t>
            </w:r>
            <w:r>
              <w:rPr>
                <w:rFonts w:hint="eastAsia" w:ascii="Times New Roman"/>
                <w:w w:val="105"/>
                <w:sz w:val="15"/>
                <w:szCs w:val="15"/>
                <w:lang w:val="en-US"/>
              </w:rPr>
              <w:t>9</w:t>
            </w:r>
            <w:r>
              <w:rPr>
                <w:rFonts w:ascii="Times New Roman"/>
                <w:w w:val="105"/>
                <w:sz w:val="15"/>
                <w:szCs w:val="15"/>
              </w:rPr>
              <w:t>201</w:t>
            </w:r>
            <w:r>
              <w:rPr>
                <w:rFonts w:ascii="Times New Roman"/>
                <w:sz w:val="15"/>
                <w:szCs w:val="15"/>
              </w:rPr>
              <w:t>CF0</w:t>
            </w:r>
            <w:r>
              <w:rPr>
                <w:rFonts w:hint="eastAsia" w:ascii="Times New Roman"/>
                <w:sz w:val="15"/>
                <w:szCs w:val="15"/>
                <w:lang w:val="en-US"/>
              </w:rPr>
              <w:t>11</w:t>
            </w:r>
          </w:p>
        </w:tc>
        <w:tc>
          <w:tcPr>
            <w:tcW w:w="806" w:type="dxa"/>
            <w:vMerge w:val="continue"/>
          </w:tcPr>
          <w:p>
            <w:pPr>
              <w:jc w:val="center"/>
              <w:rPr>
                <w:sz w:val="13"/>
                <w:szCs w:val="13"/>
              </w:rPr>
            </w:pPr>
          </w:p>
        </w:tc>
        <w:tc>
          <w:tcPr>
            <w:tcW w:w="665" w:type="dxa"/>
          </w:tcPr>
          <w:p>
            <w:pPr>
              <w:widowControl/>
              <w:rPr>
                <w:sz w:val="15"/>
                <w:szCs w:val="15"/>
              </w:rPr>
            </w:pPr>
            <w:r>
              <w:rPr>
                <w:color w:val="000000"/>
                <w:sz w:val="15"/>
                <w:szCs w:val="15"/>
                <w:lang w:val="en-US" w:bidi="ar"/>
              </w:rPr>
              <w:t xml:space="preserve">对超层越界开 </w:t>
            </w:r>
          </w:p>
          <w:p>
            <w:pPr>
              <w:widowControl/>
              <w:rPr>
                <w:rFonts w:hint="eastAsia"/>
                <w:sz w:val="15"/>
                <w:szCs w:val="15"/>
              </w:rPr>
            </w:pPr>
            <w:r>
              <w:rPr>
                <w:rFonts w:hint="eastAsia"/>
                <w:color w:val="000000"/>
                <w:sz w:val="15"/>
                <w:szCs w:val="15"/>
                <w:lang w:val="en-US" w:bidi="ar"/>
              </w:rPr>
              <w:t>采的处罚</w:t>
            </w:r>
          </w:p>
        </w:tc>
        <w:tc>
          <w:tcPr>
            <w:tcW w:w="2705" w:type="dxa"/>
            <w:vMerge w:val="continue"/>
          </w:tcPr>
          <w:p>
            <w:pPr>
              <w:jc w:val="center"/>
            </w:pPr>
          </w:p>
        </w:tc>
        <w:tc>
          <w:tcPr>
            <w:tcW w:w="444" w:type="dxa"/>
            <w:vMerge w:val="continue"/>
          </w:tcPr>
          <w:p>
            <w:pPr>
              <w:jc w:val="center"/>
            </w:pPr>
          </w:p>
        </w:tc>
        <w:tc>
          <w:tcPr>
            <w:tcW w:w="744" w:type="dxa"/>
            <w:vMerge w:val="continue"/>
          </w:tcPr>
          <w:p>
            <w:pPr>
              <w:jc w:val="center"/>
            </w:pPr>
          </w:p>
        </w:tc>
        <w:tc>
          <w:tcPr>
            <w:tcW w:w="687" w:type="dxa"/>
            <w:vMerge w:val="continue"/>
          </w:tcPr>
          <w:p>
            <w:pPr>
              <w:jc w:val="center"/>
            </w:pPr>
          </w:p>
        </w:tc>
        <w:tc>
          <w:tcPr>
            <w:tcW w:w="633" w:type="dxa"/>
            <w:vMerge w:val="continue"/>
          </w:tcPr>
          <w:p>
            <w:pPr>
              <w:jc w:val="center"/>
            </w:pPr>
          </w:p>
        </w:tc>
        <w:tc>
          <w:tcPr>
            <w:tcW w:w="3538" w:type="dxa"/>
            <w:vMerge w:val="continue"/>
          </w:tcPr>
          <w:p>
            <w:pPr>
              <w:jc w:val="center"/>
            </w:pPr>
          </w:p>
        </w:tc>
        <w:tc>
          <w:tcPr>
            <w:tcW w:w="3512" w:type="dxa"/>
            <w:vMerge w:val="continue"/>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475" w:hRule="atLeast"/>
        </w:trPr>
        <w:tc>
          <w:tcPr>
            <w:tcW w:w="336" w:type="dxa"/>
            <w:vMerge w:val="continue"/>
          </w:tcPr>
          <w:p>
            <w:pPr>
              <w:jc w:val="center"/>
              <w:rPr>
                <w:sz w:val="13"/>
                <w:szCs w:val="13"/>
              </w:rPr>
            </w:pPr>
          </w:p>
        </w:tc>
        <w:tc>
          <w:tcPr>
            <w:tcW w:w="444" w:type="dxa"/>
            <w:vAlign w:val="center"/>
          </w:tcPr>
          <w:p>
            <w:pPr>
              <w:pStyle w:val="9"/>
              <w:jc w:val="both"/>
              <w:rPr>
                <w:rFonts w:ascii="Times New Roman"/>
                <w:sz w:val="15"/>
                <w:szCs w:val="15"/>
              </w:rPr>
            </w:pPr>
            <w:r>
              <w:rPr>
                <w:rFonts w:ascii="Times New Roman"/>
                <w:w w:val="105"/>
                <w:sz w:val="15"/>
                <w:szCs w:val="15"/>
              </w:rPr>
              <w:t>65010</w:t>
            </w:r>
          </w:p>
          <w:p>
            <w:pPr>
              <w:pStyle w:val="9"/>
              <w:spacing w:before="26"/>
              <w:ind w:left="33"/>
              <w:jc w:val="both"/>
              <w:rPr>
                <w:rFonts w:ascii="Times New Roman"/>
                <w:sz w:val="15"/>
                <w:szCs w:val="15"/>
              </w:rPr>
            </w:pPr>
            <w:r>
              <w:rPr>
                <w:rFonts w:hint="eastAsia" w:ascii="Times New Roman"/>
                <w:w w:val="105"/>
                <w:sz w:val="15"/>
                <w:szCs w:val="15"/>
                <w:lang w:val="en-US"/>
              </w:rPr>
              <w:t>9</w:t>
            </w:r>
            <w:r>
              <w:rPr>
                <w:rFonts w:ascii="Times New Roman"/>
                <w:w w:val="105"/>
                <w:sz w:val="15"/>
                <w:szCs w:val="15"/>
              </w:rPr>
              <w:t>201</w:t>
            </w:r>
          </w:p>
          <w:p>
            <w:pPr>
              <w:jc w:val="both"/>
              <w:rPr>
                <w:sz w:val="15"/>
                <w:szCs w:val="15"/>
                <w:lang w:val="en-US"/>
              </w:rPr>
            </w:pPr>
            <w:r>
              <w:rPr>
                <w:rFonts w:ascii="Times New Roman"/>
                <w:sz w:val="15"/>
                <w:szCs w:val="15"/>
              </w:rPr>
              <w:t>CF0</w:t>
            </w:r>
            <w:r>
              <w:rPr>
                <w:rFonts w:hint="eastAsia" w:ascii="Times New Roman"/>
                <w:sz w:val="15"/>
                <w:szCs w:val="15"/>
                <w:lang w:val="en-US"/>
              </w:rPr>
              <w:t>12</w:t>
            </w:r>
          </w:p>
        </w:tc>
        <w:tc>
          <w:tcPr>
            <w:tcW w:w="806" w:type="dxa"/>
            <w:vMerge w:val="continue"/>
          </w:tcPr>
          <w:p>
            <w:pPr>
              <w:jc w:val="center"/>
              <w:rPr>
                <w:sz w:val="13"/>
                <w:szCs w:val="13"/>
              </w:rPr>
            </w:pPr>
          </w:p>
        </w:tc>
        <w:tc>
          <w:tcPr>
            <w:tcW w:w="665" w:type="dxa"/>
          </w:tcPr>
          <w:p>
            <w:pPr>
              <w:widowControl/>
              <w:rPr>
                <w:rFonts w:hint="eastAsia"/>
                <w:sz w:val="15"/>
                <w:szCs w:val="15"/>
              </w:rPr>
            </w:pPr>
            <w:r>
              <w:rPr>
                <w:color w:val="000000"/>
                <w:sz w:val="15"/>
                <w:szCs w:val="15"/>
                <w:lang w:val="en-US" w:bidi="ar"/>
              </w:rPr>
              <w:t xml:space="preserve">对有冲击地压 </w:t>
            </w:r>
            <w:r>
              <w:rPr>
                <w:rFonts w:hint="eastAsia"/>
                <w:color w:val="000000"/>
                <w:sz w:val="15"/>
                <w:szCs w:val="15"/>
                <w:lang w:val="en-US" w:bidi="ar"/>
              </w:rPr>
              <w:t>危险，未采取 有效措施的处 罚</w:t>
            </w:r>
          </w:p>
        </w:tc>
        <w:tc>
          <w:tcPr>
            <w:tcW w:w="2705" w:type="dxa"/>
            <w:vMerge w:val="continue"/>
          </w:tcPr>
          <w:p>
            <w:pPr>
              <w:jc w:val="center"/>
            </w:pPr>
          </w:p>
        </w:tc>
        <w:tc>
          <w:tcPr>
            <w:tcW w:w="444" w:type="dxa"/>
            <w:vMerge w:val="continue"/>
          </w:tcPr>
          <w:p>
            <w:pPr>
              <w:jc w:val="center"/>
            </w:pPr>
          </w:p>
        </w:tc>
        <w:tc>
          <w:tcPr>
            <w:tcW w:w="744" w:type="dxa"/>
            <w:vMerge w:val="continue"/>
          </w:tcPr>
          <w:p>
            <w:pPr>
              <w:jc w:val="center"/>
            </w:pPr>
          </w:p>
        </w:tc>
        <w:tc>
          <w:tcPr>
            <w:tcW w:w="687" w:type="dxa"/>
            <w:vMerge w:val="continue"/>
          </w:tcPr>
          <w:p>
            <w:pPr>
              <w:jc w:val="center"/>
            </w:pPr>
          </w:p>
        </w:tc>
        <w:tc>
          <w:tcPr>
            <w:tcW w:w="633" w:type="dxa"/>
            <w:vMerge w:val="continue"/>
          </w:tcPr>
          <w:p>
            <w:pPr>
              <w:jc w:val="center"/>
            </w:pPr>
          </w:p>
        </w:tc>
        <w:tc>
          <w:tcPr>
            <w:tcW w:w="3538" w:type="dxa"/>
            <w:vMerge w:val="continue"/>
          </w:tcPr>
          <w:p>
            <w:pPr>
              <w:jc w:val="center"/>
            </w:pPr>
          </w:p>
        </w:tc>
        <w:tc>
          <w:tcPr>
            <w:tcW w:w="3512" w:type="dxa"/>
            <w:vMerge w:val="continue"/>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475" w:hRule="atLeast"/>
        </w:trPr>
        <w:tc>
          <w:tcPr>
            <w:tcW w:w="336" w:type="dxa"/>
            <w:vMerge w:val="continue"/>
          </w:tcPr>
          <w:p>
            <w:pPr>
              <w:jc w:val="center"/>
              <w:rPr>
                <w:sz w:val="13"/>
                <w:szCs w:val="13"/>
              </w:rPr>
            </w:pPr>
          </w:p>
        </w:tc>
        <w:tc>
          <w:tcPr>
            <w:tcW w:w="444" w:type="dxa"/>
            <w:vAlign w:val="center"/>
          </w:tcPr>
          <w:p>
            <w:pPr>
              <w:pStyle w:val="9"/>
              <w:jc w:val="both"/>
              <w:rPr>
                <w:rFonts w:ascii="Times New Roman"/>
                <w:sz w:val="15"/>
                <w:szCs w:val="15"/>
              </w:rPr>
            </w:pPr>
            <w:r>
              <w:rPr>
                <w:rFonts w:ascii="Times New Roman"/>
                <w:w w:val="105"/>
                <w:sz w:val="15"/>
                <w:szCs w:val="15"/>
              </w:rPr>
              <w:t>65010</w:t>
            </w:r>
          </w:p>
          <w:p>
            <w:pPr>
              <w:pStyle w:val="9"/>
              <w:spacing w:before="26"/>
              <w:ind w:left="33"/>
              <w:jc w:val="both"/>
              <w:rPr>
                <w:rFonts w:ascii="Times New Roman"/>
                <w:sz w:val="15"/>
                <w:szCs w:val="15"/>
              </w:rPr>
            </w:pPr>
            <w:r>
              <w:rPr>
                <w:rFonts w:hint="eastAsia" w:ascii="Times New Roman"/>
                <w:w w:val="105"/>
                <w:sz w:val="15"/>
                <w:szCs w:val="15"/>
                <w:lang w:val="en-US"/>
              </w:rPr>
              <w:t>9</w:t>
            </w:r>
            <w:r>
              <w:rPr>
                <w:rFonts w:ascii="Times New Roman"/>
                <w:w w:val="105"/>
                <w:sz w:val="15"/>
                <w:szCs w:val="15"/>
              </w:rPr>
              <w:t>201</w:t>
            </w:r>
          </w:p>
          <w:p>
            <w:pPr>
              <w:jc w:val="both"/>
              <w:rPr>
                <w:sz w:val="15"/>
                <w:szCs w:val="15"/>
                <w:lang w:val="en-US"/>
              </w:rPr>
            </w:pPr>
            <w:r>
              <w:rPr>
                <w:rFonts w:ascii="Times New Roman"/>
                <w:sz w:val="15"/>
                <w:szCs w:val="15"/>
              </w:rPr>
              <w:t>CF0</w:t>
            </w:r>
            <w:r>
              <w:rPr>
                <w:rFonts w:hint="eastAsia" w:ascii="Times New Roman"/>
                <w:sz w:val="15"/>
                <w:szCs w:val="15"/>
                <w:lang w:val="en-US"/>
              </w:rPr>
              <w:t>13</w:t>
            </w:r>
          </w:p>
        </w:tc>
        <w:tc>
          <w:tcPr>
            <w:tcW w:w="806" w:type="dxa"/>
            <w:vMerge w:val="continue"/>
          </w:tcPr>
          <w:p>
            <w:pPr>
              <w:jc w:val="center"/>
              <w:rPr>
                <w:sz w:val="13"/>
                <w:szCs w:val="13"/>
              </w:rPr>
            </w:pPr>
          </w:p>
        </w:tc>
        <w:tc>
          <w:tcPr>
            <w:tcW w:w="665" w:type="dxa"/>
          </w:tcPr>
          <w:p>
            <w:pPr>
              <w:widowControl/>
              <w:rPr>
                <w:sz w:val="15"/>
                <w:szCs w:val="15"/>
              </w:rPr>
            </w:pPr>
            <w:r>
              <w:rPr>
                <w:color w:val="000000"/>
                <w:sz w:val="15"/>
                <w:szCs w:val="15"/>
                <w:lang w:val="en-US" w:bidi="ar"/>
              </w:rPr>
              <w:t xml:space="preserve">对自然发火严 </w:t>
            </w:r>
            <w:r>
              <w:rPr>
                <w:rFonts w:hint="eastAsia"/>
                <w:color w:val="000000"/>
                <w:sz w:val="15"/>
                <w:szCs w:val="15"/>
                <w:lang w:val="en-US" w:bidi="ar"/>
              </w:rPr>
              <w:t>重，未采取有效措施的处罚</w:t>
            </w:r>
          </w:p>
          <w:p>
            <w:pPr>
              <w:jc w:val="center"/>
              <w:rPr>
                <w:sz w:val="15"/>
                <w:szCs w:val="15"/>
              </w:rPr>
            </w:pPr>
          </w:p>
        </w:tc>
        <w:tc>
          <w:tcPr>
            <w:tcW w:w="2705" w:type="dxa"/>
            <w:vMerge w:val="continue"/>
          </w:tcPr>
          <w:p>
            <w:pPr>
              <w:jc w:val="center"/>
            </w:pPr>
          </w:p>
        </w:tc>
        <w:tc>
          <w:tcPr>
            <w:tcW w:w="444" w:type="dxa"/>
            <w:vMerge w:val="continue"/>
          </w:tcPr>
          <w:p>
            <w:pPr>
              <w:jc w:val="center"/>
            </w:pPr>
          </w:p>
        </w:tc>
        <w:tc>
          <w:tcPr>
            <w:tcW w:w="744" w:type="dxa"/>
            <w:vMerge w:val="continue"/>
          </w:tcPr>
          <w:p>
            <w:pPr>
              <w:jc w:val="center"/>
            </w:pPr>
          </w:p>
        </w:tc>
        <w:tc>
          <w:tcPr>
            <w:tcW w:w="687" w:type="dxa"/>
            <w:vMerge w:val="continue"/>
          </w:tcPr>
          <w:p>
            <w:pPr>
              <w:jc w:val="center"/>
            </w:pPr>
          </w:p>
        </w:tc>
        <w:tc>
          <w:tcPr>
            <w:tcW w:w="633" w:type="dxa"/>
            <w:vMerge w:val="continue"/>
          </w:tcPr>
          <w:p>
            <w:pPr>
              <w:jc w:val="center"/>
            </w:pPr>
          </w:p>
        </w:tc>
        <w:tc>
          <w:tcPr>
            <w:tcW w:w="3538" w:type="dxa"/>
            <w:vMerge w:val="continue"/>
          </w:tcPr>
          <w:p>
            <w:pPr>
              <w:jc w:val="center"/>
            </w:pPr>
          </w:p>
        </w:tc>
        <w:tc>
          <w:tcPr>
            <w:tcW w:w="3512" w:type="dxa"/>
            <w:vMerge w:val="continue"/>
          </w:tcPr>
          <w:p>
            <w:pPr>
              <w:jc w:val="center"/>
            </w:pPr>
          </w:p>
        </w:tc>
      </w:tr>
    </w:tbl>
    <w:p/>
    <w:p/>
    <w:p/>
    <w:tbl>
      <w:tblPr>
        <w:tblStyle w:val="5"/>
        <w:tblW w:w="14931"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766"/>
        <w:gridCol w:w="868"/>
        <w:gridCol w:w="2542"/>
        <w:gridCol w:w="444"/>
        <w:gridCol w:w="744"/>
        <w:gridCol w:w="876"/>
        <w:gridCol w:w="444"/>
        <w:gridCol w:w="3984"/>
        <w:gridCol w:w="348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444" w:type="dxa"/>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634" w:type="dxa"/>
            <w:gridSpan w:val="2"/>
          </w:tcPr>
          <w:p>
            <w:pPr>
              <w:pStyle w:val="9"/>
              <w:spacing w:before="117"/>
              <w:rPr>
                <w:rFonts w:ascii="黑体" w:eastAsia="黑体"/>
                <w:b/>
                <w:sz w:val="10"/>
                <w:szCs w:val="10"/>
              </w:rPr>
            </w:pPr>
          </w:p>
          <w:p>
            <w:pPr>
              <w:pStyle w:val="9"/>
              <w:spacing w:before="117"/>
              <w:ind w:firstLine="361" w:firstLineChars="200"/>
              <w:rPr>
                <w:rFonts w:ascii="黑体" w:eastAsia="黑体"/>
                <w:b/>
                <w:sz w:val="18"/>
              </w:rPr>
            </w:pPr>
            <w:r>
              <w:rPr>
                <w:rFonts w:hint="eastAsia" w:ascii="黑体" w:eastAsia="黑体"/>
                <w:b/>
                <w:sz w:val="18"/>
              </w:rPr>
              <w:t>职权名称</w:t>
            </w:r>
          </w:p>
        </w:tc>
        <w:tc>
          <w:tcPr>
            <w:tcW w:w="2542" w:type="dxa"/>
          </w:tcPr>
          <w:p>
            <w:pPr>
              <w:pStyle w:val="9"/>
              <w:spacing w:before="140"/>
              <w:ind w:right="1120"/>
              <w:jc w:val="both"/>
              <w:rPr>
                <w:rFonts w:ascii="黑体" w:eastAsia="黑体"/>
                <w:b/>
                <w:sz w:val="10"/>
                <w:szCs w:val="10"/>
              </w:rPr>
            </w:pPr>
          </w:p>
          <w:p>
            <w:pPr>
              <w:pStyle w:val="9"/>
              <w:spacing w:before="140"/>
              <w:ind w:right="1120" w:firstLine="542" w:firstLineChars="300"/>
              <w:jc w:val="both"/>
              <w:rPr>
                <w:rFonts w:ascii="黑体" w:eastAsia="黑体"/>
                <w:b/>
                <w:sz w:val="18"/>
              </w:rPr>
            </w:pPr>
            <w:r>
              <w:rPr>
                <w:rFonts w:hint="eastAsia" w:ascii="黑体" w:eastAsia="黑体"/>
                <w:b/>
                <w:sz w:val="18"/>
              </w:rPr>
              <w:t>实施依据</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44"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76" w:type="dxa"/>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984" w:type="dxa"/>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483" w:type="dxa"/>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289" w:hRule="atLeast"/>
        </w:trPr>
        <w:tc>
          <w:tcPr>
            <w:tcW w:w="336" w:type="dxa"/>
            <w:vMerge w:val="restart"/>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jc w:val="center"/>
              <w:rPr>
                <w:rFonts w:ascii="Times New Roman"/>
                <w:sz w:val="13"/>
                <w:szCs w:val="13"/>
                <w:lang w:val="en-US"/>
              </w:rPr>
            </w:pPr>
          </w:p>
          <w:p>
            <w:pPr>
              <w:pStyle w:val="9"/>
              <w:jc w:val="center"/>
              <w:rPr>
                <w:rFonts w:ascii="Times New Roman"/>
                <w:sz w:val="13"/>
                <w:szCs w:val="13"/>
              </w:rPr>
            </w:pPr>
          </w:p>
          <w:p>
            <w:pPr>
              <w:pStyle w:val="9"/>
              <w:spacing w:before="112"/>
              <w:ind w:left="28"/>
              <w:jc w:val="center"/>
              <w:rPr>
                <w:rFonts w:ascii="Times New Roman"/>
                <w:sz w:val="13"/>
                <w:szCs w:val="13"/>
                <w:lang w:val="en-US"/>
              </w:rPr>
            </w:pPr>
            <w:r>
              <w:rPr>
                <w:rFonts w:hint="eastAsia" w:ascii="Times New Roman"/>
                <w:sz w:val="13"/>
                <w:szCs w:val="13"/>
                <w:lang w:val="en-US"/>
              </w:rPr>
              <w:t>5</w:t>
            </w:r>
          </w:p>
        </w:tc>
        <w:tc>
          <w:tcPr>
            <w:tcW w:w="444" w:type="dxa"/>
          </w:tcPr>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pStyle w:val="9"/>
              <w:jc w:val="both"/>
              <w:rPr>
                <w:rFonts w:ascii="Times New Roman"/>
                <w:sz w:val="13"/>
                <w:szCs w:val="13"/>
                <w:lang w:val="en-US"/>
              </w:rPr>
            </w:pPr>
            <w:r>
              <w:rPr>
                <w:rFonts w:ascii="Times New Roman"/>
                <w:sz w:val="13"/>
                <w:szCs w:val="13"/>
              </w:rPr>
              <w:t>CF0</w:t>
            </w:r>
            <w:r>
              <w:rPr>
                <w:rFonts w:hint="eastAsia" w:ascii="Times New Roman"/>
                <w:sz w:val="13"/>
                <w:szCs w:val="13"/>
                <w:lang w:val="en-US"/>
              </w:rPr>
              <w:t>14</w:t>
            </w:r>
          </w:p>
          <w:p>
            <w:pPr>
              <w:pStyle w:val="9"/>
              <w:jc w:val="both"/>
              <w:rPr>
                <w:rFonts w:ascii="Times New Roman"/>
                <w:sz w:val="13"/>
                <w:szCs w:val="13"/>
              </w:rPr>
            </w:pPr>
          </w:p>
          <w:p>
            <w:pPr>
              <w:jc w:val="center"/>
              <w:rPr>
                <w:sz w:val="13"/>
                <w:szCs w:val="13"/>
              </w:rPr>
            </w:pPr>
          </w:p>
        </w:tc>
        <w:tc>
          <w:tcPr>
            <w:tcW w:w="766" w:type="dxa"/>
            <w:vMerge w:val="restart"/>
          </w:tcPr>
          <w:p>
            <w:pPr>
              <w:pStyle w:val="9"/>
              <w:rPr>
                <w:rFonts w:ascii="Times New Roman"/>
                <w:sz w:val="13"/>
                <w:szCs w:val="13"/>
              </w:rPr>
            </w:pPr>
          </w:p>
          <w:p>
            <w:pPr>
              <w:pStyle w:val="9"/>
              <w:jc w:val="center"/>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sz w:val="13"/>
                <w:szCs w:val="13"/>
              </w:rPr>
            </w:pPr>
            <w:r>
              <w:rPr>
                <w:color w:val="000000"/>
                <w:sz w:val="13"/>
                <w:szCs w:val="13"/>
                <w:lang w:val="en-US" w:bidi="ar"/>
              </w:rPr>
              <w:t xml:space="preserve">对煤矿生产 </w:t>
            </w:r>
          </w:p>
          <w:p>
            <w:pPr>
              <w:widowControl/>
              <w:rPr>
                <w:sz w:val="13"/>
                <w:szCs w:val="13"/>
              </w:rPr>
            </w:pPr>
            <w:r>
              <w:rPr>
                <w:rFonts w:hint="eastAsia"/>
                <w:color w:val="000000"/>
                <w:sz w:val="13"/>
                <w:szCs w:val="13"/>
                <w:lang w:val="en-US" w:bidi="ar"/>
              </w:rPr>
              <w:t xml:space="preserve">存在重大安 </w:t>
            </w:r>
          </w:p>
          <w:p>
            <w:pPr>
              <w:widowControl/>
              <w:rPr>
                <w:sz w:val="13"/>
                <w:szCs w:val="13"/>
              </w:rPr>
            </w:pPr>
            <w:r>
              <w:rPr>
                <w:rFonts w:hint="eastAsia"/>
                <w:color w:val="000000"/>
                <w:sz w:val="13"/>
                <w:szCs w:val="13"/>
                <w:lang w:val="en-US" w:bidi="ar"/>
              </w:rPr>
              <w:t xml:space="preserve">全隐患仍组 </w:t>
            </w:r>
          </w:p>
          <w:p>
            <w:pPr>
              <w:widowControl/>
              <w:rPr>
                <w:sz w:val="13"/>
                <w:szCs w:val="13"/>
              </w:rPr>
            </w:pPr>
            <w:r>
              <w:rPr>
                <w:rFonts w:hint="eastAsia"/>
                <w:color w:val="000000"/>
                <w:sz w:val="13"/>
                <w:szCs w:val="13"/>
                <w:lang w:val="en-US" w:bidi="ar"/>
              </w:rPr>
              <w:t xml:space="preserve">织生产行为 </w:t>
            </w:r>
          </w:p>
          <w:p>
            <w:pPr>
              <w:widowControl/>
              <w:rPr>
                <w:sz w:val="13"/>
                <w:szCs w:val="13"/>
              </w:rPr>
            </w:pPr>
            <w:r>
              <w:rPr>
                <w:rFonts w:hint="eastAsia"/>
                <w:color w:val="000000"/>
                <w:sz w:val="13"/>
                <w:szCs w:val="13"/>
                <w:lang w:val="en-US" w:bidi="ar"/>
              </w:rPr>
              <w:t>的处罚</w:t>
            </w:r>
          </w:p>
          <w:p>
            <w:pPr>
              <w:pStyle w:val="9"/>
              <w:spacing w:line="192" w:lineRule="auto"/>
              <w:ind w:left="32" w:right="39"/>
              <w:jc w:val="both"/>
              <w:rPr>
                <w:sz w:val="13"/>
                <w:szCs w:val="13"/>
              </w:rPr>
            </w:pPr>
          </w:p>
        </w:tc>
        <w:tc>
          <w:tcPr>
            <w:tcW w:w="868"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rPr>
                <w:sz w:val="13"/>
                <w:szCs w:val="13"/>
              </w:rPr>
            </w:pPr>
          </w:p>
          <w:p>
            <w:pPr>
              <w:widowControl/>
              <w:rPr>
                <w:sz w:val="13"/>
                <w:szCs w:val="13"/>
              </w:rPr>
            </w:pPr>
            <w:r>
              <w:rPr>
                <w:color w:val="000000"/>
                <w:sz w:val="13"/>
                <w:szCs w:val="13"/>
                <w:lang w:val="en-US" w:bidi="ar"/>
              </w:rPr>
              <w:t xml:space="preserve">对使用明令禁止 </w:t>
            </w:r>
            <w:r>
              <w:rPr>
                <w:rFonts w:hint="eastAsia"/>
                <w:color w:val="000000"/>
                <w:sz w:val="13"/>
                <w:szCs w:val="13"/>
                <w:lang w:val="en-US" w:bidi="ar"/>
              </w:rPr>
              <w:t>使用或者淘汰的 设备、工艺的处 罚</w:t>
            </w:r>
          </w:p>
          <w:p>
            <w:pPr>
              <w:jc w:val="center"/>
              <w:rPr>
                <w:sz w:val="13"/>
                <w:szCs w:val="13"/>
              </w:rPr>
            </w:pPr>
          </w:p>
        </w:tc>
        <w:tc>
          <w:tcPr>
            <w:tcW w:w="2542" w:type="dxa"/>
            <w:vMerge w:val="restart"/>
          </w:tcPr>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《关于预防煤矿生产安全事故的特别规定》第八条规定的</w:t>
            </w:r>
            <w:r>
              <w:rPr>
                <w:rFonts w:ascii="TimesNewRomanPSMT" w:hAnsi="TimesNewRomanPSMT" w:eastAsia="TimesNewRomanPSMT" w:cs="TimesNewRomanPSMT"/>
                <w:color w:val="000000"/>
                <w:sz w:val="13"/>
                <w:szCs w:val="13"/>
                <w:lang w:val="en-US" w:bidi="ar"/>
              </w:rPr>
              <w:t xml:space="preserve">15 </w:t>
            </w:r>
            <w:r>
              <w:rPr>
                <w:rFonts w:hint="eastAsia"/>
                <w:color w:val="000000"/>
                <w:sz w:val="13"/>
                <w:szCs w:val="13"/>
                <w:lang w:val="en-US" w:bidi="ar"/>
              </w:rPr>
              <w:t>条重大安全隐患的处罚 煤矿有下列重大安全生产隐患和行为 的，应当立即停止生产，排除隐患：（十二）新建煤矿边建 设边生产，煤矿改扩建期间，在改扩建的区域生产，或者在 其他区域的生产超出安全设计规定的范围和规模的； （十 三）煤矿实行整体承包生产经营后，未重新取得安全生产许 可证和煤炭生产许可证，从事生产的，或者承包方再次转包 的，以及煤矿将井下采掘工作面和井巷维修作业进行劳务承 包的； （十四）煤矿改制期间，未明确安全生产责任人和安 全管理机构的，或者在完成改制后，未重新取得或者变更采 矿许可证、安全生产许可证、煤炭生产许可证和营业执照 的；（十五）有其他重大安全生产隐患的。 《国务院关于预防煤矿生产安全事故的特别规定》第十条 煤 矿有本规定第八条第二款所列情形之一，仍然进行生产的， 由县级以上地方人民政府负责煤矿安全生产监督管理的部门 或者煤矿安全监察机构责令停产整顿，提出整顿的内容、时 间等具体要求，处</w:t>
            </w:r>
            <w:r>
              <w:rPr>
                <w:rFonts w:ascii="TimesNewRomanPSMT" w:hAnsi="TimesNewRomanPSMT" w:eastAsia="TimesNewRomanPSMT" w:cs="TimesNewRomanPSMT"/>
                <w:color w:val="000000"/>
                <w:sz w:val="13"/>
                <w:szCs w:val="13"/>
                <w:lang w:val="en-US" w:bidi="ar"/>
              </w:rPr>
              <w:t>50</w:t>
            </w:r>
            <w:r>
              <w:rPr>
                <w:rFonts w:hint="eastAsia"/>
                <w:color w:val="000000"/>
                <w:sz w:val="13"/>
                <w:szCs w:val="13"/>
                <w:lang w:val="en-US" w:bidi="ar"/>
              </w:rPr>
              <w:t>万元以上</w:t>
            </w:r>
            <w:r>
              <w:rPr>
                <w:rFonts w:ascii="TimesNewRomanPSMT" w:hAnsi="TimesNewRomanPSMT" w:eastAsia="TimesNewRomanPSMT" w:cs="TimesNewRomanPSMT"/>
                <w:color w:val="000000"/>
                <w:sz w:val="13"/>
                <w:szCs w:val="13"/>
                <w:lang w:val="en-US" w:bidi="ar"/>
              </w:rPr>
              <w:t>200</w:t>
            </w:r>
            <w:r>
              <w:rPr>
                <w:rFonts w:hint="eastAsia"/>
                <w:color w:val="000000"/>
                <w:sz w:val="13"/>
                <w:szCs w:val="13"/>
                <w:lang w:val="en-US" w:bidi="ar"/>
              </w:rPr>
              <w:t>万元以下的罚款；对煤矿企 业负责人处</w:t>
            </w:r>
            <w:r>
              <w:rPr>
                <w:rFonts w:ascii="TimesNewRomanPSMT" w:hAnsi="TimesNewRomanPSMT" w:eastAsia="TimesNewRomanPSMT" w:cs="TimesNewRomanPSMT"/>
                <w:color w:val="000000"/>
                <w:sz w:val="13"/>
                <w:szCs w:val="13"/>
                <w:lang w:val="en-US" w:bidi="ar"/>
              </w:rPr>
              <w:t>3</w:t>
            </w:r>
            <w:r>
              <w:rPr>
                <w:rFonts w:hint="eastAsia"/>
                <w:color w:val="000000"/>
                <w:sz w:val="13"/>
                <w:szCs w:val="13"/>
                <w:lang w:val="en-US" w:bidi="ar"/>
              </w:rPr>
              <w:t>万元以上</w:t>
            </w:r>
            <w:r>
              <w:rPr>
                <w:rFonts w:ascii="TimesNewRomanPSMT" w:hAnsi="TimesNewRomanPSMT" w:eastAsia="TimesNewRomanPSMT" w:cs="TimesNewRomanPSMT"/>
                <w:color w:val="000000"/>
                <w:sz w:val="13"/>
                <w:szCs w:val="13"/>
                <w:lang w:val="en-US" w:bidi="ar"/>
              </w:rPr>
              <w:t>15</w:t>
            </w:r>
            <w:r>
              <w:rPr>
                <w:rFonts w:hint="eastAsia"/>
                <w:color w:val="000000"/>
                <w:sz w:val="13"/>
                <w:szCs w:val="13"/>
                <w:lang w:val="en-US" w:bidi="ar"/>
              </w:rPr>
              <w:t>万元以下的罚款</w:t>
            </w:r>
          </w:p>
          <w:p>
            <w:pPr>
              <w:pStyle w:val="9"/>
              <w:spacing w:before="126" w:line="189" w:lineRule="auto"/>
              <w:ind w:left="33" w:right="62"/>
              <w:jc w:val="both"/>
              <w:rPr>
                <w:sz w:val="13"/>
                <w:szCs w:val="13"/>
              </w:rPr>
            </w:pPr>
          </w:p>
        </w:tc>
        <w:tc>
          <w:tcPr>
            <w:tcW w:w="444"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煤矿</w:t>
            </w:r>
          </w:p>
          <w:p>
            <w:pPr>
              <w:widowControl/>
              <w:rPr>
                <w:sz w:val="13"/>
                <w:szCs w:val="13"/>
              </w:rPr>
            </w:pPr>
            <w:r>
              <w:rPr>
                <w:rFonts w:hint="eastAsia"/>
                <w:color w:val="000000"/>
                <w:sz w:val="13"/>
                <w:szCs w:val="13"/>
                <w:lang w:val="en-US" w:bidi="ar"/>
              </w:rPr>
              <w:t>企业</w:t>
            </w:r>
          </w:p>
          <w:p>
            <w:pPr>
              <w:pStyle w:val="9"/>
              <w:spacing w:line="192" w:lineRule="auto"/>
              <w:ind w:left="83" w:right="23"/>
              <w:rPr>
                <w:sz w:val="13"/>
                <w:szCs w:val="13"/>
              </w:rPr>
            </w:pPr>
          </w:p>
        </w:tc>
        <w:tc>
          <w:tcPr>
            <w:tcW w:w="744"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jc w:val="center"/>
              <w:rPr>
                <w:rFonts w:ascii="Times New Roman"/>
                <w:sz w:val="13"/>
                <w:szCs w:val="13"/>
              </w:rPr>
            </w:pPr>
          </w:p>
          <w:p>
            <w:pPr>
              <w:pStyle w:val="9"/>
              <w:spacing w:before="7"/>
              <w:ind w:left="97" w:right="66"/>
              <w:jc w:val="center"/>
              <w:rPr>
                <w:rFonts w:ascii="Times New Roman" w:eastAsia="Times New Roman"/>
                <w:sz w:val="13"/>
                <w:szCs w:val="13"/>
              </w:rPr>
            </w:pPr>
            <w:r>
              <w:rPr>
                <w:rFonts w:hint="eastAsia"/>
                <w:color w:val="000000"/>
                <w:sz w:val="13"/>
                <w:szCs w:val="13"/>
                <w:lang w:val="en-US" w:bidi="ar"/>
              </w:rPr>
              <w:t>安全科3311262</w:t>
            </w:r>
          </w:p>
        </w:tc>
        <w:tc>
          <w:tcPr>
            <w:tcW w:w="876"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9"/>
              <w:rPr>
                <w:rFonts w:ascii="Times New Roman"/>
                <w:sz w:val="13"/>
                <w:szCs w:val="13"/>
              </w:rPr>
            </w:pPr>
          </w:p>
          <w:p>
            <w:pPr>
              <w:pStyle w:val="9"/>
              <w:ind w:left="32"/>
              <w:jc w:val="center"/>
              <w:rPr>
                <w:sz w:val="13"/>
                <w:szCs w:val="13"/>
              </w:rPr>
            </w:pPr>
            <w:r>
              <w:rPr>
                <w:w w:val="102"/>
                <w:sz w:val="13"/>
                <w:szCs w:val="13"/>
              </w:rPr>
              <w:t>无</w:t>
            </w:r>
          </w:p>
        </w:tc>
        <w:tc>
          <w:tcPr>
            <w:tcW w:w="444" w:type="dxa"/>
            <w:vMerge w:val="restart"/>
          </w:tcPr>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米东区发改委（工信局）</w:t>
            </w:r>
          </w:p>
          <w:p>
            <w:pPr>
              <w:widowControl/>
              <w:rPr>
                <w:sz w:val="13"/>
                <w:szCs w:val="13"/>
              </w:rPr>
            </w:pPr>
          </w:p>
        </w:tc>
        <w:tc>
          <w:tcPr>
            <w:tcW w:w="3984" w:type="dxa"/>
            <w:vMerge w:val="restart"/>
            <w:vAlign w:val="center"/>
          </w:tcPr>
          <w:p>
            <w:pPr>
              <w:widowControl/>
              <w:jc w:val="both"/>
              <w:rPr>
                <w:sz w:val="16"/>
                <w:szCs w:val="16"/>
              </w:rPr>
            </w:pPr>
            <w:r>
              <w:rPr>
                <w:rFonts w:ascii="TimesNewRomanPSMT" w:hAnsi="TimesNewRomanPSMT" w:eastAsia="TimesNewRomanPSMT" w:cs="TimesNewRomanPSMT"/>
                <w:color w:val="000000"/>
                <w:sz w:val="16"/>
                <w:szCs w:val="16"/>
                <w:lang w:val="en-US" w:bidi="ar"/>
              </w:rPr>
              <w:t>1.</w:t>
            </w:r>
            <w:r>
              <w:rPr>
                <w:color w:val="000000"/>
                <w:sz w:val="16"/>
                <w:szCs w:val="16"/>
                <w:lang w:val="en-US" w:bidi="ar"/>
              </w:rPr>
              <w:t>立案责任：按照立案条件在规定期限内进行审查</w:t>
            </w:r>
          </w:p>
          <w:p>
            <w:pPr>
              <w:widowControl/>
              <w:jc w:val="both"/>
              <w:rPr>
                <w:sz w:val="16"/>
                <w:szCs w:val="16"/>
              </w:rPr>
            </w:pPr>
            <w:r>
              <w:rPr>
                <w:rFonts w:hint="eastAsia"/>
                <w:color w:val="000000"/>
                <w:sz w:val="16"/>
                <w:szCs w:val="16"/>
                <w:lang w:val="en-US" w:bidi="ar"/>
              </w:rPr>
              <w:t>并决定是否立案（不予立案应当告知理由）；对需要补充材料的，应当场一次性告知。</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调查责任：对违法违规行为进行调查，依法收集整理证据材料；执法人员不得少于两人，调查时应出示执法身份证件，允许当事人陈述申辩，并严格执行监察回避制度。</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审查责任：应当对案件违法事实、证据、调查取证程序、法律适用、处罚种类和幅度以及当事人陈述申辩理由等方面进行审查，并提出处理意见。对情节复杂或者重大违法行为给予较重的行政处罚，由市工信局（大数据发展局）局务会研究提出审查意见。</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告知责任：在做出行政处罚决定前，应书面告知当事人违法事实及其享有的陈述、申辩、要求听证等权利。</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决定责任：决定给予行政处罚的，应制作《行政处罚决定书》，载明违法事实和证据、处罚依据和内容、申请行政复议或提起行政诉讼的途径和期限等。</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送达责任：《行政处罚决定书》应在规定期限内依法送达当事人。</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执行责任：监督当事人在规定的期限内履行生效的行政处罚决定。当事人在法定期限内既不申请行政复议或者提起行政诉讼，又不履行处罚决定的，可依法向人民法院申请强制执行等措施。</w:t>
            </w:r>
          </w:p>
          <w:p>
            <w:pPr>
              <w:pStyle w:val="9"/>
              <w:tabs>
                <w:tab w:val="left" w:pos="146"/>
              </w:tabs>
              <w:spacing w:line="205" w:lineRule="exact"/>
              <w:ind w:left="32"/>
              <w:jc w:val="both"/>
              <w:rPr>
                <w:sz w:val="13"/>
                <w:szCs w:val="13"/>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其他法律法规政策规定应履行的责任。</w:t>
            </w:r>
          </w:p>
        </w:tc>
        <w:tc>
          <w:tcPr>
            <w:tcW w:w="3483" w:type="dxa"/>
            <w:vMerge w:val="restart"/>
            <w:vAlign w:val="center"/>
          </w:tcPr>
          <w:p>
            <w:pPr>
              <w:widowControl/>
              <w:jc w:val="both"/>
              <w:rPr>
                <w:sz w:val="16"/>
                <w:szCs w:val="16"/>
              </w:rPr>
            </w:pPr>
            <w:r>
              <w:rPr>
                <w:color w:val="000000"/>
                <w:sz w:val="16"/>
                <w:szCs w:val="16"/>
                <w:lang w:val="en-US" w:bidi="ar"/>
              </w:rPr>
              <w:t xml:space="preserve">行政主管部门及其工作人员有下列行为之一 </w:t>
            </w:r>
            <w:r>
              <w:rPr>
                <w:rFonts w:hint="eastAsia"/>
                <w:color w:val="000000"/>
                <w:sz w:val="16"/>
                <w:szCs w:val="16"/>
                <w:lang w:val="en-US" w:bidi="ar"/>
              </w:rPr>
              <w:t xml:space="preserve">的，对直接负责的主管人员和其他直接责任人 员，依法给予处分；构成犯罪的，依法追究刑 事责任： </w:t>
            </w:r>
          </w:p>
          <w:p>
            <w:pPr>
              <w:widowControl/>
              <w:jc w:val="both"/>
              <w:rPr>
                <w:sz w:val="16"/>
                <w:szCs w:val="16"/>
              </w:rPr>
            </w:pPr>
            <w:r>
              <w:rPr>
                <w:rFonts w:ascii="TimesNewRomanPSMT" w:hAnsi="TimesNewRomanPSMT" w:eastAsia="TimesNewRomanPSMT" w:cs="TimesNewRomanPSMT"/>
                <w:color w:val="000000"/>
                <w:sz w:val="16"/>
                <w:szCs w:val="16"/>
                <w:lang w:val="en-US" w:bidi="ar"/>
              </w:rPr>
              <w:t>1.</w:t>
            </w:r>
            <w:r>
              <w:rPr>
                <w:rFonts w:hint="eastAsia"/>
                <w:color w:val="000000"/>
                <w:sz w:val="16"/>
                <w:szCs w:val="16"/>
                <w:lang w:val="en-US" w:bidi="ar"/>
              </w:rPr>
              <w:t xml:space="preserve">执法人员玩忽职守，对应当予以制止和处罚的 违法行为不予制止、处罚，致使国家资源遭受 损害的； </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 xml:space="preserve">不依法受理举报、投诉或者受理后未在法定期限内处理的； </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 xml:space="preserve">对符合立案条件而不予立案的； </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 xml:space="preserve">对不符合立案条件而立案调查的； </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 xml:space="preserve">没有法定的行政处罚依据的； </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 xml:space="preserve">违反法定的行政处罚程序的； </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 xml:space="preserve">擅自改变行政处罚种类、幅度的； </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 xml:space="preserve">对当事人进行处罚不使用罚款、没收财物单据或者使用非法定部门制发的罚款、没收财物单据的； </w:t>
            </w:r>
          </w:p>
          <w:p>
            <w:pPr>
              <w:widowControl/>
              <w:jc w:val="both"/>
              <w:rPr>
                <w:sz w:val="16"/>
                <w:szCs w:val="16"/>
              </w:rPr>
            </w:pPr>
            <w:r>
              <w:rPr>
                <w:rFonts w:ascii="TimesNewRomanPSMT" w:hAnsi="TimesNewRomanPSMT" w:eastAsia="TimesNewRomanPSMT" w:cs="TimesNewRomanPSMT"/>
                <w:color w:val="000000"/>
                <w:sz w:val="16"/>
                <w:szCs w:val="16"/>
                <w:lang w:val="en-US" w:bidi="ar"/>
              </w:rPr>
              <w:t>9.</w:t>
            </w:r>
            <w:r>
              <w:rPr>
                <w:rFonts w:hint="eastAsia"/>
                <w:color w:val="000000"/>
                <w:sz w:val="16"/>
                <w:szCs w:val="16"/>
                <w:lang w:val="en-US" w:bidi="ar"/>
              </w:rPr>
              <w:t xml:space="preserve">违反法律规定自行收缴罚款的； </w:t>
            </w:r>
          </w:p>
          <w:p>
            <w:pPr>
              <w:widowControl/>
              <w:jc w:val="both"/>
              <w:rPr>
                <w:sz w:val="16"/>
                <w:szCs w:val="16"/>
              </w:rPr>
            </w:pPr>
            <w:r>
              <w:rPr>
                <w:rFonts w:ascii="TimesNewRomanPSMT" w:hAnsi="TimesNewRomanPSMT" w:eastAsia="TimesNewRomanPSMT" w:cs="TimesNewRomanPSMT"/>
                <w:color w:val="000000"/>
                <w:sz w:val="16"/>
                <w:szCs w:val="16"/>
                <w:lang w:val="en-US" w:bidi="ar"/>
              </w:rPr>
              <w:t>10.</w:t>
            </w:r>
            <w:r>
              <w:rPr>
                <w:rFonts w:hint="eastAsia"/>
                <w:color w:val="000000"/>
                <w:sz w:val="16"/>
                <w:szCs w:val="16"/>
                <w:lang w:val="en-US" w:bidi="ar"/>
              </w:rPr>
              <w:t xml:space="preserve">将罚款、没收的违法所得或者财物截留、私分或者变相私分的； </w:t>
            </w:r>
          </w:p>
          <w:p>
            <w:pPr>
              <w:widowControl/>
              <w:jc w:val="both"/>
              <w:rPr>
                <w:sz w:val="16"/>
                <w:szCs w:val="16"/>
              </w:rPr>
            </w:pPr>
            <w:r>
              <w:rPr>
                <w:rFonts w:ascii="TimesNewRomanPSMT" w:hAnsi="TimesNewRomanPSMT" w:eastAsia="TimesNewRomanPSMT" w:cs="TimesNewRomanPSMT"/>
                <w:color w:val="000000"/>
                <w:sz w:val="16"/>
                <w:szCs w:val="16"/>
                <w:lang w:val="en-US" w:bidi="ar"/>
              </w:rPr>
              <w:t>11.</w:t>
            </w:r>
            <w:r>
              <w:rPr>
                <w:rFonts w:hint="eastAsia"/>
                <w:color w:val="000000"/>
                <w:sz w:val="16"/>
                <w:szCs w:val="16"/>
                <w:lang w:val="en-US" w:bidi="ar"/>
              </w:rPr>
              <w:t xml:space="preserve">为牟取本单位私利，对应当移交司法机关追究刑事责任的不移交，以行政处罚代替刑罚； </w:t>
            </w:r>
          </w:p>
          <w:p>
            <w:pPr>
              <w:widowControl/>
              <w:jc w:val="both"/>
              <w:rPr>
                <w:sz w:val="16"/>
                <w:szCs w:val="16"/>
              </w:rPr>
            </w:pPr>
            <w:r>
              <w:rPr>
                <w:rFonts w:ascii="TimesNewRomanPSMT" w:hAnsi="TimesNewRomanPSMT" w:eastAsia="TimesNewRomanPSMT" w:cs="TimesNewRomanPSMT"/>
                <w:color w:val="000000"/>
                <w:sz w:val="16"/>
                <w:szCs w:val="16"/>
                <w:lang w:val="en-US" w:bidi="ar"/>
              </w:rPr>
              <w:t>12.</w:t>
            </w:r>
            <w:r>
              <w:rPr>
                <w:rFonts w:hint="eastAsia"/>
                <w:color w:val="000000"/>
                <w:sz w:val="16"/>
                <w:szCs w:val="16"/>
                <w:lang w:val="en-US" w:bidi="ar"/>
              </w:rPr>
              <w:t>其他法律、法规、规章、文件规定的行为。</w:t>
            </w:r>
          </w:p>
          <w:p>
            <w:pPr>
              <w:pStyle w:val="9"/>
              <w:tabs>
                <w:tab w:val="left" w:pos="219"/>
              </w:tabs>
              <w:spacing w:line="202" w:lineRule="exact"/>
              <w:jc w:val="both"/>
              <w:rPr>
                <w:sz w:val="13"/>
                <w:szCs w:val="13"/>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922" w:hRule="atLeast"/>
        </w:trPr>
        <w:tc>
          <w:tcPr>
            <w:tcW w:w="336" w:type="dxa"/>
            <w:vMerge w:val="continue"/>
          </w:tcPr>
          <w:p>
            <w:pPr>
              <w:jc w:val="center"/>
              <w:rPr>
                <w:sz w:val="13"/>
                <w:szCs w:val="13"/>
              </w:rPr>
            </w:pPr>
          </w:p>
        </w:tc>
        <w:tc>
          <w:tcPr>
            <w:tcW w:w="444" w:type="dxa"/>
          </w:tcPr>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w w:val="105"/>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jc w:val="both"/>
              <w:rPr>
                <w:sz w:val="13"/>
                <w:szCs w:val="13"/>
                <w:lang w:val="en-US"/>
              </w:rPr>
            </w:pPr>
            <w:r>
              <w:rPr>
                <w:rFonts w:ascii="Times New Roman"/>
                <w:sz w:val="13"/>
                <w:szCs w:val="13"/>
              </w:rPr>
              <w:t>CF0</w:t>
            </w:r>
            <w:r>
              <w:rPr>
                <w:rFonts w:hint="eastAsia" w:ascii="Times New Roman"/>
                <w:sz w:val="13"/>
                <w:szCs w:val="13"/>
                <w:lang w:val="en-US"/>
              </w:rPr>
              <w:t>15</w:t>
            </w:r>
          </w:p>
        </w:tc>
        <w:tc>
          <w:tcPr>
            <w:tcW w:w="766" w:type="dxa"/>
            <w:vMerge w:val="continue"/>
          </w:tcPr>
          <w:p>
            <w:pPr>
              <w:jc w:val="center"/>
              <w:rPr>
                <w:sz w:val="13"/>
                <w:szCs w:val="13"/>
              </w:rPr>
            </w:pPr>
          </w:p>
        </w:tc>
        <w:tc>
          <w:tcPr>
            <w:tcW w:w="868" w:type="dxa"/>
          </w:tcPr>
          <w:p>
            <w:pPr>
              <w:rPr>
                <w:sz w:val="13"/>
                <w:szCs w:val="13"/>
              </w:rPr>
            </w:pPr>
          </w:p>
          <w:p>
            <w:pPr>
              <w:rPr>
                <w:sz w:val="13"/>
                <w:szCs w:val="13"/>
              </w:rPr>
            </w:pPr>
          </w:p>
          <w:p>
            <w:pPr>
              <w:rPr>
                <w:sz w:val="13"/>
                <w:szCs w:val="13"/>
              </w:rPr>
            </w:pPr>
          </w:p>
          <w:p>
            <w:pPr>
              <w:rPr>
                <w:sz w:val="13"/>
                <w:szCs w:val="13"/>
              </w:rPr>
            </w:pPr>
          </w:p>
          <w:p>
            <w:pPr>
              <w:rPr>
                <w:sz w:val="13"/>
                <w:szCs w:val="13"/>
              </w:rPr>
            </w:pPr>
          </w:p>
          <w:p>
            <w:pPr>
              <w:rPr>
                <w:sz w:val="13"/>
                <w:szCs w:val="13"/>
              </w:rPr>
            </w:pPr>
          </w:p>
          <w:p>
            <w:pPr>
              <w:widowControl/>
              <w:rPr>
                <w:sz w:val="13"/>
                <w:szCs w:val="13"/>
              </w:rPr>
            </w:pPr>
            <w:r>
              <w:rPr>
                <w:color w:val="000000"/>
                <w:sz w:val="13"/>
                <w:szCs w:val="13"/>
                <w:lang w:val="en-US" w:bidi="ar"/>
              </w:rPr>
              <w:t>对年产</w:t>
            </w:r>
            <w:r>
              <w:rPr>
                <w:rFonts w:ascii="TimesNewRomanPSMT" w:hAnsi="TimesNewRomanPSMT" w:eastAsia="TimesNewRomanPSMT" w:cs="TimesNewRomanPSMT"/>
                <w:color w:val="000000"/>
                <w:sz w:val="13"/>
                <w:szCs w:val="13"/>
                <w:lang w:val="en-US" w:bidi="ar"/>
              </w:rPr>
              <w:t>6</w:t>
            </w:r>
            <w:r>
              <w:rPr>
                <w:rFonts w:hint="eastAsia"/>
                <w:color w:val="000000"/>
                <w:sz w:val="13"/>
                <w:szCs w:val="13"/>
                <w:lang w:val="en-US" w:bidi="ar"/>
              </w:rPr>
              <w:t>万吨以上 的煤矿没有双回 路供电系统的处</w:t>
            </w:r>
            <w:r>
              <w:rPr>
                <w:color w:val="000000"/>
                <w:sz w:val="13"/>
                <w:szCs w:val="13"/>
                <w:lang w:val="en-US" w:bidi="ar"/>
              </w:rPr>
              <w:t>罚</w:t>
            </w:r>
          </w:p>
          <w:p>
            <w:pPr>
              <w:widowControl/>
              <w:rPr>
                <w:sz w:val="13"/>
                <w:szCs w:val="13"/>
              </w:rPr>
            </w:pPr>
          </w:p>
        </w:tc>
        <w:tc>
          <w:tcPr>
            <w:tcW w:w="2542" w:type="dxa"/>
            <w:vMerge w:val="continue"/>
          </w:tcPr>
          <w:p>
            <w:pPr>
              <w:jc w:val="center"/>
            </w:pPr>
          </w:p>
        </w:tc>
        <w:tc>
          <w:tcPr>
            <w:tcW w:w="444" w:type="dxa"/>
            <w:vMerge w:val="continue"/>
          </w:tcPr>
          <w:p>
            <w:pPr>
              <w:jc w:val="center"/>
            </w:pPr>
          </w:p>
        </w:tc>
        <w:tc>
          <w:tcPr>
            <w:tcW w:w="744" w:type="dxa"/>
            <w:vMerge w:val="continue"/>
          </w:tcPr>
          <w:p>
            <w:pPr>
              <w:jc w:val="center"/>
            </w:pPr>
          </w:p>
        </w:tc>
        <w:tc>
          <w:tcPr>
            <w:tcW w:w="876" w:type="dxa"/>
            <w:vMerge w:val="continue"/>
          </w:tcPr>
          <w:p>
            <w:pPr>
              <w:jc w:val="center"/>
            </w:pPr>
          </w:p>
        </w:tc>
        <w:tc>
          <w:tcPr>
            <w:tcW w:w="444" w:type="dxa"/>
            <w:vMerge w:val="continue"/>
          </w:tcPr>
          <w:p>
            <w:pPr>
              <w:jc w:val="center"/>
            </w:pPr>
          </w:p>
        </w:tc>
        <w:tc>
          <w:tcPr>
            <w:tcW w:w="3984" w:type="dxa"/>
            <w:vMerge w:val="continue"/>
          </w:tcPr>
          <w:p>
            <w:pPr>
              <w:jc w:val="center"/>
            </w:pPr>
          </w:p>
        </w:tc>
        <w:tc>
          <w:tcPr>
            <w:tcW w:w="3483" w:type="dxa"/>
            <w:vMerge w:val="continue"/>
          </w:tcPr>
          <w:p>
            <w:pPr>
              <w:jc w:val="center"/>
            </w:pPr>
          </w:p>
        </w:tc>
      </w:tr>
    </w:tbl>
    <w:p/>
    <w:p>
      <w:pPr>
        <w:widowControl/>
        <w:jc w:val="both"/>
        <w:rPr>
          <w:rFonts w:ascii="方正小标宋_GBK" w:hAnsi="方正小标宋_GBK" w:eastAsia="方正小标宋_GBK" w:cs="方正小标宋_GBK"/>
          <w:color w:val="000000"/>
          <w:sz w:val="36"/>
          <w:szCs w:val="36"/>
          <w:lang w:val="en-US" w:bidi="ar"/>
        </w:rPr>
      </w:pPr>
    </w:p>
    <w:p>
      <w:pPr>
        <w:widowControl/>
        <w:jc w:val="both"/>
        <w:rPr>
          <w:rFonts w:ascii="方正小标宋_GBK" w:hAnsi="方正小标宋_GBK" w:eastAsia="方正小标宋_GBK" w:cs="方正小标宋_GBK"/>
          <w:color w:val="000000"/>
          <w:sz w:val="36"/>
          <w:szCs w:val="36"/>
          <w:lang w:val="en-US" w:bidi="ar"/>
        </w:rPr>
      </w:pPr>
    </w:p>
    <w:p>
      <w:pPr>
        <w:widowControl/>
        <w:jc w:val="both"/>
        <w:rPr>
          <w:rFonts w:ascii="方正小标宋_GBK" w:hAnsi="方正小标宋_GBK" w:eastAsia="方正小标宋_GBK" w:cs="方正小标宋_GBK"/>
          <w:color w:val="000000"/>
          <w:sz w:val="36"/>
          <w:szCs w:val="36"/>
          <w:lang w:val="en-US" w:bidi="ar"/>
        </w:rPr>
      </w:pPr>
    </w:p>
    <w:p>
      <w:pPr>
        <w:widowControl/>
        <w:jc w:val="both"/>
        <w:rPr>
          <w:rFonts w:ascii="方正小标宋_GBK" w:hAnsi="方正小标宋_GBK" w:eastAsia="方正小标宋_GBK" w:cs="方正小标宋_GBK"/>
          <w:color w:val="000000"/>
          <w:sz w:val="36"/>
          <w:szCs w:val="36"/>
          <w:lang w:val="en-US" w:bidi="ar"/>
        </w:rPr>
      </w:pPr>
    </w:p>
    <w:tbl>
      <w:tblPr>
        <w:tblStyle w:val="5"/>
        <w:tblW w:w="14931"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81"/>
        <w:gridCol w:w="499"/>
        <w:gridCol w:w="582"/>
        <w:gridCol w:w="997"/>
        <w:gridCol w:w="2597"/>
        <w:gridCol w:w="444"/>
        <w:gridCol w:w="744"/>
        <w:gridCol w:w="931"/>
        <w:gridCol w:w="462"/>
        <w:gridCol w:w="3911"/>
        <w:gridCol w:w="348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000" w:hRule="atLeast"/>
        </w:trPr>
        <w:tc>
          <w:tcPr>
            <w:tcW w:w="281" w:type="dxa"/>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499" w:type="dxa"/>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579" w:type="dxa"/>
            <w:gridSpan w:val="2"/>
          </w:tcPr>
          <w:p>
            <w:pPr>
              <w:pStyle w:val="9"/>
              <w:spacing w:before="117"/>
              <w:rPr>
                <w:rFonts w:ascii="黑体" w:eastAsia="黑体"/>
                <w:b/>
                <w:sz w:val="10"/>
                <w:szCs w:val="10"/>
              </w:rPr>
            </w:pPr>
          </w:p>
          <w:p>
            <w:pPr>
              <w:pStyle w:val="9"/>
              <w:spacing w:before="117"/>
              <w:ind w:firstLine="181" w:firstLineChars="100"/>
              <w:rPr>
                <w:rFonts w:ascii="黑体" w:eastAsia="黑体"/>
                <w:b/>
                <w:sz w:val="18"/>
              </w:rPr>
            </w:pPr>
            <w:r>
              <w:rPr>
                <w:rFonts w:hint="eastAsia" w:ascii="黑体" w:eastAsia="黑体"/>
                <w:b/>
                <w:sz w:val="18"/>
              </w:rPr>
              <w:t>职权名称</w:t>
            </w:r>
          </w:p>
        </w:tc>
        <w:tc>
          <w:tcPr>
            <w:tcW w:w="2597" w:type="dxa"/>
          </w:tcPr>
          <w:p>
            <w:pPr>
              <w:pStyle w:val="9"/>
              <w:spacing w:before="140"/>
              <w:ind w:right="1120"/>
              <w:jc w:val="both"/>
              <w:rPr>
                <w:rFonts w:ascii="黑体" w:eastAsia="黑体"/>
                <w:b/>
                <w:sz w:val="10"/>
                <w:szCs w:val="10"/>
              </w:rPr>
            </w:pPr>
          </w:p>
          <w:p>
            <w:pPr>
              <w:pStyle w:val="9"/>
              <w:spacing w:before="140"/>
              <w:ind w:right="1120" w:firstLine="723" w:firstLineChars="400"/>
              <w:jc w:val="both"/>
              <w:rPr>
                <w:rFonts w:ascii="黑体" w:eastAsia="黑体"/>
                <w:b/>
                <w:sz w:val="18"/>
                <w:lang w:val="en-US"/>
              </w:rPr>
            </w:pPr>
            <w:r>
              <w:rPr>
                <w:rFonts w:hint="eastAsia" w:ascii="黑体" w:eastAsia="黑体"/>
                <w:b/>
                <w:sz w:val="18"/>
              </w:rPr>
              <w:t>实施依据</w:t>
            </w:r>
            <w:r>
              <w:rPr>
                <w:rFonts w:hint="eastAsia" w:ascii="黑体" w:eastAsia="黑体"/>
                <w:b/>
                <w:sz w:val="18"/>
                <w:lang w:val="en-US"/>
              </w:rPr>
              <w:t xml:space="preserve">           </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44"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931" w:type="dxa"/>
          </w:tcPr>
          <w:p>
            <w:pPr>
              <w:pStyle w:val="9"/>
              <w:spacing w:before="129" w:line="232" w:lineRule="auto"/>
              <w:ind w:left="76" w:right="47"/>
              <w:rPr>
                <w:rFonts w:ascii="黑体" w:eastAsia="黑体"/>
                <w:b/>
                <w:sz w:val="18"/>
              </w:rPr>
            </w:pPr>
            <w:r>
              <w:rPr>
                <w:rFonts w:hint="eastAsia" w:ascii="黑体" w:eastAsia="黑体"/>
                <w:b/>
                <w:sz w:val="18"/>
              </w:rPr>
              <w:t>收费（征收）依据和标准</w:t>
            </w:r>
          </w:p>
        </w:tc>
        <w:tc>
          <w:tcPr>
            <w:tcW w:w="462"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911" w:type="dxa"/>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483" w:type="dxa"/>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0" w:hRule="atLeast"/>
        </w:trPr>
        <w:tc>
          <w:tcPr>
            <w:tcW w:w="281" w:type="dxa"/>
            <w:vMerge w:val="restart"/>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jc w:val="center"/>
              <w:rPr>
                <w:rFonts w:ascii="Times New Roman"/>
                <w:sz w:val="13"/>
                <w:szCs w:val="13"/>
                <w:lang w:val="en-US"/>
              </w:rPr>
            </w:pPr>
          </w:p>
          <w:p>
            <w:pPr>
              <w:pStyle w:val="9"/>
              <w:spacing w:before="112"/>
              <w:ind w:left="28"/>
              <w:jc w:val="center"/>
              <w:rPr>
                <w:rFonts w:ascii="Times New Roman"/>
                <w:sz w:val="13"/>
                <w:szCs w:val="13"/>
                <w:lang w:val="en-US"/>
              </w:rPr>
            </w:pPr>
            <w:r>
              <w:rPr>
                <w:rFonts w:hint="eastAsia" w:ascii="Times New Roman"/>
                <w:sz w:val="13"/>
                <w:szCs w:val="13"/>
                <w:lang w:val="en-US"/>
              </w:rPr>
              <w:t>5</w:t>
            </w:r>
          </w:p>
        </w:tc>
        <w:tc>
          <w:tcPr>
            <w:tcW w:w="499" w:type="dxa"/>
          </w:tcPr>
          <w:p>
            <w:pPr>
              <w:pStyle w:val="9"/>
              <w:jc w:val="both"/>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widowControl/>
              <w:rPr>
                <w:sz w:val="13"/>
                <w:szCs w:val="13"/>
                <w:lang w:val="en-US"/>
              </w:rPr>
            </w:pPr>
            <w:r>
              <w:rPr>
                <w:rFonts w:ascii="Times New Roman"/>
                <w:sz w:val="13"/>
                <w:szCs w:val="13"/>
              </w:rPr>
              <w:t>CF0</w:t>
            </w:r>
            <w:r>
              <w:rPr>
                <w:rFonts w:hint="eastAsia" w:ascii="Times New Roman"/>
                <w:sz w:val="13"/>
                <w:szCs w:val="13"/>
                <w:lang w:val="en-US"/>
              </w:rPr>
              <w:t>16</w:t>
            </w:r>
          </w:p>
          <w:p>
            <w:pPr>
              <w:widowControl/>
              <w:rPr>
                <w:sz w:val="13"/>
                <w:szCs w:val="13"/>
              </w:rPr>
            </w:pPr>
          </w:p>
          <w:p>
            <w:pPr>
              <w:jc w:val="center"/>
              <w:rPr>
                <w:sz w:val="13"/>
                <w:szCs w:val="13"/>
              </w:rPr>
            </w:pPr>
          </w:p>
        </w:tc>
        <w:tc>
          <w:tcPr>
            <w:tcW w:w="582" w:type="dxa"/>
            <w:vMerge w:val="restart"/>
          </w:tcPr>
          <w:p>
            <w:pPr>
              <w:pStyle w:val="9"/>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rPr>
                <w:color w:val="000000"/>
                <w:sz w:val="13"/>
                <w:szCs w:val="13"/>
                <w:lang w:val="en-US" w:bidi="ar"/>
              </w:rPr>
            </w:pPr>
          </w:p>
          <w:p>
            <w:pPr>
              <w:widowControl/>
              <w:rPr>
                <w:sz w:val="13"/>
                <w:szCs w:val="13"/>
              </w:rPr>
            </w:pPr>
            <w:r>
              <w:rPr>
                <w:color w:val="000000"/>
                <w:sz w:val="13"/>
                <w:szCs w:val="13"/>
                <w:lang w:val="en-US" w:bidi="ar"/>
              </w:rPr>
              <w:t xml:space="preserve">对煤矿生产 </w:t>
            </w:r>
          </w:p>
          <w:p>
            <w:pPr>
              <w:widowControl/>
              <w:rPr>
                <w:sz w:val="13"/>
                <w:szCs w:val="13"/>
              </w:rPr>
            </w:pPr>
            <w:r>
              <w:rPr>
                <w:rFonts w:hint="eastAsia"/>
                <w:color w:val="000000"/>
                <w:sz w:val="13"/>
                <w:szCs w:val="13"/>
                <w:lang w:val="en-US" w:bidi="ar"/>
              </w:rPr>
              <w:t xml:space="preserve">存在重大安 </w:t>
            </w:r>
          </w:p>
          <w:p>
            <w:pPr>
              <w:widowControl/>
              <w:rPr>
                <w:sz w:val="13"/>
                <w:szCs w:val="13"/>
              </w:rPr>
            </w:pPr>
            <w:r>
              <w:rPr>
                <w:rFonts w:hint="eastAsia"/>
                <w:color w:val="000000"/>
                <w:sz w:val="13"/>
                <w:szCs w:val="13"/>
                <w:lang w:val="en-US" w:bidi="ar"/>
              </w:rPr>
              <w:t xml:space="preserve">全隐患仍组 </w:t>
            </w:r>
          </w:p>
          <w:p>
            <w:pPr>
              <w:widowControl/>
              <w:rPr>
                <w:sz w:val="13"/>
                <w:szCs w:val="13"/>
              </w:rPr>
            </w:pPr>
            <w:r>
              <w:rPr>
                <w:rFonts w:hint="eastAsia"/>
                <w:color w:val="000000"/>
                <w:sz w:val="13"/>
                <w:szCs w:val="13"/>
                <w:lang w:val="en-US" w:bidi="ar"/>
              </w:rPr>
              <w:t xml:space="preserve">织生产行为 </w:t>
            </w:r>
          </w:p>
          <w:p>
            <w:pPr>
              <w:widowControl/>
              <w:rPr>
                <w:sz w:val="13"/>
                <w:szCs w:val="13"/>
              </w:rPr>
            </w:pPr>
            <w:r>
              <w:rPr>
                <w:rFonts w:hint="eastAsia"/>
                <w:color w:val="000000"/>
                <w:sz w:val="13"/>
                <w:szCs w:val="13"/>
                <w:lang w:val="en-US" w:bidi="ar"/>
              </w:rPr>
              <w:t>的处罚</w:t>
            </w:r>
          </w:p>
          <w:p>
            <w:pPr>
              <w:pStyle w:val="9"/>
              <w:spacing w:line="192" w:lineRule="auto"/>
              <w:ind w:left="32" w:right="39"/>
              <w:jc w:val="both"/>
              <w:rPr>
                <w:sz w:val="13"/>
                <w:szCs w:val="13"/>
              </w:rPr>
            </w:pPr>
          </w:p>
        </w:tc>
        <w:tc>
          <w:tcPr>
            <w:tcW w:w="997" w:type="dxa"/>
          </w:tcPr>
          <w:p>
            <w:pPr>
              <w:widowControl/>
              <w:rPr>
                <w:color w:val="000000"/>
                <w:sz w:val="13"/>
                <w:szCs w:val="13"/>
                <w:lang w:val="en-US" w:bidi="ar"/>
              </w:rPr>
            </w:pPr>
          </w:p>
          <w:p>
            <w:pPr>
              <w:widowControl/>
              <w:rPr>
                <w:sz w:val="13"/>
                <w:szCs w:val="13"/>
              </w:rPr>
            </w:pPr>
            <w:r>
              <w:rPr>
                <w:color w:val="000000"/>
                <w:sz w:val="13"/>
                <w:szCs w:val="13"/>
                <w:lang w:val="en-US" w:bidi="ar"/>
              </w:rPr>
              <w:t xml:space="preserve">对煤矿改制期 </w:t>
            </w:r>
          </w:p>
          <w:p>
            <w:pPr>
              <w:widowControl/>
              <w:rPr>
                <w:sz w:val="13"/>
                <w:szCs w:val="13"/>
              </w:rPr>
            </w:pPr>
            <w:r>
              <w:rPr>
                <w:rFonts w:hint="eastAsia"/>
                <w:color w:val="000000"/>
                <w:sz w:val="13"/>
                <w:szCs w:val="13"/>
                <w:lang w:val="en-US" w:bidi="ar"/>
              </w:rPr>
              <w:t xml:space="preserve">间未明确安全 </w:t>
            </w:r>
          </w:p>
          <w:p>
            <w:pPr>
              <w:widowControl/>
              <w:rPr>
                <w:sz w:val="13"/>
                <w:szCs w:val="13"/>
              </w:rPr>
            </w:pPr>
            <w:r>
              <w:rPr>
                <w:rFonts w:hint="eastAsia"/>
                <w:color w:val="000000"/>
                <w:sz w:val="13"/>
                <w:szCs w:val="13"/>
                <w:lang w:val="en-US" w:bidi="ar"/>
              </w:rPr>
              <w:t xml:space="preserve">生产责任人和 </w:t>
            </w:r>
          </w:p>
          <w:p>
            <w:pPr>
              <w:widowControl/>
              <w:rPr>
                <w:sz w:val="13"/>
                <w:szCs w:val="13"/>
              </w:rPr>
            </w:pPr>
            <w:r>
              <w:rPr>
                <w:rFonts w:hint="eastAsia"/>
                <w:color w:val="000000"/>
                <w:sz w:val="13"/>
                <w:szCs w:val="13"/>
                <w:lang w:val="en-US" w:bidi="ar"/>
              </w:rPr>
              <w:t xml:space="preserve">安全管理机构 </w:t>
            </w:r>
          </w:p>
          <w:p>
            <w:pPr>
              <w:widowControl/>
              <w:rPr>
                <w:sz w:val="13"/>
                <w:szCs w:val="13"/>
              </w:rPr>
            </w:pPr>
            <w:r>
              <w:rPr>
                <w:rFonts w:hint="eastAsia"/>
                <w:color w:val="000000"/>
                <w:sz w:val="13"/>
                <w:szCs w:val="13"/>
                <w:lang w:val="en-US" w:bidi="ar"/>
              </w:rPr>
              <w:t xml:space="preserve">的或者在完成 </w:t>
            </w:r>
          </w:p>
          <w:p>
            <w:pPr>
              <w:widowControl/>
              <w:rPr>
                <w:sz w:val="13"/>
                <w:szCs w:val="13"/>
              </w:rPr>
            </w:pPr>
            <w:r>
              <w:rPr>
                <w:rFonts w:hint="eastAsia"/>
                <w:color w:val="000000"/>
                <w:sz w:val="13"/>
                <w:szCs w:val="13"/>
                <w:lang w:val="en-US" w:bidi="ar"/>
              </w:rPr>
              <w:t xml:space="preserve">改制后，未重 </w:t>
            </w:r>
          </w:p>
          <w:p>
            <w:pPr>
              <w:widowControl/>
              <w:rPr>
                <w:sz w:val="13"/>
                <w:szCs w:val="13"/>
              </w:rPr>
            </w:pPr>
            <w:r>
              <w:rPr>
                <w:rFonts w:hint="eastAsia"/>
                <w:color w:val="000000"/>
                <w:sz w:val="13"/>
                <w:szCs w:val="13"/>
                <w:lang w:val="en-US" w:bidi="ar"/>
              </w:rPr>
              <w:t xml:space="preserve">新取得或者变 </w:t>
            </w:r>
          </w:p>
          <w:p>
            <w:pPr>
              <w:widowControl/>
              <w:rPr>
                <w:sz w:val="13"/>
                <w:szCs w:val="13"/>
              </w:rPr>
            </w:pPr>
            <w:r>
              <w:rPr>
                <w:rFonts w:hint="eastAsia"/>
                <w:color w:val="000000"/>
                <w:sz w:val="13"/>
                <w:szCs w:val="13"/>
                <w:lang w:val="en-US" w:bidi="ar"/>
              </w:rPr>
              <w:t xml:space="preserve">更采矿许可证 </w:t>
            </w:r>
          </w:p>
          <w:p>
            <w:pPr>
              <w:widowControl/>
              <w:rPr>
                <w:sz w:val="13"/>
                <w:szCs w:val="13"/>
              </w:rPr>
            </w:pPr>
            <w:r>
              <w:rPr>
                <w:rFonts w:hint="eastAsia"/>
                <w:color w:val="000000"/>
                <w:sz w:val="13"/>
                <w:szCs w:val="13"/>
                <w:lang w:val="en-US" w:bidi="ar"/>
              </w:rPr>
              <w:t xml:space="preserve">、安全生产许 </w:t>
            </w:r>
          </w:p>
          <w:p>
            <w:pPr>
              <w:widowControl/>
              <w:rPr>
                <w:sz w:val="13"/>
                <w:szCs w:val="13"/>
              </w:rPr>
            </w:pPr>
            <w:r>
              <w:rPr>
                <w:rFonts w:hint="eastAsia"/>
                <w:color w:val="000000"/>
                <w:sz w:val="13"/>
                <w:szCs w:val="13"/>
                <w:lang w:val="en-US" w:bidi="ar"/>
              </w:rPr>
              <w:t xml:space="preserve">可证、煤炭生 </w:t>
            </w:r>
          </w:p>
          <w:p>
            <w:pPr>
              <w:widowControl/>
              <w:rPr>
                <w:sz w:val="13"/>
                <w:szCs w:val="13"/>
              </w:rPr>
            </w:pPr>
            <w:r>
              <w:rPr>
                <w:rFonts w:hint="eastAsia"/>
                <w:color w:val="000000"/>
                <w:sz w:val="13"/>
                <w:szCs w:val="13"/>
                <w:lang w:val="en-US" w:bidi="ar"/>
              </w:rPr>
              <w:t xml:space="preserve">产许可证和营 </w:t>
            </w:r>
          </w:p>
          <w:p>
            <w:pPr>
              <w:widowControl/>
              <w:rPr>
                <w:sz w:val="13"/>
                <w:szCs w:val="13"/>
              </w:rPr>
            </w:pPr>
            <w:r>
              <w:rPr>
                <w:rFonts w:hint="eastAsia"/>
                <w:color w:val="000000"/>
                <w:sz w:val="13"/>
                <w:szCs w:val="13"/>
                <w:lang w:val="en-US" w:bidi="ar"/>
              </w:rPr>
              <w:t>业执照的处罚</w:t>
            </w:r>
          </w:p>
          <w:p>
            <w:pPr>
              <w:pStyle w:val="9"/>
              <w:rPr>
                <w:rFonts w:ascii="Times New Roman"/>
                <w:sz w:val="13"/>
                <w:szCs w:val="13"/>
              </w:rPr>
            </w:pPr>
          </w:p>
        </w:tc>
        <w:tc>
          <w:tcPr>
            <w:tcW w:w="2597"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 xml:space="preserve">《关于预防煤矿生产安全事故的特别规定》第八条 规定 </w:t>
            </w:r>
            <w:r>
              <w:rPr>
                <w:rFonts w:hint="eastAsia"/>
                <w:color w:val="000000"/>
                <w:sz w:val="13"/>
                <w:szCs w:val="13"/>
                <w:lang w:val="en-US" w:bidi="ar"/>
              </w:rPr>
              <w:t>的</w:t>
            </w:r>
            <w:r>
              <w:rPr>
                <w:rFonts w:ascii="TimesNewRomanPSMT" w:hAnsi="TimesNewRomanPSMT" w:eastAsia="TimesNewRomanPSMT" w:cs="TimesNewRomanPSMT"/>
                <w:color w:val="000000"/>
                <w:sz w:val="13"/>
                <w:szCs w:val="13"/>
                <w:lang w:val="en-US" w:bidi="ar"/>
              </w:rPr>
              <w:t>15</w:t>
            </w:r>
            <w:r>
              <w:rPr>
                <w:rFonts w:hint="eastAsia"/>
                <w:color w:val="000000"/>
                <w:sz w:val="13"/>
                <w:szCs w:val="13"/>
                <w:lang w:val="en-US" w:bidi="ar"/>
              </w:rPr>
              <w:t xml:space="preserve">条重大安全隐患的处罚 煤矿有下列重大安全生产隐 患和行为的，应当立即停止生产，排除隐患：（十二）新 建煤矿边建设边生产，煤矿改扩建期间，在改扩建的区域 生产，或者在其他区域的生产超出安全设计规定的范围和 规模的； （十三）煤矿实行整体承包生产经营后，未重 新取得安全生产许可证和煤炭生产许可证，从事生产的， 或者承包方再次转包的，以及煤矿将井下采掘工作面和井 巷维修作业进行劳务承包的； （十四）煤矿改制期间， 未明确安全生产责任人和安全管理机构的，或者在完成改 制后，未重新取得或者变更采矿许可证、安全生产许可证 、煤炭生产许可证和营业执照的；（十五）有其他重大安 全生产隐患的。 第十条 煤 矿有本规定第八条第二款所列情形之一，仍然进行生产 的，由县级以上地方人民政府负责煤矿安全生产监督管理 </w:t>
            </w:r>
          </w:p>
          <w:p>
            <w:pPr>
              <w:widowControl/>
              <w:rPr>
                <w:sz w:val="13"/>
                <w:szCs w:val="13"/>
              </w:rPr>
            </w:pPr>
            <w:r>
              <w:rPr>
                <w:rFonts w:hint="eastAsia"/>
                <w:color w:val="000000"/>
                <w:sz w:val="13"/>
                <w:szCs w:val="13"/>
                <w:lang w:val="en-US" w:bidi="ar"/>
              </w:rPr>
              <w:t>的部门或者煤矿安全监察机构责令停产整顿，提出整顿的 内容、时间等具体要求，处</w:t>
            </w:r>
            <w:r>
              <w:rPr>
                <w:rFonts w:ascii="TimesNewRomanPSMT" w:hAnsi="TimesNewRomanPSMT" w:eastAsia="TimesNewRomanPSMT" w:cs="TimesNewRomanPSMT"/>
                <w:color w:val="000000"/>
                <w:sz w:val="13"/>
                <w:szCs w:val="13"/>
                <w:lang w:val="en-US" w:bidi="ar"/>
              </w:rPr>
              <w:t>50</w:t>
            </w:r>
            <w:r>
              <w:rPr>
                <w:rFonts w:hint="eastAsia"/>
                <w:color w:val="000000"/>
                <w:sz w:val="13"/>
                <w:szCs w:val="13"/>
                <w:lang w:val="en-US" w:bidi="ar"/>
              </w:rPr>
              <w:t>万元以上</w:t>
            </w:r>
            <w:r>
              <w:rPr>
                <w:rFonts w:ascii="TimesNewRomanPSMT" w:hAnsi="TimesNewRomanPSMT" w:eastAsia="TimesNewRomanPSMT" w:cs="TimesNewRomanPSMT"/>
                <w:color w:val="000000"/>
                <w:sz w:val="13"/>
                <w:szCs w:val="13"/>
                <w:lang w:val="en-US" w:bidi="ar"/>
              </w:rPr>
              <w:t>200</w:t>
            </w:r>
            <w:r>
              <w:rPr>
                <w:rFonts w:hint="eastAsia"/>
                <w:color w:val="000000"/>
                <w:sz w:val="13"/>
                <w:szCs w:val="13"/>
                <w:lang w:val="en-US" w:bidi="ar"/>
              </w:rPr>
              <w:t>万元以下的罚 款；对煤矿企业负责人处</w:t>
            </w:r>
            <w:r>
              <w:rPr>
                <w:rFonts w:ascii="TimesNewRomanPSMT" w:hAnsi="TimesNewRomanPSMT" w:eastAsia="TimesNewRomanPSMT" w:cs="TimesNewRomanPSMT"/>
                <w:color w:val="000000"/>
                <w:sz w:val="13"/>
                <w:szCs w:val="13"/>
                <w:lang w:val="en-US" w:bidi="ar"/>
              </w:rPr>
              <w:t>3</w:t>
            </w:r>
            <w:r>
              <w:rPr>
                <w:rFonts w:hint="eastAsia"/>
                <w:color w:val="000000"/>
                <w:sz w:val="13"/>
                <w:szCs w:val="13"/>
                <w:lang w:val="en-US" w:bidi="ar"/>
              </w:rPr>
              <w:t>万元以上</w:t>
            </w:r>
            <w:r>
              <w:rPr>
                <w:rFonts w:ascii="TimesNewRomanPSMT" w:hAnsi="TimesNewRomanPSMT" w:eastAsia="TimesNewRomanPSMT" w:cs="TimesNewRomanPSMT"/>
                <w:color w:val="000000"/>
                <w:sz w:val="13"/>
                <w:szCs w:val="13"/>
                <w:lang w:val="en-US" w:bidi="ar"/>
              </w:rPr>
              <w:t>15</w:t>
            </w:r>
            <w:r>
              <w:rPr>
                <w:rFonts w:hint="eastAsia"/>
                <w:color w:val="000000"/>
                <w:sz w:val="13"/>
                <w:szCs w:val="13"/>
                <w:lang w:val="en-US" w:bidi="ar"/>
              </w:rPr>
              <w:t>万元以下的罚款。</w:t>
            </w:r>
          </w:p>
          <w:p>
            <w:pPr>
              <w:pStyle w:val="9"/>
              <w:spacing w:before="126" w:line="189" w:lineRule="auto"/>
              <w:ind w:left="33" w:right="62"/>
              <w:jc w:val="both"/>
              <w:rPr>
                <w:sz w:val="13"/>
                <w:szCs w:val="13"/>
              </w:rPr>
            </w:pPr>
          </w:p>
        </w:tc>
        <w:tc>
          <w:tcPr>
            <w:tcW w:w="444"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煤矿</w:t>
            </w:r>
          </w:p>
          <w:p>
            <w:pPr>
              <w:widowControl/>
              <w:rPr>
                <w:sz w:val="13"/>
                <w:szCs w:val="13"/>
              </w:rPr>
            </w:pPr>
            <w:r>
              <w:rPr>
                <w:rFonts w:hint="eastAsia"/>
                <w:color w:val="000000"/>
                <w:sz w:val="13"/>
                <w:szCs w:val="13"/>
                <w:lang w:val="en-US" w:bidi="ar"/>
              </w:rPr>
              <w:t>企业</w:t>
            </w:r>
          </w:p>
          <w:p>
            <w:pPr>
              <w:pStyle w:val="9"/>
              <w:rPr>
                <w:rFonts w:ascii="Times New Roman"/>
                <w:sz w:val="13"/>
                <w:szCs w:val="13"/>
              </w:rPr>
            </w:pPr>
          </w:p>
          <w:p>
            <w:pPr>
              <w:pStyle w:val="9"/>
              <w:rPr>
                <w:rFonts w:ascii="Times New Roman"/>
                <w:sz w:val="13"/>
                <w:szCs w:val="13"/>
              </w:rPr>
            </w:pPr>
          </w:p>
          <w:p>
            <w:pPr>
              <w:pStyle w:val="9"/>
              <w:spacing w:line="192" w:lineRule="auto"/>
              <w:ind w:left="83" w:right="23"/>
              <w:rPr>
                <w:sz w:val="13"/>
                <w:szCs w:val="13"/>
              </w:rPr>
            </w:pPr>
          </w:p>
        </w:tc>
        <w:tc>
          <w:tcPr>
            <w:tcW w:w="744"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jc w:val="center"/>
              <w:rPr>
                <w:rFonts w:ascii="Times New Roman"/>
                <w:sz w:val="13"/>
                <w:szCs w:val="13"/>
              </w:rPr>
            </w:pPr>
          </w:p>
          <w:p>
            <w:pPr>
              <w:pStyle w:val="9"/>
              <w:spacing w:before="7"/>
              <w:ind w:left="97" w:right="66"/>
              <w:jc w:val="center"/>
              <w:rPr>
                <w:rFonts w:ascii="Times New Roman" w:eastAsia="Times New Roman"/>
                <w:sz w:val="13"/>
                <w:szCs w:val="13"/>
              </w:rPr>
            </w:pPr>
            <w:r>
              <w:rPr>
                <w:rFonts w:hint="eastAsia"/>
                <w:color w:val="000000"/>
                <w:sz w:val="13"/>
                <w:szCs w:val="13"/>
                <w:lang w:val="en-US" w:bidi="ar"/>
              </w:rPr>
              <w:t>安全科3311262</w:t>
            </w:r>
          </w:p>
        </w:tc>
        <w:tc>
          <w:tcPr>
            <w:tcW w:w="931"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9"/>
              <w:rPr>
                <w:rFonts w:ascii="Times New Roman"/>
                <w:sz w:val="13"/>
                <w:szCs w:val="13"/>
              </w:rPr>
            </w:pPr>
          </w:p>
          <w:p>
            <w:pPr>
              <w:pStyle w:val="9"/>
              <w:ind w:left="32"/>
              <w:jc w:val="center"/>
              <w:rPr>
                <w:sz w:val="13"/>
                <w:szCs w:val="13"/>
              </w:rPr>
            </w:pPr>
            <w:r>
              <w:rPr>
                <w:w w:val="102"/>
                <w:sz w:val="13"/>
                <w:szCs w:val="13"/>
              </w:rPr>
              <w:t>无</w:t>
            </w:r>
          </w:p>
        </w:tc>
        <w:tc>
          <w:tcPr>
            <w:tcW w:w="462" w:type="dxa"/>
            <w:vMerge w:val="restart"/>
          </w:tcPr>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米东区发改委（工信局）</w:t>
            </w:r>
          </w:p>
          <w:p>
            <w:pPr>
              <w:widowControl/>
              <w:rPr>
                <w:sz w:val="13"/>
                <w:szCs w:val="13"/>
              </w:rPr>
            </w:pPr>
          </w:p>
        </w:tc>
        <w:tc>
          <w:tcPr>
            <w:tcW w:w="3911" w:type="dxa"/>
            <w:vMerge w:val="restart"/>
            <w:vAlign w:val="center"/>
          </w:tcPr>
          <w:p>
            <w:pPr>
              <w:widowControl/>
              <w:jc w:val="both"/>
              <w:rPr>
                <w:rFonts w:ascii="TimesNewRomanPSMT" w:hAnsi="TimesNewRomanPSMT" w:eastAsia="TimesNewRomanPSMT" w:cs="TimesNewRomanPSMT"/>
                <w:color w:val="000000"/>
                <w:sz w:val="13"/>
                <w:szCs w:val="13"/>
                <w:lang w:val="en-US" w:bidi="ar"/>
              </w:rPr>
            </w:pPr>
          </w:p>
          <w:p>
            <w:pPr>
              <w:widowControl/>
              <w:jc w:val="both"/>
              <w:rPr>
                <w:sz w:val="16"/>
                <w:szCs w:val="16"/>
              </w:rPr>
            </w:pPr>
            <w:r>
              <w:rPr>
                <w:rFonts w:ascii="TimesNewRomanPSMT" w:hAnsi="TimesNewRomanPSMT" w:eastAsia="TimesNewRomanPSMT" w:cs="TimesNewRomanPSMT"/>
                <w:color w:val="000000"/>
                <w:sz w:val="16"/>
                <w:szCs w:val="16"/>
                <w:lang w:val="en-US" w:bidi="ar"/>
              </w:rPr>
              <w:t>1.</w:t>
            </w:r>
            <w:r>
              <w:rPr>
                <w:color w:val="000000"/>
                <w:sz w:val="16"/>
                <w:szCs w:val="16"/>
                <w:lang w:val="en-US" w:bidi="ar"/>
              </w:rPr>
              <w:t>立案责任：按照立案条件在规定期限内进行审查</w:t>
            </w:r>
          </w:p>
          <w:p>
            <w:pPr>
              <w:widowControl/>
              <w:jc w:val="both"/>
              <w:rPr>
                <w:sz w:val="16"/>
                <w:szCs w:val="16"/>
              </w:rPr>
            </w:pPr>
            <w:r>
              <w:rPr>
                <w:rFonts w:hint="eastAsia"/>
                <w:color w:val="000000"/>
                <w:sz w:val="16"/>
                <w:szCs w:val="16"/>
                <w:lang w:val="en-US" w:bidi="ar"/>
              </w:rPr>
              <w:t>并决定是否立案（不予立案应当告知理由）；对需要补充材料的，应当场一次性告知。</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调查责任：对违法违规行为进行调查，依法收集整理证据材料；执法人员不得少于两人，调查时应出示执法身份证件，允许当事人陈述申辩，并严格执行监察回避制度。</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审查责任：应当对案件违法事实、证据、调查取证程序、法律适用、处罚种类和幅度以及当事人陈述申辩理由等方面进行审查，并提出处理意见。对情节复杂或者重大违法行为给予较重的行政处罚，由市工信局（大数据发展局）局务会研究提出审查意见。</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告知责任：在做出行政处罚决定前，应书面告知当事人违法事实及其享有的陈述、申辩、要求听证等权利。</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决定责任：决定给予行政处罚的，应制作《行政处罚决定书》，载明违法事实和证据、处罚依据和内容、申请行政复议或提起行政诉讼的途径和期限等。</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送达责任：《行政处罚决定书》应在规定期限内依法送达当事人。</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执行责任：监督当事人在规定的期限内履行生效的行政处罚决定。当事人在法定期限内既不申请行政复议或者提起行政诉讼，又不履行处罚决定的，可依法向人民法院申请强制执行等措施。</w:t>
            </w:r>
          </w:p>
          <w:p>
            <w:pPr>
              <w:widowControl/>
              <w:ind w:firstLine="160" w:firstLineChars="100"/>
              <w:jc w:val="both"/>
              <w:rPr>
                <w:rFonts w:ascii="TimesNewRomanPSMT" w:hAnsi="TimesNewRomanPSMT" w:eastAsia="TimesNewRomanPSMT" w:cs="TimesNewRomanPSMT"/>
                <w:color w:val="000000"/>
                <w:sz w:val="13"/>
                <w:szCs w:val="13"/>
                <w:lang w:val="en-US" w:bidi="ar"/>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其他法律法规政策规定应履行的责任。</w:t>
            </w:r>
          </w:p>
          <w:p>
            <w:pPr>
              <w:widowControl/>
              <w:ind w:firstLine="130" w:firstLineChars="100"/>
              <w:jc w:val="both"/>
              <w:rPr>
                <w:rFonts w:ascii="TimesNewRomanPSMT" w:hAnsi="TimesNewRomanPSMT" w:eastAsia="TimesNewRomanPSMT" w:cs="TimesNewRomanPSMT"/>
                <w:color w:val="000000"/>
                <w:sz w:val="13"/>
                <w:szCs w:val="13"/>
                <w:lang w:val="en-US" w:bidi="ar"/>
              </w:rPr>
            </w:pPr>
          </w:p>
          <w:p>
            <w:pPr>
              <w:widowControl/>
              <w:ind w:firstLine="130" w:firstLineChars="100"/>
              <w:jc w:val="both"/>
              <w:rPr>
                <w:rFonts w:ascii="TimesNewRomanPSMT" w:hAnsi="TimesNewRomanPSMT" w:eastAsia="TimesNewRomanPSMT" w:cs="TimesNewRomanPSMT"/>
                <w:color w:val="000000"/>
                <w:sz w:val="13"/>
                <w:szCs w:val="13"/>
                <w:lang w:val="en-US" w:bidi="ar"/>
              </w:rPr>
            </w:pPr>
          </w:p>
          <w:p>
            <w:pPr>
              <w:widowControl/>
              <w:ind w:firstLine="130" w:firstLineChars="100"/>
              <w:jc w:val="both"/>
              <w:rPr>
                <w:rFonts w:ascii="TimesNewRomanPSMT" w:hAnsi="TimesNewRomanPSMT" w:eastAsia="TimesNewRomanPSMT" w:cs="TimesNewRomanPSMT"/>
                <w:color w:val="000000"/>
                <w:sz w:val="13"/>
                <w:szCs w:val="13"/>
                <w:lang w:val="en-US" w:bidi="ar"/>
              </w:rPr>
            </w:pPr>
          </w:p>
          <w:p>
            <w:pPr>
              <w:pStyle w:val="9"/>
              <w:tabs>
                <w:tab w:val="left" w:pos="146"/>
              </w:tabs>
              <w:spacing w:line="205" w:lineRule="exact"/>
              <w:ind w:left="32"/>
              <w:jc w:val="both"/>
              <w:rPr>
                <w:sz w:val="13"/>
                <w:szCs w:val="13"/>
              </w:rPr>
            </w:pPr>
          </w:p>
        </w:tc>
        <w:tc>
          <w:tcPr>
            <w:tcW w:w="3483" w:type="dxa"/>
            <w:vMerge w:val="restart"/>
            <w:vAlign w:val="center"/>
          </w:tcPr>
          <w:p>
            <w:pPr>
              <w:widowControl/>
              <w:jc w:val="both"/>
              <w:rPr>
                <w:sz w:val="16"/>
                <w:szCs w:val="16"/>
              </w:rPr>
            </w:pPr>
            <w:r>
              <w:rPr>
                <w:color w:val="000000"/>
                <w:sz w:val="16"/>
                <w:szCs w:val="16"/>
                <w:lang w:val="en-US" w:bidi="ar"/>
              </w:rPr>
              <w:t xml:space="preserve">行政主管部门及其工作人员有下列行为之一 </w:t>
            </w:r>
            <w:r>
              <w:rPr>
                <w:rFonts w:hint="eastAsia"/>
                <w:color w:val="000000"/>
                <w:sz w:val="16"/>
                <w:szCs w:val="16"/>
                <w:lang w:val="en-US" w:bidi="ar"/>
              </w:rPr>
              <w:t xml:space="preserve">的，对直接负责的主管人员和其他直接责任人 员，依法给予处分；构成犯罪的，依法追究刑 事责任： </w:t>
            </w:r>
          </w:p>
          <w:p>
            <w:pPr>
              <w:widowControl/>
              <w:jc w:val="both"/>
              <w:rPr>
                <w:sz w:val="16"/>
                <w:szCs w:val="16"/>
              </w:rPr>
            </w:pPr>
            <w:r>
              <w:rPr>
                <w:rFonts w:ascii="TimesNewRomanPSMT" w:hAnsi="TimesNewRomanPSMT" w:eastAsia="TimesNewRomanPSMT" w:cs="TimesNewRomanPSMT"/>
                <w:color w:val="000000"/>
                <w:sz w:val="16"/>
                <w:szCs w:val="16"/>
                <w:lang w:val="en-US" w:bidi="ar"/>
              </w:rPr>
              <w:t>1.</w:t>
            </w:r>
            <w:r>
              <w:rPr>
                <w:rFonts w:hint="eastAsia"/>
                <w:color w:val="000000"/>
                <w:sz w:val="16"/>
                <w:szCs w:val="16"/>
                <w:lang w:val="en-US" w:bidi="ar"/>
              </w:rPr>
              <w:t xml:space="preserve">执法人员玩忽职守，对应当予以制止和处罚的 违法行为不予制止、处罚，致使国家资源遭受 损害的； </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 xml:space="preserve">不依法受理举报、投诉或者受理后未在法定期限内处理的； </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 xml:space="preserve">对符合立案条件而不予立案的； </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 xml:space="preserve">对不符合立案条件而立案调查的； </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 xml:space="preserve">没有法定的行政处罚依据的； </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 xml:space="preserve">违反法定的行政处罚程序的； </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 xml:space="preserve">擅自改变行政处罚种类、幅度的； </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 xml:space="preserve">对当事人进行处罚不使用罚款、没收财物单据或者使用非法定部门制发的罚款、没收财物单据的； </w:t>
            </w:r>
          </w:p>
          <w:p>
            <w:pPr>
              <w:widowControl/>
              <w:jc w:val="both"/>
              <w:rPr>
                <w:sz w:val="16"/>
                <w:szCs w:val="16"/>
              </w:rPr>
            </w:pPr>
            <w:r>
              <w:rPr>
                <w:rFonts w:ascii="TimesNewRomanPSMT" w:hAnsi="TimesNewRomanPSMT" w:eastAsia="TimesNewRomanPSMT" w:cs="TimesNewRomanPSMT"/>
                <w:color w:val="000000"/>
                <w:sz w:val="16"/>
                <w:szCs w:val="16"/>
                <w:lang w:val="en-US" w:bidi="ar"/>
              </w:rPr>
              <w:t>9.</w:t>
            </w:r>
            <w:r>
              <w:rPr>
                <w:rFonts w:hint="eastAsia"/>
                <w:color w:val="000000"/>
                <w:sz w:val="16"/>
                <w:szCs w:val="16"/>
                <w:lang w:val="en-US" w:bidi="ar"/>
              </w:rPr>
              <w:t xml:space="preserve">违反法律规定自行收缴罚款的； </w:t>
            </w:r>
          </w:p>
          <w:p>
            <w:pPr>
              <w:widowControl/>
              <w:jc w:val="both"/>
              <w:rPr>
                <w:sz w:val="16"/>
                <w:szCs w:val="16"/>
              </w:rPr>
            </w:pPr>
            <w:r>
              <w:rPr>
                <w:rFonts w:ascii="TimesNewRomanPSMT" w:hAnsi="TimesNewRomanPSMT" w:eastAsia="TimesNewRomanPSMT" w:cs="TimesNewRomanPSMT"/>
                <w:color w:val="000000"/>
                <w:sz w:val="16"/>
                <w:szCs w:val="16"/>
                <w:lang w:val="en-US" w:bidi="ar"/>
              </w:rPr>
              <w:t>10.</w:t>
            </w:r>
            <w:r>
              <w:rPr>
                <w:rFonts w:hint="eastAsia"/>
                <w:color w:val="000000"/>
                <w:sz w:val="16"/>
                <w:szCs w:val="16"/>
                <w:lang w:val="en-US" w:bidi="ar"/>
              </w:rPr>
              <w:t xml:space="preserve">将罚款、没收的违法所得或者财物截留、私分或者变相私分的； </w:t>
            </w:r>
          </w:p>
          <w:p>
            <w:pPr>
              <w:widowControl/>
              <w:jc w:val="both"/>
              <w:rPr>
                <w:sz w:val="16"/>
                <w:szCs w:val="16"/>
              </w:rPr>
            </w:pPr>
            <w:r>
              <w:rPr>
                <w:rFonts w:ascii="TimesNewRomanPSMT" w:hAnsi="TimesNewRomanPSMT" w:eastAsia="TimesNewRomanPSMT" w:cs="TimesNewRomanPSMT"/>
                <w:color w:val="000000"/>
                <w:sz w:val="16"/>
                <w:szCs w:val="16"/>
                <w:lang w:val="en-US" w:bidi="ar"/>
              </w:rPr>
              <w:t>11.</w:t>
            </w:r>
            <w:r>
              <w:rPr>
                <w:rFonts w:hint="eastAsia"/>
                <w:color w:val="000000"/>
                <w:sz w:val="16"/>
                <w:szCs w:val="16"/>
                <w:lang w:val="en-US" w:bidi="ar"/>
              </w:rPr>
              <w:t xml:space="preserve">为牟取本单位私利，对应当移交司法机关追究刑事责任的不移交，以行政处罚代替刑罚； </w:t>
            </w:r>
          </w:p>
          <w:p>
            <w:pPr>
              <w:widowControl/>
              <w:jc w:val="both"/>
              <w:rPr>
                <w:sz w:val="16"/>
                <w:szCs w:val="16"/>
              </w:rPr>
            </w:pPr>
            <w:r>
              <w:rPr>
                <w:rFonts w:ascii="TimesNewRomanPSMT" w:hAnsi="TimesNewRomanPSMT" w:eastAsia="TimesNewRomanPSMT" w:cs="TimesNewRomanPSMT"/>
                <w:color w:val="000000"/>
                <w:sz w:val="16"/>
                <w:szCs w:val="16"/>
                <w:lang w:val="en-US" w:bidi="ar"/>
              </w:rPr>
              <w:t>12.</w:t>
            </w:r>
            <w:r>
              <w:rPr>
                <w:rFonts w:hint="eastAsia"/>
                <w:color w:val="000000"/>
                <w:sz w:val="16"/>
                <w:szCs w:val="16"/>
                <w:lang w:val="en-US" w:bidi="ar"/>
              </w:rPr>
              <w:t>其他法律、法规、规章、文件规定的行为。</w:t>
            </w:r>
          </w:p>
          <w:p>
            <w:pPr>
              <w:pStyle w:val="9"/>
              <w:tabs>
                <w:tab w:val="left" w:pos="219"/>
              </w:tabs>
              <w:spacing w:line="202" w:lineRule="exact"/>
              <w:jc w:val="both"/>
              <w:rPr>
                <w:sz w:val="13"/>
                <w:szCs w:val="13"/>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064" w:hRule="atLeast"/>
        </w:trPr>
        <w:tc>
          <w:tcPr>
            <w:tcW w:w="281" w:type="dxa"/>
            <w:vMerge w:val="continue"/>
          </w:tcPr>
          <w:p>
            <w:pPr>
              <w:jc w:val="center"/>
              <w:rPr>
                <w:sz w:val="13"/>
                <w:szCs w:val="13"/>
              </w:rPr>
            </w:pPr>
          </w:p>
        </w:tc>
        <w:tc>
          <w:tcPr>
            <w:tcW w:w="499" w:type="dxa"/>
          </w:tcPr>
          <w:p>
            <w:pPr>
              <w:jc w:val="center"/>
              <w:rPr>
                <w:sz w:val="13"/>
                <w:szCs w:val="13"/>
              </w:rPr>
            </w:pPr>
          </w:p>
          <w:p>
            <w:pPr>
              <w:rPr>
                <w:sz w:val="13"/>
                <w:szCs w:val="13"/>
              </w:rPr>
            </w:pPr>
          </w:p>
          <w:p>
            <w:pPr>
              <w:rPr>
                <w:sz w:val="13"/>
                <w:szCs w:val="13"/>
              </w:rPr>
            </w:pPr>
          </w:p>
          <w:p>
            <w:pPr>
              <w:rPr>
                <w:sz w:val="13"/>
                <w:szCs w:val="13"/>
              </w:rPr>
            </w:pPr>
          </w:p>
          <w:p>
            <w:pPr>
              <w:rPr>
                <w:sz w:val="13"/>
                <w:szCs w:val="13"/>
              </w:rPr>
            </w:pPr>
          </w:p>
          <w:p>
            <w:pPr>
              <w:rPr>
                <w:sz w:val="13"/>
                <w:szCs w:val="13"/>
              </w:rPr>
            </w:pPr>
          </w:p>
          <w:p>
            <w:pPr>
              <w:rPr>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rPr>
                <w:sz w:val="13"/>
                <w:szCs w:val="13"/>
                <w:lang w:val="en-US"/>
              </w:rPr>
            </w:pPr>
            <w:r>
              <w:rPr>
                <w:rFonts w:ascii="Times New Roman"/>
                <w:sz w:val="13"/>
                <w:szCs w:val="13"/>
              </w:rPr>
              <w:t>CF0</w:t>
            </w:r>
            <w:r>
              <w:rPr>
                <w:rFonts w:hint="eastAsia" w:ascii="Times New Roman"/>
                <w:sz w:val="13"/>
                <w:szCs w:val="13"/>
                <w:lang w:val="en-US"/>
              </w:rPr>
              <w:t>17</w:t>
            </w:r>
          </w:p>
        </w:tc>
        <w:tc>
          <w:tcPr>
            <w:tcW w:w="582" w:type="dxa"/>
            <w:vMerge w:val="continue"/>
          </w:tcPr>
          <w:p>
            <w:pPr>
              <w:jc w:val="center"/>
              <w:rPr>
                <w:sz w:val="13"/>
                <w:szCs w:val="13"/>
              </w:rPr>
            </w:pPr>
          </w:p>
        </w:tc>
        <w:tc>
          <w:tcPr>
            <w:tcW w:w="997" w:type="dxa"/>
          </w:tcPr>
          <w:p>
            <w:pPr>
              <w:jc w:val="center"/>
              <w:rPr>
                <w:sz w:val="13"/>
                <w:szCs w:val="13"/>
              </w:rPr>
            </w:pPr>
          </w:p>
          <w:p>
            <w:pPr>
              <w:rPr>
                <w:sz w:val="13"/>
                <w:szCs w:val="13"/>
              </w:rPr>
            </w:pPr>
          </w:p>
          <w:p>
            <w:pPr>
              <w:rPr>
                <w:sz w:val="13"/>
                <w:szCs w:val="13"/>
              </w:rPr>
            </w:pPr>
          </w:p>
          <w:p>
            <w:pPr>
              <w:rPr>
                <w:sz w:val="13"/>
                <w:szCs w:val="13"/>
              </w:rPr>
            </w:pPr>
          </w:p>
          <w:p>
            <w:pPr>
              <w:rPr>
                <w:sz w:val="13"/>
                <w:szCs w:val="13"/>
              </w:rPr>
            </w:pPr>
          </w:p>
          <w:p>
            <w:pPr>
              <w:rPr>
                <w:sz w:val="13"/>
                <w:szCs w:val="13"/>
              </w:rPr>
            </w:pPr>
          </w:p>
          <w:p>
            <w:pPr>
              <w:rPr>
                <w:sz w:val="13"/>
                <w:szCs w:val="13"/>
              </w:rPr>
            </w:pPr>
          </w:p>
          <w:p>
            <w:pPr>
              <w:widowControl/>
              <w:rPr>
                <w:sz w:val="13"/>
                <w:szCs w:val="13"/>
              </w:rPr>
            </w:pPr>
            <w:r>
              <w:rPr>
                <w:color w:val="000000"/>
                <w:sz w:val="13"/>
                <w:szCs w:val="13"/>
                <w:lang w:val="en-US" w:bidi="ar"/>
              </w:rPr>
              <w:t xml:space="preserve">对有其他重大 </w:t>
            </w:r>
          </w:p>
          <w:p>
            <w:pPr>
              <w:widowControl/>
              <w:rPr>
                <w:sz w:val="13"/>
                <w:szCs w:val="13"/>
              </w:rPr>
            </w:pPr>
            <w:r>
              <w:rPr>
                <w:rFonts w:hint="eastAsia"/>
                <w:color w:val="000000"/>
                <w:sz w:val="13"/>
                <w:szCs w:val="13"/>
                <w:lang w:val="en-US" w:bidi="ar"/>
              </w:rPr>
              <w:t xml:space="preserve">安全生产隐患 </w:t>
            </w:r>
          </w:p>
          <w:p>
            <w:pPr>
              <w:widowControl/>
              <w:rPr>
                <w:sz w:val="13"/>
                <w:szCs w:val="13"/>
              </w:rPr>
            </w:pPr>
            <w:r>
              <w:rPr>
                <w:rFonts w:hint="eastAsia"/>
                <w:color w:val="000000"/>
                <w:sz w:val="13"/>
                <w:szCs w:val="13"/>
                <w:lang w:val="en-US" w:bidi="ar"/>
              </w:rPr>
              <w:t>的处罚</w:t>
            </w:r>
          </w:p>
          <w:p>
            <w:pPr>
              <w:jc w:val="center"/>
              <w:rPr>
                <w:sz w:val="13"/>
                <w:szCs w:val="13"/>
              </w:rPr>
            </w:pPr>
          </w:p>
        </w:tc>
        <w:tc>
          <w:tcPr>
            <w:tcW w:w="2597" w:type="dxa"/>
            <w:vMerge w:val="continue"/>
          </w:tcPr>
          <w:p>
            <w:pPr>
              <w:jc w:val="center"/>
            </w:pPr>
          </w:p>
        </w:tc>
        <w:tc>
          <w:tcPr>
            <w:tcW w:w="444" w:type="dxa"/>
            <w:vMerge w:val="continue"/>
          </w:tcPr>
          <w:p>
            <w:pPr>
              <w:jc w:val="center"/>
            </w:pPr>
          </w:p>
        </w:tc>
        <w:tc>
          <w:tcPr>
            <w:tcW w:w="744" w:type="dxa"/>
            <w:vMerge w:val="continue"/>
          </w:tcPr>
          <w:p>
            <w:pPr>
              <w:jc w:val="center"/>
            </w:pPr>
          </w:p>
        </w:tc>
        <w:tc>
          <w:tcPr>
            <w:tcW w:w="931" w:type="dxa"/>
            <w:vMerge w:val="continue"/>
          </w:tcPr>
          <w:p>
            <w:pPr>
              <w:jc w:val="center"/>
            </w:pPr>
          </w:p>
        </w:tc>
        <w:tc>
          <w:tcPr>
            <w:tcW w:w="462" w:type="dxa"/>
            <w:vMerge w:val="continue"/>
          </w:tcPr>
          <w:p>
            <w:pPr>
              <w:jc w:val="center"/>
            </w:pPr>
          </w:p>
        </w:tc>
        <w:tc>
          <w:tcPr>
            <w:tcW w:w="3911" w:type="dxa"/>
            <w:vMerge w:val="continue"/>
          </w:tcPr>
          <w:p>
            <w:pPr>
              <w:jc w:val="center"/>
            </w:pPr>
          </w:p>
        </w:tc>
        <w:tc>
          <w:tcPr>
            <w:tcW w:w="3483" w:type="dxa"/>
            <w:vMerge w:val="continue"/>
          </w:tcPr>
          <w:p>
            <w:pPr>
              <w:jc w:val="center"/>
            </w:pPr>
          </w:p>
        </w:tc>
      </w:tr>
    </w:tbl>
    <w:p/>
    <w:p/>
    <w:p>
      <w:pPr>
        <w:widowControl/>
        <w:jc w:val="both"/>
      </w:pPr>
    </w:p>
    <w:p>
      <w:pPr>
        <w:widowControl/>
        <w:jc w:val="both"/>
      </w:pPr>
    </w:p>
    <w:tbl>
      <w:tblPr>
        <w:tblStyle w:val="5"/>
        <w:tblW w:w="14931"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582"/>
        <w:gridCol w:w="889"/>
        <w:gridCol w:w="2705"/>
        <w:gridCol w:w="558"/>
        <w:gridCol w:w="798"/>
        <w:gridCol w:w="898"/>
        <w:gridCol w:w="533"/>
        <w:gridCol w:w="3705"/>
        <w:gridCol w:w="348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806" w:hRule="atLeast"/>
        </w:trPr>
        <w:tc>
          <w:tcPr>
            <w:tcW w:w="336" w:type="dxa"/>
          </w:tcPr>
          <w:p>
            <w:pPr>
              <w:pStyle w:val="9"/>
              <w:spacing w:line="230" w:lineRule="auto"/>
              <w:ind w:right="52"/>
              <w:rPr>
                <w:rFonts w:ascii="黑体" w:eastAsia="黑体"/>
                <w:b/>
                <w:sz w:val="18"/>
              </w:rPr>
            </w:pPr>
          </w:p>
          <w:p>
            <w:pPr>
              <w:rPr>
                <w:b/>
              </w:rPr>
            </w:pPr>
            <w:r>
              <w:rPr>
                <w:rFonts w:hint="eastAsia" w:ascii="黑体" w:hAnsi="黑体" w:eastAsia="黑体" w:cs="黑体"/>
                <w:b/>
                <w:sz w:val="18"/>
                <w:szCs w:val="18"/>
              </w:rPr>
              <w:t>序号</w:t>
            </w:r>
          </w:p>
          <w:p>
            <w:pPr>
              <w:rPr>
                <w:b/>
              </w:rPr>
            </w:pPr>
          </w:p>
        </w:tc>
        <w:tc>
          <w:tcPr>
            <w:tcW w:w="444" w:type="dxa"/>
          </w:tcPr>
          <w:p>
            <w:pPr>
              <w:pStyle w:val="9"/>
              <w:spacing w:before="2"/>
              <w:rPr>
                <w:rFonts w:ascii="Times New Roman"/>
                <w:b/>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471" w:type="dxa"/>
            <w:gridSpan w:val="2"/>
          </w:tcPr>
          <w:p>
            <w:pPr>
              <w:pStyle w:val="9"/>
              <w:spacing w:before="117"/>
              <w:rPr>
                <w:rFonts w:ascii="黑体" w:eastAsia="黑体"/>
                <w:b/>
                <w:sz w:val="10"/>
                <w:szCs w:val="10"/>
              </w:rPr>
            </w:pPr>
          </w:p>
          <w:p>
            <w:pPr>
              <w:pStyle w:val="9"/>
              <w:spacing w:before="117"/>
              <w:ind w:firstLine="361" w:firstLineChars="200"/>
              <w:rPr>
                <w:rFonts w:ascii="黑体" w:eastAsia="黑体"/>
                <w:b/>
                <w:sz w:val="18"/>
              </w:rPr>
            </w:pPr>
            <w:r>
              <w:rPr>
                <w:rFonts w:hint="eastAsia" w:ascii="黑体" w:eastAsia="黑体"/>
                <w:b/>
                <w:sz w:val="18"/>
              </w:rPr>
              <w:t>职权名称</w:t>
            </w:r>
          </w:p>
        </w:tc>
        <w:tc>
          <w:tcPr>
            <w:tcW w:w="2705" w:type="dxa"/>
          </w:tcPr>
          <w:p>
            <w:pPr>
              <w:pStyle w:val="9"/>
              <w:rPr>
                <w:rFonts w:ascii="Times New Roman"/>
                <w:b/>
                <w:sz w:val="18"/>
              </w:rPr>
            </w:pPr>
          </w:p>
          <w:p>
            <w:pPr>
              <w:pStyle w:val="9"/>
              <w:spacing w:before="140"/>
              <w:ind w:right="1120"/>
              <w:jc w:val="center"/>
              <w:rPr>
                <w:rFonts w:ascii="黑体" w:eastAsia="黑体"/>
                <w:b/>
                <w:sz w:val="18"/>
              </w:rPr>
            </w:pPr>
            <w:r>
              <w:rPr>
                <w:rFonts w:hint="eastAsia" w:ascii="黑体" w:eastAsia="黑体"/>
                <w:b/>
                <w:sz w:val="18"/>
                <w:lang w:val="en-US"/>
              </w:rPr>
              <w:t xml:space="preserve">         </w:t>
            </w:r>
            <w:r>
              <w:rPr>
                <w:rFonts w:hint="eastAsia" w:ascii="黑体" w:eastAsia="黑体"/>
                <w:b/>
                <w:sz w:val="18"/>
              </w:rPr>
              <w:t>实施依据</w:t>
            </w:r>
          </w:p>
        </w:tc>
        <w:tc>
          <w:tcPr>
            <w:tcW w:w="558" w:type="dxa"/>
          </w:tcPr>
          <w:p>
            <w:pPr>
              <w:pStyle w:val="9"/>
              <w:spacing w:before="2"/>
              <w:rPr>
                <w:rFonts w:ascii="Times New Roman"/>
                <w:b/>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98"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98" w:type="dxa"/>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533" w:type="dxa"/>
          </w:tcPr>
          <w:p>
            <w:pPr>
              <w:pStyle w:val="9"/>
              <w:spacing w:before="2"/>
              <w:rPr>
                <w:rFonts w:ascii="Times New Roman"/>
                <w:b/>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705" w:type="dxa"/>
          </w:tcPr>
          <w:p>
            <w:pPr>
              <w:pStyle w:val="9"/>
              <w:rPr>
                <w:rFonts w:ascii="Times New Roman"/>
                <w:b/>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483" w:type="dxa"/>
          </w:tcPr>
          <w:p>
            <w:pPr>
              <w:pStyle w:val="9"/>
              <w:rPr>
                <w:rFonts w:ascii="Times New Roman"/>
                <w:b/>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244" w:hRule="atLeast"/>
        </w:trPr>
        <w:tc>
          <w:tcPr>
            <w:tcW w:w="336" w:type="dxa"/>
            <w:vMerge w:val="restart"/>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jc w:val="center"/>
              <w:rPr>
                <w:rFonts w:ascii="Times New Roman"/>
                <w:sz w:val="13"/>
                <w:szCs w:val="13"/>
                <w:lang w:val="en-US"/>
              </w:rPr>
            </w:pPr>
          </w:p>
          <w:p>
            <w:pPr>
              <w:pStyle w:val="9"/>
              <w:jc w:val="center"/>
              <w:rPr>
                <w:rFonts w:ascii="Times New Roman"/>
                <w:sz w:val="13"/>
                <w:szCs w:val="13"/>
              </w:rPr>
            </w:pPr>
          </w:p>
          <w:p>
            <w:pPr>
              <w:pStyle w:val="9"/>
              <w:spacing w:before="112"/>
              <w:ind w:left="28"/>
              <w:jc w:val="center"/>
              <w:rPr>
                <w:rFonts w:ascii="Times New Roman"/>
                <w:sz w:val="13"/>
                <w:szCs w:val="13"/>
                <w:lang w:val="en-US"/>
              </w:rPr>
            </w:pPr>
            <w:r>
              <w:rPr>
                <w:rFonts w:hint="eastAsia" w:ascii="TimesNewRomanPSMT" w:hAnsi="TimesNewRomanPSMT" w:eastAsia="TimesNewRomanPSMT" w:cs="TimesNewRomanPSMT"/>
                <w:color w:val="000000"/>
                <w:sz w:val="13"/>
                <w:szCs w:val="13"/>
                <w:lang w:val="en-US" w:bidi="ar"/>
              </w:rPr>
              <w:t>6</w:t>
            </w:r>
          </w:p>
        </w:tc>
        <w:tc>
          <w:tcPr>
            <w:tcW w:w="444" w:type="dxa"/>
          </w:tcPr>
          <w:p>
            <w:pPr>
              <w:pStyle w:val="9"/>
              <w:jc w:val="both"/>
              <w:rPr>
                <w:rFonts w:ascii="Times New Roman"/>
                <w:sz w:val="13"/>
                <w:szCs w:val="13"/>
              </w:rPr>
            </w:pPr>
          </w:p>
          <w:p>
            <w:pPr>
              <w:pStyle w:val="9"/>
              <w:jc w:val="both"/>
              <w:rPr>
                <w:rFonts w:ascii="Times New Roman"/>
                <w:sz w:val="13"/>
                <w:szCs w:val="13"/>
              </w:rPr>
            </w:pPr>
          </w:p>
          <w:p>
            <w:pPr>
              <w:pStyle w:val="9"/>
              <w:jc w:val="both"/>
              <w:rPr>
                <w:rFonts w:ascii="Times New Roman"/>
                <w:sz w:val="13"/>
                <w:szCs w:val="13"/>
              </w:rPr>
            </w:pPr>
          </w:p>
          <w:p>
            <w:pPr>
              <w:pStyle w:val="9"/>
              <w:jc w:val="both"/>
              <w:rPr>
                <w:rFonts w:ascii="Times New Roman"/>
                <w:sz w:val="13"/>
                <w:szCs w:val="13"/>
              </w:rPr>
            </w:pPr>
          </w:p>
          <w:p>
            <w:pPr>
              <w:pStyle w:val="9"/>
              <w:jc w:val="both"/>
              <w:rPr>
                <w:rFonts w:ascii="Times New Roman"/>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pStyle w:val="9"/>
              <w:jc w:val="center"/>
              <w:rPr>
                <w:rFonts w:ascii="Times New Roman"/>
                <w:sz w:val="13"/>
                <w:szCs w:val="13"/>
                <w:lang w:val="en-US"/>
              </w:rPr>
            </w:pPr>
            <w:r>
              <w:rPr>
                <w:rFonts w:ascii="Times New Roman"/>
                <w:sz w:val="13"/>
                <w:szCs w:val="13"/>
              </w:rPr>
              <w:t>CF0</w:t>
            </w:r>
            <w:r>
              <w:rPr>
                <w:rFonts w:hint="eastAsia" w:ascii="Times New Roman"/>
                <w:sz w:val="13"/>
                <w:szCs w:val="13"/>
                <w:lang w:val="en-US"/>
              </w:rPr>
              <w:t>18</w:t>
            </w:r>
          </w:p>
          <w:p>
            <w:pPr>
              <w:pStyle w:val="9"/>
              <w:jc w:val="center"/>
              <w:rPr>
                <w:rFonts w:ascii="Times New Roman"/>
                <w:sz w:val="13"/>
                <w:szCs w:val="13"/>
              </w:rPr>
            </w:pPr>
          </w:p>
          <w:p>
            <w:pPr>
              <w:widowControl/>
              <w:rPr>
                <w:sz w:val="13"/>
                <w:szCs w:val="13"/>
              </w:rPr>
            </w:pPr>
          </w:p>
          <w:p>
            <w:pPr>
              <w:jc w:val="center"/>
              <w:rPr>
                <w:sz w:val="13"/>
                <w:szCs w:val="13"/>
              </w:rPr>
            </w:pPr>
          </w:p>
        </w:tc>
        <w:tc>
          <w:tcPr>
            <w:tcW w:w="582" w:type="dxa"/>
            <w:vMerge w:val="restart"/>
          </w:tcPr>
          <w:p>
            <w:pPr>
              <w:pStyle w:val="9"/>
              <w:rPr>
                <w:rFonts w:ascii="Times New Roman"/>
                <w:bCs/>
                <w:sz w:val="13"/>
                <w:szCs w:val="13"/>
              </w:rPr>
            </w:pPr>
          </w:p>
          <w:p>
            <w:pPr>
              <w:pStyle w:val="9"/>
              <w:jc w:val="center"/>
              <w:rPr>
                <w:rFonts w:ascii="Times New Roman"/>
                <w:bCs/>
                <w:sz w:val="13"/>
                <w:szCs w:val="13"/>
              </w:rPr>
            </w:pPr>
          </w:p>
          <w:p>
            <w:pPr>
              <w:widowControl/>
              <w:rPr>
                <w:bCs/>
                <w:color w:val="000000"/>
                <w:sz w:val="13"/>
                <w:szCs w:val="13"/>
                <w:lang w:val="en-US" w:bidi="ar"/>
              </w:rPr>
            </w:pPr>
          </w:p>
          <w:p>
            <w:pPr>
              <w:widowControl/>
              <w:rPr>
                <w:bCs/>
                <w:color w:val="000000"/>
                <w:sz w:val="13"/>
                <w:szCs w:val="13"/>
                <w:lang w:val="en-US" w:bidi="ar"/>
              </w:rPr>
            </w:pPr>
          </w:p>
          <w:p>
            <w:pPr>
              <w:widowControl/>
              <w:rPr>
                <w:bCs/>
                <w:color w:val="000000"/>
                <w:sz w:val="13"/>
                <w:szCs w:val="13"/>
                <w:lang w:val="en-US" w:bidi="ar"/>
              </w:rPr>
            </w:pPr>
          </w:p>
          <w:p>
            <w:pPr>
              <w:widowControl/>
              <w:rPr>
                <w:bCs/>
                <w:color w:val="000000"/>
                <w:sz w:val="13"/>
                <w:szCs w:val="13"/>
                <w:lang w:val="en-US" w:bidi="ar"/>
              </w:rPr>
            </w:pPr>
          </w:p>
          <w:p>
            <w:pPr>
              <w:widowControl/>
              <w:rPr>
                <w:bCs/>
                <w:color w:val="000000"/>
                <w:sz w:val="13"/>
                <w:szCs w:val="13"/>
                <w:lang w:val="en-US" w:bidi="ar"/>
              </w:rPr>
            </w:pPr>
          </w:p>
          <w:p>
            <w:pPr>
              <w:widowControl/>
              <w:rPr>
                <w:bCs/>
                <w:color w:val="000000"/>
                <w:sz w:val="13"/>
                <w:szCs w:val="13"/>
                <w:lang w:val="en-US" w:bidi="ar"/>
              </w:rPr>
            </w:pPr>
          </w:p>
          <w:p>
            <w:pPr>
              <w:widowControl/>
              <w:rPr>
                <w:bCs/>
                <w:color w:val="000000"/>
                <w:sz w:val="13"/>
                <w:szCs w:val="13"/>
                <w:lang w:val="en-US" w:bidi="ar"/>
              </w:rPr>
            </w:pPr>
          </w:p>
          <w:p>
            <w:pPr>
              <w:widowControl/>
              <w:rPr>
                <w:bCs/>
                <w:color w:val="000000"/>
                <w:sz w:val="13"/>
                <w:szCs w:val="13"/>
                <w:lang w:val="en-US" w:bidi="ar"/>
              </w:rPr>
            </w:pPr>
          </w:p>
          <w:p>
            <w:pPr>
              <w:widowControl/>
              <w:rPr>
                <w:bCs/>
                <w:color w:val="000000"/>
                <w:sz w:val="13"/>
                <w:szCs w:val="13"/>
                <w:lang w:val="en-US" w:bidi="ar"/>
              </w:rPr>
            </w:pPr>
          </w:p>
          <w:p>
            <w:pPr>
              <w:widowControl/>
              <w:rPr>
                <w:bCs/>
                <w:color w:val="000000"/>
                <w:sz w:val="13"/>
                <w:szCs w:val="13"/>
                <w:lang w:val="en-US" w:bidi="ar"/>
              </w:rPr>
            </w:pPr>
          </w:p>
          <w:p>
            <w:pPr>
              <w:widowControl/>
              <w:rPr>
                <w:bCs/>
                <w:color w:val="000000"/>
                <w:sz w:val="13"/>
                <w:szCs w:val="13"/>
                <w:lang w:val="en-US" w:bidi="ar"/>
              </w:rPr>
            </w:pPr>
          </w:p>
          <w:p>
            <w:pPr>
              <w:pStyle w:val="9"/>
              <w:spacing w:line="192" w:lineRule="auto"/>
              <w:ind w:left="32" w:right="39"/>
              <w:jc w:val="both"/>
              <w:rPr>
                <w:bCs/>
                <w:sz w:val="13"/>
                <w:szCs w:val="13"/>
              </w:rPr>
            </w:pPr>
          </w:p>
          <w:p>
            <w:pPr>
              <w:widowControl/>
              <w:rPr>
                <w:bCs/>
                <w:sz w:val="13"/>
                <w:szCs w:val="13"/>
              </w:rPr>
            </w:pPr>
            <w:r>
              <w:rPr>
                <w:bCs/>
                <w:color w:val="000000"/>
                <w:sz w:val="13"/>
                <w:szCs w:val="13"/>
                <w:lang w:val="en-US" w:bidi="ar"/>
              </w:rPr>
              <w:t xml:space="preserve">对煤矿未建 </w:t>
            </w:r>
            <w:r>
              <w:rPr>
                <w:rFonts w:hint="eastAsia"/>
                <w:bCs/>
                <w:color w:val="000000"/>
                <w:sz w:val="13"/>
                <w:szCs w:val="13"/>
                <w:lang w:val="en-US" w:bidi="ar"/>
              </w:rPr>
              <w:t xml:space="preserve">立领导带班下井等安全 </w:t>
            </w:r>
          </w:p>
          <w:p>
            <w:pPr>
              <w:widowControl/>
              <w:rPr>
                <w:bCs/>
                <w:sz w:val="13"/>
                <w:szCs w:val="13"/>
              </w:rPr>
            </w:pPr>
            <w:r>
              <w:rPr>
                <w:rFonts w:hint="eastAsia"/>
                <w:bCs/>
                <w:color w:val="000000"/>
                <w:sz w:val="13"/>
                <w:szCs w:val="13"/>
                <w:lang w:val="en-US" w:bidi="ar"/>
              </w:rPr>
              <w:t>监督检查制 度的处罚</w:t>
            </w:r>
          </w:p>
          <w:p>
            <w:pPr>
              <w:pStyle w:val="9"/>
              <w:spacing w:line="192" w:lineRule="auto"/>
              <w:ind w:left="32" w:right="39"/>
              <w:jc w:val="both"/>
              <w:rPr>
                <w:bCs/>
                <w:sz w:val="13"/>
                <w:szCs w:val="13"/>
              </w:rPr>
            </w:pPr>
          </w:p>
        </w:tc>
        <w:tc>
          <w:tcPr>
            <w:tcW w:w="889" w:type="dxa"/>
          </w:tcPr>
          <w:p>
            <w:pPr>
              <w:widowControl/>
              <w:rPr>
                <w:bCs/>
                <w:sz w:val="13"/>
                <w:szCs w:val="13"/>
              </w:rPr>
            </w:pPr>
            <w:r>
              <w:rPr>
                <w:bCs/>
                <w:color w:val="000000"/>
                <w:sz w:val="13"/>
                <w:szCs w:val="13"/>
                <w:lang w:val="en-US" w:bidi="ar"/>
              </w:rPr>
              <w:t xml:space="preserve">对未建立健全煤 </w:t>
            </w:r>
            <w:r>
              <w:rPr>
                <w:rFonts w:hint="eastAsia"/>
                <w:bCs/>
                <w:color w:val="000000"/>
                <w:sz w:val="13"/>
                <w:szCs w:val="13"/>
                <w:lang w:val="en-US" w:bidi="ar"/>
              </w:rPr>
              <w:t xml:space="preserve">矿领导带班下井 制度，或者未按 规定报煤炭行业 管理部门备案和 抄送煤矿安全监 </w:t>
            </w:r>
          </w:p>
          <w:p>
            <w:pPr>
              <w:widowControl/>
              <w:rPr>
                <w:rFonts w:ascii="Times New Roman"/>
                <w:bCs/>
                <w:sz w:val="13"/>
                <w:szCs w:val="13"/>
              </w:rPr>
            </w:pPr>
            <w:r>
              <w:rPr>
                <w:rFonts w:hint="eastAsia"/>
                <w:bCs/>
                <w:color w:val="000000"/>
                <w:sz w:val="13"/>
                <w:szCs w:val="13"/>
                <w:lang w:val="en-US" w:bidi="ar"/>
              </w:rPr>
              <w:t>管部门、煤矿安 全监察机构的处 罚</w:t>
            </w:r>
          </w:p>
        </w:tc>
        <w:tc>
          <w:tcPr>
            <w:tcW w:w="2705"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 xml:space="preserve">《煤矿领导带班下井及安全监督检查规定》第十 </w:t>
            </w:r>
            <w:r>
              <w:rPr>
                <w:rFonts w:hint="eastAsia"/>
                <w:color w:val="000000"/>
                <w:sz w:val="13"/>
                <w:szCs w:val="13"/>
                <w:lang w:val="en-US" w:bidi="ar"/>
              </w:rPr>
              <w:t>八条 煤矿有下列情形之一的，给予警告，并处</w:t>
            </w:r>
            <w:r>
              <w:rPr>
                <w:rFonts w:ascii="TimesNewRomanPSMT" w:hAnsi="TimesNewRomanPSMT" w:eastAsia="TimesNewRomanPSMT" w:cs="TimesNewRomanPSMT"/>
                <w:color w:val="000000"/>
                <w:sz w:val="13"/>
                <w:szCs w:val="13"/>
                <w:lang w:val="en-US" w:bidi="ar"/>
              </w:rPr>
              <w:t xml:space="preserve">3 </w:t>
            </w:r>
            <w:r>
              <w:rPr>
                <w:rFonts w:hint="eastAsia"/>
                <w:color w:val="000000"/>
                <w:sz w:val="13"/>
                <w:szCs w:val="13"/>
                <w:lang w:val="en-US" w:bidi="ar"/>
              </w:rPr>
              <w:t>万元罚款；对煤矿主要负责人处</w:t>
            </w:r>
            <w:r>
              <w:rPr>
                <w:rFonts w:ascii="TimesNewRomanPSMT" w:hAnsi="TimesNewRomanPSMT" w:eastAsia="TimesNewRomanPSMT" w:cs="TimesNewRomanPSMT"/>
                <w:color w:val="000000"/>
                <w:sz w:val="13"/>
                <w:szCs w:val="13"/>
                <w:lang w:val="en-US" w:bidi="ar"/>
              </w:rPr>
              <w:t>1</w:t>
            </w:r>
            <w:r>
              <w:rPr>
                <w:rFonts w:hint="eastAsia"/>
                <w:color w:val="000000"/>
                <w:sz w:val="13"/>
                <w:szCs w:val="13"/>
                <w:lang w:val="en-US" w:bidi="ar"/>
              </w:rPr>
              <w:t>万元罚款： （一）未建立健全煤矿领导带班下井制度，或者 未按规定报煤炭行业管理部门备案和抄送煤矿安 全监管部门、煤矿安全监察机构的； （二）未建 立煤矿领导井下交接班制度的； （三）未建立煤 矿领导带班下井档案管理制度的； （四）煤矿领 导每月带班下井情况未按照规定公示的； （五） 未按规定填写煤矿领导下井交接班记录簿、带班 下井记录或者保存带班下井相关记录档案的。</w:t>
            </w:r>
          </w:p>
          <w:p>
            <w:pPr>
              <w:pStyle w:val="9"/>
              <w:spacing w:before="126" w:line="189" w:lineRule="auto"/>
              <w:ind w:left="33" w:right="62"/>
              <w:jc w:val="both"/>
              <w:rPr>
                <w:sz w:val="13"/>
                <w:szCs w:val="13"/>
              </w:rPr>
            </w:pPr>
          </w:p>
        </w:tc>
        <w:tc>
          <w:tcPr>
            <w:tcW w:w="558"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煤矿</w:t>
            </w:r>
          </w:p>
          <w:p>
            <w:pPr>
              <w:widowControl/>
              <w:rPr>
                <w:sz w:val="13"/>
                <w:szCs w:val="13"/>
              </w:rPr>
            </w:pPr>
            <w:r>
              <w:rPr>
                <w:rFonts w:hint="eastAsia"/>
                <w:color w:val="000000"/>
                <w:sz w:val="13"/>
                <w:szCs w:val="13"/>
                <w:lang w:val="en-US" w:bidi="ar"/>
              </w:rPr>
              <w:t>企业</w:t>
            </w:r>
          </w:p>
          <w:p>
            <w:pPr>
              <w:pStyle w:val="9"/>
              <w:rPr>
                <w:rFonts w:ascii="Times New Roman"/>
                <w:sz w:val="13"/>
                <w:szCs w:val="13"/>
              </w:rPr>
            </w:pPr>
          </w:p>
          <w:p>
            <w:pPr>
              <w:pStyle w:val="9"/>
              <w:spacing w:line="192" w:lineRule="auto"/>
              <w:ind w:left="83" w:right="23"/>
              <w:rPr>
                <w:sz w:val="13"/>
                <w:szCs w:val="13"/>
              </w:rPr>
            </w:pPr>
          </w:p>
        </w:tc>
        <w:tc>
          <w:tcPr>
            <w:tcW w:w="798"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jc w:val="center"/>
              <w:rPr>
                <w:rFonts w:ascii="Times New Roman"/>
                <w:sz w:val="13"/>
                <w:szCs w:val="13"/>
              </w:rPr>
            </w:pPr>
          </w:p>
          <w:p>
            <w:pPr>
              <w:pStyle w:val="9"/>
              <w:spacing w:before="7"/>
              <w:ind w:left="97" w:right="66"/>
              <w:jc w:val="center"/>
              <w:rPr>
                <w:rFonts w:ascii="Times New Roman" w:eastAsia="Times New Roman"/>
                <w:sz w:val="13"/>
                <w:szCs w:val="13"/>
              </w:rPr>
            </w:pPr>
            <w:r>
              <w:rPr>
                <w:rFonts w:hint="eastAsia"/>
                <w:color w:val="000000"/>
                <w:sz w:val="13"/>
                <w:szCs w:val="13"/>
                <w:lang w:val="en-US" w:bidi="ar"/>
              </w:rPr>
              <w:t>安全科3311262</w:t>
            </w:r>
          </w:p>
        </w:tc>
        <w:tc>
          <w:tcPr>
            <w:tcW w:w="898"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9"/>
              <w:rPr>
                <w:rFonts w:ascii="Times New Roman"/>
                <w:sz w:val="13"/>
                <w:szCs w:val="13"/>
              </w:rPr>
            </w:pPr>
          </w:p>
          <w:p>
            <w:pPr>
              <w:pStyle w:val="9"/>
              <w:spacing w:before="9"/>
              <w:rPr>
                <w:rFonts w:ascii="Times New Roman"/>
                <w:sz w:val="13"/>
                <w:szCs w:val="13"/>
              </w:rPr>
            </w:pPr>
          </w:p>
          <w:p>
            <w:pPr>
              <w:pStyle w:val="9"/>
              <w:spacing w:before="9"/>
              <w:rPr>
                <w:rFonts w:ascii="Times New Roman"/>
                <w:sz w:val="13"/>
                <w:szCs w:val="13"/>
              </w:rPr>
            </w:pPr>
          </w:p>
          <w:p>
            <w:pPr>
              <w:pStyle w:val="9"/>
              <w:spacing w:before="9"/>
              <w:rPr>
                <w:rFonts w:ascii="Times New Roman"/>
                <w:sz w:val="13"/>
                <w:szCs w:val="13"/>
              </w:rPr>
            </w:pPr>
          </w:p>
          <w:p>
            <w:pPr>
              <w:pStyle w:val="9"/>
              <w:ind w:left="32"/>
              <w:jc w:val="center"/>
              <w:rPr>
                <w:sz w:val="13"/>
                <w:szCs w:val="13"/>
              </w:rPr>
            </w:pPr>
            <w:r>
              <w:rPr>
                <w:w w:val="102"/>
                <w:sz w:val="13"/>
                <w:szCs w:val="13"/>
              </w:rPr>
              <w:t>无</w:t>
            </w:r>
          </w:p>
        </w:tc>
        <w:tc>
          <w:tcPr>
            <w:tcW w:w="533" w:type="dxa"/>
            <w:vMerge w:val="restart"/>
          </w:tcPr>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米东区发改委（工信局）</w:t>
            </w:r>
          </w:p>
          <w:p>
            <w:pPr>
              <w:widowControl/>
              <w:rPr>
                <w:sz w:val="13"/>
                <w:szCs w:val="13"/>
              </w:rPr>
            </w:pPr>
          </w:p>
        </w:tc>
        <w:tc>
          <w:tcPr>
            <w:tcW w:w="3705" w:type="dxa"/>
            <w:vMerge w:val="restart"/>
            <w:vAlign w:val="center"/>
          </w:tcPr>
          <w:p>
            <w:pPr>
              <w:widowControl/>
              <w:jc w:val="both"/>
              <w:rPr>
                <w:sz w:val="16"/>
                <w:szCs w:val="16"/>
              </w:rPr>
            </w:pPr>
            <w:r>
              <w:rPr>
                <w:rFonts w:ascii="TimesNewRomanPSMT" w:hAnsi="TimesNewRomanPSMT" w:eastAsia="TimesNewRomanPSMT" w:cs="TimesNewRomanPSMT"/>
                <w:color w:val="000000"/>
                <w:sz w:val="16"/>
                <w:szCs w:val="16"/>
                <w:lang w:val="en-US" w:bidi="ar"/>
              </w:rPr>
              <w:t>1.</w:t>
            </w:r>
            <w:r>
              <w:rPr>
                <w:color w:val="000000"/>
                <w:sz w:val="16"/>
                <w:szCs w:val="16"/>
                <w:lang w:val="en-US" w:bidi="ar"/>
              </w:rPr>
              <w:t>立案责任：按照立案条件在规定期限内进行审查</w:t>
            </w:r>
          </w:p>
          <w:p>
            <w:pPr>
              <w:widowControl/>
              <w:jc w:val="both"/>
              <w:rPr>
                <w:sz w:val="16"/>
                <w:szCs w:val="16"/>
              </w:rPr>
            </w:pPr>
            <w:r>
              <w:rPr>
                <w:rFonts w:hint="eastAsia"/>
                <w:color w:val="000000"/>
                <w:sz w:val="16"/>
                <w:szCs w:val="16"/>
                <w:lang w:val="en-US" w:bidi="ar"/>
              </w:rPr>
              <w:t>并决定是否立案（不予立案应当告知理由）；对需要补充材料的，应当场一次性告知。</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调查责任：对违法违规行为进行调查，依法收集整理证据材料；执法人员不得少于两人，调查时应出示执法身份证件，允许当事人陈述申辩，并严格执行监察回避制度。</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审查责任：应当对案件违法事实、证据、调查取证程序、法律适用、处罚种类和幅度以及当事人陈述申辩理由等方面进行审查，并提出处理意见。对情节复杂或者重大违法行为给予较重的行政处罚，由市工信局（大数据发展局）局务会研究提出审查意见。</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告知责任：在做出行政处罚决定前，应书面告知当事人违法事实及其享有的陈述、申辩、要求听证等权利。</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决定责任：决定给予行政处罚的，应制作《行政处罚决定书》，载明违法事实和证据、处罚依据和内容、申请行政复议或提起行政诉讼的途径和期限等。</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送达责任：《行政处罚决定书》应在规定期限内依法送达当事人。</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执行责任：监督当事人在规定的期限内履行生效的行政处罚决定。当事人在法定期限内既不申请行政复议或者提起行政诉讼，又不履行处罚决定的，可依法向人民法院申请强制执行等措施。</w:t>
            </w:r>
          </w:p>
          <w:p>
            <w:pPr>
              <w:pStyle w:val="9"/>
              <w:tabs>
                <w:tab w:val="left" w:pos="146"/>
              </w:tabs>
              <w:spacing w:line="205" w:lineRule="exact"/>
              <w:ind w:left="32"/>
              <w:jc w:val="both"/>
              <w:rPr>
                <w:sz w:val="13"/>
                <w:szCs w:val="13"/>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其他法律法规政策规定应履行的责任。</w:t>
            </w:r>
          </w:p>
        </w:tc>
        <w:tc>
          <w:tcPr>
            <w:tcW w:w="3483" w:type="dxa"/>
            <w:vMerge w:val="restart"/>
            <w:vAlign w:val="center"/>
          </w:tcPr>
          <w:p>
            <w:pPr>
              <w:widowControl/>
              <w:jc w:val="both"/>
              <w:rPr>
                <w:sz w:val="16"/>
                <w:szCs w:val="16"/>
              </w:rPr>
            </w:pPr>
            <w:r>
              <w:rPr>
                <w:color w:val="000000"/>
                <w:sz w:val="16"/>
                <w:szCs w:val="16"/>
                <w:lang w:val="en-US" w:bidi="ar"/>
              </w:rPr>
              <w:t xml:space="preserve">行政主管部门及其工作人员有下列行为之一 </w:t>
            </w:r>
            <w:r>
              <w:rPr>
                <w:rFonts w:hint="eastAsia"/>
                <w:color w:val="000000"/>
                <w:sz w:val="16"/>
                <w:szCs w:val="16"/>
                <w:lang w:val="en-US" w:bidi="ar"/>
              </w:rPr>
              <w:t xml:space="preserve">的，对直接负责的主管人员和其他直接责任人 员，依法给予处分；构成犯罪的，依法追究刑 事责任： </w:t>
            </w:r>
          </w:p>
          <w:p>
            <w:pPr>
              <w:widowControl/>
              <w:jc w:val="both"/>
              <w:rPr>
                <w:sz w:val="16"/>
                <w:szCs w:val="16"/>
              </w:rPr>
            </w:pPr>
            <w:r>
              <w:rPr>
                <w:rFonts w:ascii="TimesNewRomanPSMT" w:hAnsi="TimesNewRomanPSMT" w:eastAsia="TimesNewRomanPSMT" w:cs="TimesNewRomanPSMT"/>
                <w:color w:val="000000"/>
                <w:sz w:val="16"/>
                <w:szCs w:val="16"/>
                <w:lang w:val="en-US" w:bidi="ar"/>
              </w:rPr>
              <w:t>1.</w:t>
            </w:r>
            <w:r>
              <w:rPr>
                <w:rFonts w:hint="eastAsia"/>
                <w:color w:val="000000"/>
                <w:sz w:val="16"/>
                <w:szCs w:val="16"/>
                <w:lang w:val="en-US" w:bidi="ar"/>
              </w:rPr>
              <w:t xml:space="preserve">执法人员玩忽职守，对应当予以制止和处罚的 违法行为不予制止、处罚，致使国家资源遭受 损害的； </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 xml:space="preserve">不依法受理举报、投诉或者受理后未在法定期限内处理的； </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 xml:space="preserve">对符合立案条件而不予立案的； </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 xml:space="preserve">对不符合立案条件而立案调查的； </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 xml:space="preserve">没有法定的行政处罚依据的； </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 xml:space="preserve">违反法定的行政处罚程序的； </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 xml:space="preserve">擅自改变行政处罚种类、幅度的； </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 xml:space="preserve">对当事人进行处罚不使用罚款、没收财物单据或者使用非法定部门制发的罚款、没收财物单据的； </w:t>
            </w:r>
          </w:p>
          <w:p>
            <w:pPr>
              <w:widowControl/>
              <w:jc w:val="both"/>
              <w:rPr>
                <w:sz w:val="16"/>
                <w:szCs w:val="16"/>
              </w:rPr>
            </w:pPr>
            <w:r>
              <w:rPr>
                <w:rFonts w:ascii="TimesNewRomanPSMT" w:hAnsi="TimesNewRomanPSMT" w:eastAsia="TimesNewRomanPSMT" w:cs="TimesNewRomanPSMT"/>
                <w:color w:val="000000"/>
                <w:sz w:val="16"/>
                <w:szCs w:val="16"/>
                <w:lang w:val="en-US" w:bidi="ar"/>
              </w:rPr>
              <w:t>9.</w:t>
            </w:r>
            <w:r>
              <w:rPr>
                <w:rFonts w:hint="eastAsia"/>
                <w:color w:val="000000"/>
                <w:sz w:val="16"/>
                <w:szCs w:val="16"/>
                <w:lang w:val="en-US" w:bidi="ar"/>
              </w:rPr>
              <w:t xml:space="preserve">违反法律规定自行收缴罚款的； </w:t>
            </w:r>
          </w:p>
          <w:p>
            <w:pPr>
              <w:widowControl/>
              <w:jc w:val="both"/>
              <w:rPr>
                <w:sz w:val="16"/>
                <w:szCs w:val="16"/>
              </w:rPr>
            </w:pPr>
            <w:r>
              <w:rPr>
                <w:rFonts w:ascii="TimesNewRomanPSMT" w:hAnsi="TimesNewRomanPSMT" w:eastAsia="TimesNewRomanPSMT" w:cs="TimesNewRomanPSMT"/>
                <w:color w:val="000000"/>
                <w:sz w:val="16"/>
                <w:szCs w:val="16"/>
                <w:lang w:val="en-US" w:bidi="ar"/>
              </w:rPr>
              <w:t>10.</w:t>
            </w:r>
            <w:r>
              <w:rPr>
                <w:rFonts w:hint="eastAsia"/>
                <w:color w:val="000000"/>
                <w:sz w:val="16"/>
                <w:szCs w:val="16"/>
                <w:lang w:val="en-US" w:bidi="ar"/>
              </w:rPr>
              <w:t xml:space="preserve">将罚款、没收的违法所得或者财物截留、私分或者变相私分的； </w:t>
            </w:r>
          </w:p>
          <w:p>
            <w:pPr>
              <w:widowControl/>
              <w:jc w:val="both"/>
              <w:rPr>
                <w:sz w:val="16"/>
                <w:szCs w:val="16"/>
              </w:rPr>
            </w:pPr>
            <w:r>
              <w:rPr>
                <w:rFonts w:ascii="TimesNewRomanPSMT" w:hAnsi="TimesNewRomanPSMT" w:eastAsia="TimesNewRomanPSMT" w:cs="TimesNewRomanPSMT"/>
                <w:color w:val="000000"/>
                <w:sz w:val="16"/>
                <w:szCs w:val="16"/>
                <w:lang w:val="en-US" w:bidi="ar"/>
              </w:rPr>
              <w:t>11.</w:t>
            </w:r>
            <w:r>
              <w:rPr>
                <w:rFonts w:hint="eastAsia"/>
                <w:color w:val="000000"/>
                <w:sz w:val="16"/>
                <w:szCs w:val="16"/>
                <w:lang w:val="en-US" w:bidi="ar"/>
              </w:rPr>
              <w:t xml:space="preserve">为牟取本单位私利，对应当移交司法机关追究刑事责任的不移交，以行政处罚代替刑罚； </w:t>
            </w:r>
          </w:p>
          <w:p>
            <w:pPr>
              <w:widowControl/>
              <w:jc w:val="both"/>
              <w:rPr>
                <w:sz w:val="16"/>
                <w:szCs w:val="16"/>
              </w:rPr>
            </w:pPr>
            <w:r>
              <w:rPr>
                <w:rFonts w:ascii="TimesNewRomanPSMT" w:hAnsi="TimesNewRomanPSMT" w:eastAsia="TimesNewRomanPSMT" w:cs="TimesNewRomanPSMT"/>
                <w:color w:val="000000"/>
                <w:sz w:val="16"/>
                <w:szCs w:val="16"/>
                <w:lang w:val="en-US" w:bidi="ar"/>
              </w:rPr>
              <w:t>12.</w:t>
            </w:r>
            <w:r>
              <w:rPr>
                <w:rFonts w:hint="eastAsia"/>
                <w:color w:val="000000"/>
                <w:sz w:val="16"/>
                <w:szCs w:val="16"/>
                <w:lang w:val="en-US" w:bidi="ar"/>
              </w:rPr>
              <w:t>其他法律、法规、规章、文件规定的行为。</w:t>
            </w:r>
          </w:p>
          <w:p>
            <w:pPr>
              <w:pStyle w:val="9"/>
              <w:tabs>
                <w:tab w:val="left" w:pos="219"/>
              </w:tabs>
              <w:spacing w:line="202" w:lineRule="exact"/>
              <w:jc w:val="both"/>
              <w:rPr>
                <w:sz w:val="13"/>
                <w:szCs w:val="13"/>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002" w:hRule="atLeast"/>
        </w:trPr>
        <w:tc>
          <w:tcPr>
            <w:tcW w:w="336" w:type="dxa"/>
            <w:vMerge w:val="continue"/>
          </w:tcPr>
          <w:p>
            <w:pPr>
              <w:jc w:val="center"/>
              <w:rPr>
                <w:sz w:val="13"/>
                <w:szCs w:val="13"/>
              </w:rPr>
            </w:pPr>
          </w:p>
        </w:tc>
        <w:tc>
          <w:tcPr>
            <w:tcW w:w="444" w:type="dxa"/>
          </w:tcPr>
          <w:p>
            <w:pPr>
              <w:widowControl/>
              <w:rPr>
                <w:rFonts w:ascii="TimesNewRomanPSMT" w:hAnsi="TimesNewRomanPSMT" w:eastAsia="TimesNewRomanPSMT" w:cs="TimesNewRomanPSMT"/>
                <w:color w:val="000000"/>
                <w:sz w:val="13"/>
                <w:szCs w:val="13"/>
                <w:lang w:val="en-US" w:bidi="ar"/>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jc w:val="center"/>
              <w:rPr>
                <w:sz w:val="13"/>
                <w:szCs w:val="13"/>
                <w:lang w:val="en-US"/>
              </w:rPr>
            </w:pPr>
            <w:r>
              <w:rPr>
                <w:rFonts w:ascii="Times New Roman"/>
                <w:sz w:val="13"/>
                <w:szCs w:val="13"/>
              </w:rPr>
              <w:t>CF0</w:t>
            </w:r>
            <w:r>
              <w:rPr>
                <w:rFonts w:hint="eastAsia" w:ascii="Times New Roman"/>
                <w:sz w:val="13"/>
                <w:szCs w:val="13"/>
                <w:lang w:val="en-US"/>
              </w:rPr>
              <w:t>19</w:t>
            </w:r>
          </w:p>
        </w:tc>
        <w:tc>
          <w:tcPr>
            <w:tcW w:w="582" w:type="dxa"/>
            <w:vMerge w:val="continue"/>
          </w:tcPr>
          <w:p>
            <w:pPr>
              <w:jc w:val="center"/>
              <w:rPr>
                <w:sz w:val="13"/>
                <w:szCs w:val="13"/>
              </w:rPr>
            </w:pPr>
          </w:p>
        </w:tc>
        <w:tc>
          <w:tcPr>
            <w:tcW w:w="889" w:type="dxa"/>
          </w:tcPr>
          <w:p>
            <w:pPr>
              <w:widowControl/>
              <w:rPr>
                <w:sz w:val="13"/>
                <w:szCs w:val="13"/>
              </w:rPr>
            </w:pPr>
            <w:r>
              <w:rPr>
                <w:color w:val="000000"/>
                <w:sz w:val="13"/>
                <w:szCs w:val="13"/>
                <w:lang w:val="en-US" w:bidi="ar"/>
              </w:rPr>
              <w:t xml:space="preserve">对未建立煤矿 </w:t>
            </w:r>
          </w:p>
          <w:p>
            <w:pPr>
              <w:widowControl/>
              <w:rPr>
                <w:sz w:val="13"/>
                <w:szCs w:val="13"/>
              </w:rPr>
            </w:pPr>
            <w:r>
              <w:rPr>
                <w:rFonts w:hint="eastAsia"/>
                <w:color w:val="000000"/>
                <w:sz w:val="13"/>
                <w:szCs w:val="13"/>
                <w:lang w:val="en-US" w:bidi="ar"/>
              </w:rPr>
              <w:t xml:space="preserve">领导井下交接 </w:t>
            </w:r>
          </w:p>
          <w:p>
            <w:pPr>
              <w:widowControl/>
              <w:rPr>
                <w:sz w:val="13"/>
                <w:szCs w:val="13"/>
              </w:rPr>
            </w:pPr>
            <w:r>
              <w:rPr>
                <w:rFonts w:hint="eastAsia"/>
                <w:color w:val="000000"/>
                <w:sz w:val="13"/>
                <w:szCs w:val="13"/>
                <w:lang w:val="en-US" w:bidi="ar"/>
              </w:rPr>
              <w:t xml:space="preserve">班制度的的处 </w:t>
            </w:r>
          </w:p>
          <w:p>
            <w:pPr>
              <w:widowControl/>
              <w:rPr>
                <w:sz w:val="13"/>
                <w:szCs w:val="13"/>
              </w:rPr>
            </w:pPr>
            <w:r>
              <w:rPr>
                <w:rFonts w:hint="eastAsia"/>
                <w:color w:val="000000"/>
                <w:sz w:val="13"/>
                <w:szCs w:val="13"/>
                <w:lang w:val="en-US" w:bidi="ar"/>
              </w:rPr>
              <w:t>罚</w:t>
            </w:r>
          </w:p>
        </w:tc>
        <w:tc>
          <w:tcPr>
            <w:tcW w:w="2705" w:type="dxa"/>
            <w:vMerge w:val="continue"/>
          </w:tcPr>
          <w:p>
            <w:pPr>
              <w:jc w:val="center"/>
            </w:pPr>
          </w:p>
        </w:tc>
        <w:tc>
          <w:tcPr>
            <w:tcW w:w="558" w:type="dxa"/>
            <w:vMerge w:val="continue"/>
          </w:tcPr>
          <w:p>
            <w:pPr>
              <w:jc w:val="center"/>
            </w:pPr>
          </w:p>
        </w:tc>
        <w:tc>
          <w:tcPr>
            <w:tcW w:w="798" w:type="dxa"/>
            <w:vMerge w:val="continue"/>
          </w:tcPr>
          <w:p>
            <w:pPr>
              <w:jc w:val="center"/>
            </w:pPr>
          </w:p>
        </w:tc>
        <w:tc>
          <w:tcPr>
            <w:tcW w:w="898" w:type="dxa"/>
            <w:vMerge w:val="continue"/>
          </w:tcPr>
          <w:p>
            <w:pPr>
              <w:jc w:val="center"/>
            </w:pPr>
          </w:p>
        </w:tc>
        <w:tc>
          <w:tcPr>
            <w:tcW w:w="533" w:type="dxa"/>
            <w:vMerge w:val="continue"/>
          </w:tcPr>
          <w:p>
            <w:pPr>
              <w:jc w:val="center"/>
            </w:pPr>
          </w:p>
        </w:tc>
        <w:tc>
          <w:tcPr>
            <w:tcW w:w="3705" w:type="dxa"/>
            <w:vMerge w:val="continue"/>
          </w:tcPr>
          <w:p>
            <w:pPr>
              <w:jc w:val="center"/>
            </w:pPr>
          </w:p>
        </w:tc>
        <w:tc>
          <w:tcPr>
            <w:tcW w:w="3483" w:type="dxa"/>
            <w:vMerge w:val="continue"/>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013" w:hRule="atLeast"/>
        </w:trPr>
        <w:tc>
          <w:tcPr>
            <w:tcW w:w="336" w:type="dxa"/>
            <w:vMerge w:val="continue"/>
          </w:tcPr>
          <w:p>
            <w:pPr>
              <w:jc w:val="center"/>
              <w:rPr>
                <w:sz w:val="13"/>
                <w:szCs w:val="13"/>
              </w:rPr>
            </w:pPr>
          </w:p>
        </w:tc>
        <w:tc>
          <w:tcPr>
            <w:tcW w:w="444" w:type="dxa"/>
          </w:tcPr>
          <w:p>
            <w:pPr>
              <w:pStyle w:val="9"/>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jc w:val="center"/>
              <w:rPr>
                <w:sz w:val="13"/>
                <w:szCs w:val="13"/>
                <w:lang w:val="en-US"/>
              </w:rPr>
            </w:pPr>
            <w:r>
              <w:rPr>
                <w:rFonts w:ascii="Times New Roman"/>
                <w:sz w:val="13"/>
                <w:szCs w:val="13"/>
              </w:rPr>
              <w:t>CF0</w:t>
            </w:r>
            <w:r>
              <w:rPr>
                <w:rFonts w:hint="eastAsia" w:ascii="Times New Roman"/>
                <w:sz w:val="13"/>
                <w:szCs w:val="13"/>
                <w:lang w:val="en-US"/>
              </w:rPr>
              <w:t>20</w:t>
            </w:r>
          </w:p>
        </w:tc>
        <w:tc>
          <w:tcPr>
            <w:tcW w:w="582" w:type="dxa"/>
            <w:vMerge w:val="continue"/>
          </w:tcPr>
          <w:p>
            <w:pPr>
              <w:jc w:val="center"/>
              <w:rPr>
                <w:sz w:val="13"/>
                <w:szCs w:val="13"/>
              </w:rPr>
            </w:pPr>
          </w:p>
        </w:tc>
        <w:tc>
          <w:tcPr>
            <w:tcW w:w="889" w:type="dxa"/>
          </w:tcPr>
          <w:p>
            <w:pPr>
              <w:widowControl/>
              <w:rPr>
                <w:sz w:val="13"/>
                <w:szCs w:val="13"/>
              </w:rPr>
            </w:pPr>
            <w:r>
              <w:rPr>
                <w:color w:val="000000"/>
                <w:sz w:val="13"/>
                <w:szCs w:val="13"/>
                <w:lang w:val="en-US" w:bidi="ar"/>
              </w:rPr>
              <w:t xml:space="preserve">对未建立煤矿 </w:t>
            </w:r>
          </w:p>
          <w:p>
            <w:pPr>
              <w:widowControl/>
              <w:rPr>
                <w:sz w:val="13"/>
                <w:szCs w:val="13"/>
              </w:rPr>
            </w:pPr>
            <w:r>
              <w:rPr>
                <w:rFonts w:hint="eastAsia"/>
                <w:color w:val="000000"/>
                <w:sz w:val="13"/>
                <w:szCs w:val="13"/>
                <w:lang w:val="en-US" w:bidi="ar"/>
              </w:rPr>
              <w:t xml:space="preserve">领导带班下井 </w:t>
            </w:r>
          </w:p>
          <w:p>
            <w:pPr>
              <w:widowControl/>
              <w:rPr>
                <w:sz w:val="13"/>
                <w:szCs w:val="13"/>
              </w:rPr>
            </w:pPr>
            <w:r>
              <w:rPr>
                <w:rFonts w:hint="eastAsia"/>
                <w:color w:val="000000"/>
                <w:sz w:val="13"/>
                <w:szCs w:val="13"/>
                <w:lang w:val="en-US" w:bidi="ar"/>
              </w:rPr>
              <w:t xml:space="preserve">档案管理制度 </w:t>
            </w:r>
          </w:p>
          <w:p>
            <w:pPr>
              <w:widowControl/>
              <w:rPr>
                <w:sz w:val="13"/>
                <w:szCs w:val="13"/>
              </w:rPr>
            </w:pPr>
            <w:r>
              <w:rPr>
                <w:rFonts w:hint="eastAsia"/>
                <w:color w:val="000000"/>
                <w:sz w:val="13"/>
                <w:szCs w:val="13"/>
                <w:lang w:val="en-US" w:bidi="ar"/>
              </w:rPr>
              <w:t>的处罚</w:t>
            </w:r>
          </w:p>
        </w:tc>
        <w:tc>
          <w:tcPr>
            <w:tcW w:w="2705" w:type="dxa"/>
            <w:vMerge w:val="continue"/>
          </w:tcPr>
          <w:p>
            <w:pPr>
              <w:jc w:val="center"/>
            </w:pPr>
          </w:p>
        </w:tc>
        <w:tc>
          <w:tcPr>
            <w:tcW w:w="558" w:type="dxa"/>
            <w:vMerge w:val="continue"/>
          </w:tcPr>
          <w:p>
            <w:pPr>
              <w:jc w:val="center"/>
            </w:pPr>
          </w:p>
        </w:tc>
        <w:tc>
          <w:tcPr>
            <w:tcW w:w="798" w:type="dxa"/>
            <w:vMerge w:val="continue"/>
          </w:tcPr>
          <w:p>
            <w:pPr>
              <w:jc w:val="center"/>
            </w:pPr>
          </w:p>
        </w:tc>
        <w:tc>
          <w:tcPr>
            <w:tcW w:w="898" w:type="dxa"/>
            <w:vMerge w:val="continue"/>
          </w:tcPr>
          <w:p>
            <w:pPr>
              <w:jc w:val="center"/>
            </w:pPr>
          </w:p>
        </w:tc>
        <w:tc>
          <w:tcPr>
            <w:tcW w:w="533" w:type="dxa"/>
            <w:vMerge w:val="continue"/>
          </w:tcPr>
          <w:p>
            <w:pPr>
              <w:jc w:val="center"/>
            </w:pPr>
          </w:p>
        </w:tc>
        <w:tc>
          <w:tcPr>
            <w:tcW w:w="3705" w:type="dxa"/>
            <w:vMerge w:val="continue"/>
          </w:tcPr>
          <w:p>
            <w:pPr>
              <w:jc w:val="center"/>
            </w:pPr>
          </w:p>
        </w:tc>
        <w:tc>
          <w:tcPr>
            <w:tcW w:w="3483" w:type="dxa"/>
            <w:vMerge w:val="continue"/>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47" w:hRule="atLeast"/>
        </w:trPr>
        <w:tc>
          <w:tcPr>
            <w:tcW w:w="336" w:type="dxa"/>
            <w:vMerge w:val="continue"/>
          </w:tcPr>
          <w:p>
            <w:pPr>
              <w:jc w:val="center"/>
              <w:rPr>
                <w:sz w:val="13"/>
                <w:szCs w:val="13"/>
              </w:rPr>
            </w:pPr>
          </w:p>
        </w:tc>
        <w:tc>
          <w:tcPr>
            <w:tcW w:w="444" w:type="dxa"/>
          </w:tcPr>
          <w:p>
            <w:pPr>
              <w:pStyle w:val="9"/>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jc w:val="center"/>
              <w:rPr>
                <w:sz w:val="13"/>
                <w:szCs w:val="13"/>
                <w:lang w:val="en-US"/>
              </w:rPr>
            </w:pPr>
            <w:r>
              <w:rPr>
                <w:rFonts w:ascii="Times New Roman"/>
                <w:sz w:val="13"/>
                <w:szCs w:val="13"/>
              </w:rPr>
              <w:t>CF0</w:t>
            </w:r>
            <w:r>
              <w:rPr>
                <w:rFonts w:hint="eastAsia" w:ascii="Times New Roman"/>
                <w:sz w:val="13"/>
                <w:szCs w:val="13"/>
                <w:lang w:val="en-US"/>
              </w:rPr>
              <w:t>21</w:t>
            </w:r>
          </w:p>
        </w:tc>
        <w:tc>
          <w:tcPr>
            <w:tcW w:w="582" w:type="dxa"/>
            <w:vMerge w:val="continue"/>
          </w:tcPr>
          <w:p>
            <w:pPr>
              <w:jc w:val="center"/>
              <w:rPr>
                <w:sz w:val="13"/>
                <w:szCs w:val="13"/>
              </w:rPr>
            </w:pPr>
          </w:p>
        </w:tc>
        <w:tc>
          <w:tcPr>
            <w:tcW w:w="889" w:type="dxa"/>
          </w:tcPr>
          <w:p>
            <w:pPr>
              <w:widowControl/>
              <w:rPr>
                <w:sz w:val="13"/>
                <w:szCs w:val="13"/>
              </w:rPr>
            </w:pPr>
            <w:r>
              <w:rPr>
                <w:color w:val="000000"/>
                <w:sz w:val="13"/>
                <w:szCs w:val="13"/>
                <w:lang w:val="en-US" w:bidi="ar"/>
              </w:rPr>
              <w:t xml:space="preserve">对煤矿领导每 </w:t>
            </w:r>
          </w:p>
          <w:p>
            <w:pPr>
              <w:widowControl/>
              <w:rPr>
                <w:sz w:val="13"/>
                <w:szCs w:val="13"/>
              </w:rPr>
            </w:pPr>
            <w:r>
              <w:rPr>
                <w:rFonts w:hint="eastAsia"/>
                <w:color w:val="000000"/>
                <w:sz w:val="13"/>
                <w:szCs w:val="13"/>
                <w:lang w:val="en-US" w:bidi="ar"/>
              </w:rPr>
              <w:t xml:space="preserve">月带班下井情 </w:t>
            </w:r>
          </w:p>
          <w:p>
            <w:pPr>
              <w:widowControl/>
              <w:rPr>
                <w:sz w:val="13"/>
                <w:szCs w:val="13"/>
              </w:rPr>
            </w:pPr>
            <w:r>
              <w:rPr>
                <w:rFonts w:hint="eastAsia"/>
                <w:color w:val="000000"/>
                <w:sz w:val="13"/>
                <w:szCs w:val="13"/>
                <w:lang w:val="en-US" w:bidi="ar"/>
              </w:rPr>
              <w:t xml:space="preserve">况未按照规定 </w:t>
            </w:r>
          </w:p>
          <w:p>
            <w:pPr>
              <w:widowControl/>
              <w:rPr>
                <w:sz w:val="13"/>
                <w:szCs w:val="13"/>
              </w:rPr>
            </w:pPr>
            <w:r>
              <w:rPr>
                <w:rFonts w:hint="eastAsia"/>
                <w:color w:val="000000"/>
                <w:sz w:val="13"/>
                <w:szCs w:val="13"/>
                <w:lang w:val="en-US" w:bidi="ar"/>
              </w:rPr>
              <w:t>公示的处罚</w:t>
            </w:r>
          </w:p>
        </w:tc>
        <w:tc>
          <w:tcPr>
            <w:tcW w:w="2705" w:type="dxa"/>
            <w:vMerge w:val="continue"/>
          </w:tcPr>
          <w:p>
            <w:pPr>
              <w:jc w:val="center"/>
            </w:pPr>
          </w:p>
        </w:tc>
        <w:tc>
          <w:tcPr>
            <w:tcW w:w="558" w:type="dxa"/>
            <w:vMerge w:val="continue"/>
          </w:tcPr>
          <w:p>
            <w:pPr>
              <w:jc w:val="center"/>
            </w:pPr>
          </w:p>
        </w:tc>
        <w:tc>
          <w:tcPr>
            <w:tcW w:w="798" w:type="dxa"/>
            <w:vMerge w:val="continue"/>
          </w:tcPr>
          <w:p>
            <w:pPr>
              <w:jc w:val="center"/>
            </w:pPr>
          </w:p>
        </w:tc>
        <w:tc>
          <w:tcPr>
            <w:tcW w:w="898" w:type="dxa"/>
            <w:vMerge w:val="continue"/>
          </w:tcPr>
          <w:p>
            <w:pPr>
              <w:jc w:val="center"/>
            </w:pPr>
          </w:p>
        </w:tc>
        <w:tc>
          <w:tcPr>
            <w:tcW w:w="533" w:type="dxa"/>
            <w:vMerge w:val="continue"/>
          </w:tcPr>
          <w:p>
            <w:pPr>
              <w:jc w:val="center"/>
            </w:pPr>
          </w:p>
        </w:tc>
        <w:tc>
          <w:tcPr>
            <w:tcW w:w="3705" w:type="dxa"/>
            <w:vMerge w:val="continue"/>
          </w:tcPr>
          <w:p>
            <w:pPr>
              <w:jc w:val="center"/>
            </w:pPr>
          </w:p>
        </w:tc>
        <w:tc>
          <w:tcPr>
            <w:tcW w:w="3483" w:type="dxa"/>
            <w:vMerge w:val="continue"/>
          </w:tcPr>
          <w:p>
            <w:pPr>
              <w:jc w:val="center"/>
            </w:pPr>
          </w:p>
        </w:tc>
      </w:tr>
    </w:tbl>
    <w:p>
      <w:pPr>
        <w:widowControl/>
        <w:jc w:val="both"/>
        <w:rPr>
          <w:rFonts w:hint="eastAsia"/>
        </w:rPr>
      </w:pPr>
    </w:p>
    <w:tbl>
      <w:tblPr>
        <w:tblStyle w:val="5"/>
        <w:tblW w:w="14931"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87"/>
        <w:gridCol w:w="669"/>
        <w:gridCol w:w="411"/>
        <w:gridCol w:w="3053"/>
        <w:gridCol w:w="444"/>
        <w:gridCol w:w="744"/>
        <w:gridCol w:w="876"/>
        <w:gridCol w:w="444"/>
        <w:gridCol w:w="3570"/>
        <w:gridCol w:w="389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487" w:type="dxa"/>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080" w:type="dxa"/>
            <w:gridSpan w:val="2"/>
          </w:tcPr>
          <w:p>
            <w:pPr>
              <w:pStyle w:val="9"/>
              <w:spacing w:before="117"/>
              <w:rPr>
                <w:rFonts w:ascii="黑体" w:eastAsia="黑体"/>
                <w:b/>
                <w:sz w:val="10"/>
                <w:szCs w:val="10"/>
              </w:rPr>
            </w:pPr>
          </w:p>
          <w:p>
            <w:pPr>
              <w:pStyle w:val="9"/>
              <w:spacing w:before="117"/>
              <w:ind w:firstLine="181" w:firstLineChars="100"/>
              <w:rPr>
                <w:rFonts w:ascii="黑体" w:eastAsia="黑体"/>
                <w:b/>
                <w:sz w:val="18"/>
              </w:rPr>
            </w:pPr>
            <w:r>
              <w:rPr>
                <w:rFonts w:hint="eastAsia" w:ascii="黑体" w:eastAsia="黑体"/>
                <w:b/>
                <w:sz w:val="18"/>
              </w:rPr>
              <w:t>职权名称</w:t>
            </w:r>
          </w:p>
        </w:tc>
        <w:tc>
          <w:tcPr>
            <w:tcW w:w="3053" w:type="dxa"/>
          </w:tcPr>
          <w:p>
            <w:pPr>
              <w:pStyle w:val="9"/>
              <w:rPr>
                <w:rFonts w:ascii="Times New Roman"/>
                <w:sz w:val="18"/>
              </w:rPr>
            </w:pPr>
          </w:p>
          <w:p>
            <w:pPr>
              <w:pStyle w:val="9"/>
              <w:spacing w:before="140"/>
              <w:ind w:left="1150" w:right="1120"/>
              <w:jc w:val="center"/>
              <w:rPr>
                <w:rFonts w:ascii="黑体" w:eastAsia="黑体"/>
                <w:b/>
                <w:sz w:val="18"/>
              </w:rPr>
            </w:pPr>
            <w:r>
              <w:rPr>
                <w:rFonts w:hint="eastAsia" w:ascii="黑体" w:eastAsia="黑体"/>
                <w:b/>
                <w:sz w:val="18"/>
              </w:rPr>
              <w:t>实施依据</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44"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76" w:type="dxa"/>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570" w:type="dxa"/>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897" w:type="dxa"/>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311" w:hRule="atLeast"/>
        </w:trPr>
        <w:tc>
          <w:tcPr>
            <w:tcW w:w="336" w:type="dxa"/>
            <w:vAlign w:val="center"/>
          </w:tcPr>
          <w:p>
            <w:pPr>
              <w:pStyle w:val="9"/>
              <w:spacing w:before="112"/>
              <w:jc w:val="both"/>
              <w:rPr>
                <w:rFonts w:ascii="Times New Roman"/>
                <w:sz w:val="20"/>
                <w:szCs w:val="20"/>
                <w:lang w:val="en-US"/>
              </w:rPr>
            </w:pPr>
            <w:r>
              <w:rPr>
                <w:rFonts w:hint="eastAsia" w:ascii="Times New Roman"/>
                <w:sz w:val="20"/>
                <w:szCs w:val="20"/>
                <w:lang w:val="en-US"/>
              </w:rPr>
              <w:t>7</w:t>
            </w:r>
          </w:p>
        </w:tc>
        <w:tc>
          <w:tcPr>
            <w:tcW w:w="487" w:type="dxa"/>
            <w:vAlign w:val="center"/>
          </w:tcPr>
          <w:p>
            <w:pPr>
              <w:pStyle w:val="9"/>
              <w:ind w:left="33"/>
              <w:jc w:val="both"/>
              <w:rPr>
                <w:rFonts w:ascii="Times New Roman"/>
                <w:sz w:val="20"/>
                <w:szCs w:val="20"/>
              </w:rPr>
            </w:pPr>
            <w:r>
              <w:rPr>
                <w:rFonts w:ascii="Times New Roman"/>
                <w:w w:val="105"/>
                <w:sz w:val="20"/>
                <w:szCs w:val="20"/>
              </w:rPr>
              <w:t>65010</w:t>
            </w:r>
          </w:p>
          <w:p>
            <w:pPr>
              <w:pStyle w:val="9"/>
              <w:spacing w:before="26"/>
              <w:ind w:left="33"/>
              <w:jc w:val="both"/>
              <w:rPr>
                <w:rFonts w:ascii="Times New Roman"/>
                <w:sz w:val="20"/>
                <w:szCs w:val="20"/>
              </w:rPr>
            </w:pPr>
            <w:r>
              <w:rPr>
                <w:rFonts w:hint="eastAsia" w:ascii="Times New Roman"/>
                <w:w w:val="105"/>
                <w:sz w:val="20"/>
                <w:szCs w:val="20"/>
                <w:lang w:val="en-US"/>
              </w:rPr>
              <w:t>9</w:t>
            </w:r>
            <w:r>
              <w:rPr>
                <w:rFonts w:ascii="Times New Roman"/>
                <w:w w:val="105"/>
                <w:sz w:val="20"/>
                <w:szCs w:val="20"/>
              </w:rPr>
              <w:t>201</w:t>
            </w:r>
          </w:p>
          <w:p>
            <w:pPr>
              <w:widowControl/>
              <w:jc w:val="both"/>
              <w:rPr>
                <w:sz w:val="20"/>
                <w:szCs w:val="20"/>
                <w:lang w:val="en-US"/>
              </w:rPr>
            </w:pPr>
            <w:r>
              <w:rPr>
                <w:rFonts w:ascii="Times New Roman"/>
                <w:sz w:val="20"/>
                <w:szCs w:val="20"/>
              </w:rPr>
              <w:t>CF0</w:t>
            </w:r>
            <w:r>
              <w:rPr>
                <w:rFonts w:hint="eastAsia" w:ascii="Times New Roman"/>
                <w:sz w:val="20"/>
                <w:szCs w:val="20"/>
                <w:lang w:val="en-US"/>
              </w:rPr>
              <w:t>23</w:t>
            </w:r>
          </w:p>
          <w:p>
            <w:pPr>
              <w:jc w:val="both"/>
              <w:rPr>
                <w:sz w:val="20"/>
                <w:szCs w:val="20"/>
              </w:rPr>
            </w:pPr>
          </w:p>
        </w:tc>
        <w:tc>
          <w:tcPr>
            <w:tcW w:w="669" w:type="dxa"/>
            <w:vAlign w:val="center"/>
          </w:tcPr>
          <w:p>
            <w:pPr>
              <w:widowControl/>
              <w:jc w:val="both"/>
              <w:rPr>
                <w:sz w:val="20"/>
                <w:szCs w:val="20"/>
              </w:rPr>
            </w:pPr>
            <w:r>
              <w:rPr>
                <w:color w:val="000000"/>
                <w:sz w:val="20"/>
                <w:szCs w:val="20"/>
                <w:lang w:val="en-US" w:bidi="ar"/>
              </w:rPr>
              <w:t xml:space="preserve">对煤矿领导 </w:t>
            </w:r>
            <w:r>
              <w:rPr>
                <w:rFonts w:hint="eastAsia"/>
                <w:color w:val="000000"/>
                <w:sz w:val="20"/>
                <w:szCs w:val="20"/>
                <w:lang w:val="en-US" w:bidi="ar"/>
              </w:rPr>
              <w:t xml:space="preserve">未按规定带 班下井，或 者带班下井 </w:t>
            </w:r>
          </w:p>
          <w:p>
            <w:pPr>
              <w:widowControl/>
              <w:jc w:val="both"/>
              <w:rPr>
                <w:sz w:val="20"/>
                <w:szCs w:val="20"/>
              </w:rPr>
            </w:pPr>
            <w:r>
              <w:rPr>
                <w:rFonts w:hint="eastAsia"/>
                <w:color w:val="000000"/>
                <w:sz w:val="20"/>
                <w:szCs w:val="20"/>
                <w:lang w:val="en-US" w:bidi="ar"/>
              </w:rPr>
              <w:t>档案虚假的 处罚</w:t>
            </w:r>
          </w:p>
          <w:p>
            <w:pPr>
              <w:pStyle w:val="9"/>
              <w:spacing w:line="192" w:lineRule="auto"/>
              <w:ind w:left="32" w:right="39"/>
              <w:jc w:val="both"/>
              <w:rPr>
                <w:sz w:val="20"/>
                <w:szCs w:val="20"/>
              </w:rPr>
            </w:pPr>
          </w:p>
          <w:p>
            <w:pPr>
              <w:pStyle w:val="9"/>
              <w:spacing w:line="192" w:lineRule="auto"/>
              <w:ind w:left="32" w:right="39"/>
              <w:jc w:val="both"/>
              <w:rPr>
                <w:sz w:val="20"/>
                <w:szCs w:val="20"/>
              </w:rPr>
            </w:pPr>
          </w:p>
        </w:tc>
        <w:tc>
          <w:tcPr>
            <w:tcW w:w="411" w:type="dxa"/>
            <w:vAlign w:val="center"/>
          </w:tcPr>
          <w:p>
            <w:pPr>
              <w:pStyle w:val="9"/>
              <w:jc w:val="both"/>
              <w:rPr>
                <w:rFonts w:ascii="Times New Roman"/>
                <w:sz w:val="20"/>
                <w:szCs w:val="20"/>
              </w:rPr>
            </w:pPr>
          </w:p>
        </w:tc>
        <w:tc>
          <w:tcPr>
            <w:tcW w:w="3053" w:type="dxa"/>
            <w:vAlign w:val="center"/>
          </w:tcPr>
          <w:p>
            <w:pPr>
              <w:widowControl/>
              <w:jc w:val="both"/>
              <w:rPr>
                <w:sz w:val="20"/>
                <w:szCs w:val="20"/>
              </w:rPr>
            </w:pPr>
            <w:r>
              <w:rPr>
                <w:color w:val="000000"/>
                <w:sz w:val="20"/>
                <w:szCs w:val="20"/>
                <w:lang w:val="en-US" w:bidi="ar"/>
              </w:rPr>
              <w:t xml:space="preserve">《煤矿领导带班下井及安全监督检查规定》第十 </w:t>
            </w:r>
          </w:p>
          <w:p>
            <w:pPr>
              <w:widowControl/>
              <w:jc w:val="both"/>
              <w:rPr>
                <w:sz w:val="20"/>
                <w:szCs w:val="20"/>
              </w:rPr>
            </w:pPr>
            <w:r>
              <w:rPr>
                <w:rFonts w:hint="eastAsia"/>
                <w:color w:val="000000"/>
                <w:sz w:val="20"/>
                <w:szCs w:val="20"/>
                <w:lang w:val="en-US" w:bidi="ar"/>
              </w:rPr>
              <w:t xml:space="preserve">九条 煤矿领导未按规定带班下井，或者带班下井 </w:t>
            </w:r>
          </w:p>
          <w:p>
            <w:pPr>
              <w:widowControl/>
              <w:jc w:val="both"/>
              <w:rPr>
                <w:sz w:val="20"/>
                <w:szCs w:val="20"/>
              </w:rPr>
            </w:pPr>
            <w:r>
              <w:rPr>
                <w:rFonts w:hint="eastAsia"/>
                <w:color w:val="000000"/>
                <w:sz w:val="20"/>
                <w:szCs w:val="20"/>
                <w:lang w:val="en-US" w:bidi="ar"/>
              </w:rPr>
              <w:t>档案虚假的，责令改正，并对该煤矿处</w:t>
            </w:r>
            <w:r>
              <w:rPr>
                <w:rFonts w:ascii="TimesNewRomanPSMT" w:hAnsi="TimesNewRomanPSMT" w:eastAsia="TimesNewRomanPSMT" w:cs="TimesNewRomanPSMT"/>
                <w:color w:val="000000"/>
                <w:sz w:val="20"/>
                <w:szCs w:val="20"/>
                <w:lang w:val="en-US" w:bidi="ar"/>
              </w:rPr>
              <w:t>15</w:t>
            </w:r>
            <w:r>
              <w:rPr>
                <w:rFonts w:hint="eastAsia"/>
                <w:color w:val="000000"/>
                <w:sz w:val="20"/>
                <w:szCs w:val="20"/>
                <w:lang w:val="en-US" w:bidi="ar"/>
              </w:rPr>
              <w:t xml:space="preserve">万元的 </w:t>
            </w:r>
          </w:p>
          <w:p>
            <w:pPr>
              <w:widowControl/>
              <w:jc w:val="both"/>
              <w:rPr>
                <w:sz w:val="20"/>
                <w:szCs w:val="20"/>
              </w:rPr>
            </w:pPr>
            <w:r>
              <w:rPr>
                <w:rFonts w:hint="eastAsia"/>
                <w:color w:val="000000"/>
                <w:sz w:val="20"/>
                <w:szCs w:val="20"/>
                <w:lang w:val="en-US" w:bidi="ar"/>
              </w:rPr>
              <w:t xml:space="preserve">罚款，对违反规定的煤矿领导按照擅离职守处 </w:t>
            </w:r>
          </w:p>
          <w:p>
            <w:pPr>
              <w:widowControl/>
              <w:jc w:val="both"/>
              <w:rPr>
                <w:sz w:val="20"/>
                <w:szCs w:val="20"/>
              </w:rPr>
            </w:pPr>
            <w:r>
              <w:rPr>
                <w:rFonts w:hint="eastAsia"/>
                <w:color w:val="000000"/>
                <w:sz w:val="20"/>
                <w:szCs w:val="20"/>
                <w:lang w:val="en-US" w:bidi="ar"/>
              </w:rPr>
              <w:t>理，对煤矿主要负责人处</w:t>
            </w:r>
            <w:r>
              <w:rPr>
                <w:rFonts w:ascii="TimesNewRomanPSMT" w:hAnsi="TimesNewRomanPSMT" w:eastAsia="TimesNewRomanPSMT" w:cs="TimesNewRomanPSMT"/>
                <w:color w:val="000000"/>
                <w:sz w:val="20"/>
                <w:szCs w:val="20"/>
                <w:lang w:val="en-US" w:bidi="ar"/>
              </w:rPr>
              <w:t>1</w:t>
            </w:r>
            <w:r>
              <w:rPr>
                <w:rFonts w:hint="eastAsia"/>
                <w:color w:val="000000"/>
                <w:sz w:val="20"/>
                <w:szCs w:val="20"/>
                <w:lang w:val="en-US" w:bidi="ar"/>
              </w:rPr>
              <w:t>万元的罚款。</w:t>
            </w:r>
          </w:p>
          <w:p>
            <w:pPr>
              <w:pStyle w:val="9"/>
              <w:spacing w:before="126" w:line="189" w:lineRule="auto"/>
              <w:ind w:left="33" w:right="62"/>
              <w:jc w:val="both"/>
              <w:rPr>
                <w:sz w:val="20"/>
                <w:szCs w:val="20"/>
              </w:rPr>
            </w:pPr>
          </w:p>
        </w:tc>
        <w:tc>
          <w:tcPr>
            <w:tcW w:w="444" w:type="dxa"/>
            <w:vAlign w:val="center"/>
          </w:tcPr>
          <w:p>
            <w:pPr>
              <w:widowControl/>
              <w:jc w:val="both"/>
              <w:rPr>
                <w:sz w:val="20"/>
                <w:szCs w:val="20"/>
              </w:rPr>
            </w:pPr>
            <w:r>
              <w:rPr>
                <w:color w:val="000000"/>
                <w:sz w:val="20"/>
                <w:szCs w:val="20"/>
                <w:lang w:val="en-US" w:bidi="ar"/>
              </w:rPr>
              <w:t>煤矿</w:t>
            </w:r>
          </w:p>
          <w:p>
            <w:pPr>
              <w:widowControl/>
              <w:jc w:val="both"/>
              <w:rPr>
                <w:sz w:val="20"/>
                <w:szCs w:val="20"/>
              </w:rPr>
            </w:pPr>
            <w:r>
              <w:rPr>
                <w:rFonts w:hint="eastAsia"/>
                <w:color w:val="000000"/>
                <w:sz w:val="20"/>
                <w:szCs w:val="20"/>
                <w:lang w:val="en-US" w:bidi="ar"/>
              </w:rPr>
              <w:t>企业</w:t>
            </w:r>
          </w:p>
          <w:p>
            <w:pPr>
              <w:pStyle w:val="9"/>
              <w:spacing w:line="192" w:lineRule="auto"/>
              <w:ind w:left="83" w:right="23"/>
              <w:jc w:val="both"/>
              <w:rPr>
                <w:sz w:val="20"/>
                <w:szCs w:val="20"/>
              </w:rPr>
            </w:pPr>
          </w:p>
        </w:tc>
        <w:tc>
          <w:tcPr>
            <w:tcW w:w="744" w:type="dxa"/>
            <w:vAlign w:val="center"/>
          </w:tcPr>
          <w:p>
            <w:pPr>
              <w:pStyle w:val="9"/>
              <w:jc w:val="both"/>
              <w:rPr>
                <w:rFonts w:hint="eastAsia" w:ascii="Times New Roman"/>
                <w:sz w:val="20"/>
                <w:szCs w:val="20"/>
              </w:rPr>
            </w:pPr>
          </w:p>
          <w:p>
            <w:pPr>
              <w:pStyle w:val="9"/>
              <w:spacing w:before="7"/>
              <w:ind w:left="97" w:right="66"/>
              <w:jc w:val="both"/>
              <w:rPr>
                <w:rFonts w:ascii="Times New Roman" w:eastAsia="Times New Roman"/>
                <w:sz w:val="20"/>
                <w:szCs w:val="20"/>
              </w:rPr>
            </w:pPr>
            <w:r>
              <w:rPr>
                <w:rFonts w:hint="eastAsia"/>
                <w:color w:val="000000"/>
                <w:sz w:val="20"/>
                <w:szCs w:val="20"/>
                <w:lang w:val="en-US" w:bidi="ar"/>
              </w:rPr>
              <w:t>安全科3311262</w:t>
            </w:r>
          </w:p>
        </w:tc>
        <w:tc>
          <w:tcPr>
            <w:tcW w:w="876" w:type="dxa"/>
            <w:vAlign w:val="center"/>
          </w:tcPr>
          <w:p>
            <w:pPr>
              <w:pStyle w:val="9"/>
              <w:jc w:val="both"/>
              <w:rPr>
                <w:sz w:val="20"/>
                <w:szCs w:val="20"/>
              </w:rPr>
            </w:pPr>
            <w:r>
              <w:rPr>
                <w:w w:val="102"/>
                <w:sz w:val="20"/>
                <w:szCs w:val="20"/>
              </w:rPr>
              <w:t>无</w:t>
            </w:r>
          </w:p>
        </w:tc>
        <w:tc>
          <w:tcPr>
            <w:tcW w:w="444" w:type="dxa"/>
            <w:vAlign w:val="center"/>
          </w:tcPr>
          <w:p>
            <w:pPr>
              <w:widowControl/>
              <w:jc w:val="both"/>
              <w:rPr>
                <w:color w:val="000000"/>
                <w:sz w:val="20"/>
                <w:szCs w:val="20"/>
                <w:lang w:val="en-US" w:bidi="ar"/>
              </w:rPr>
            </w:pPr>
            <w:r>
              <w:rPr>
                <w:rFonts w:hint="eastAsia"/>
                <w:color w:val="000000"/>
                <w:sz w:val="20"/>
                <w:szCs w:val="20"/>
                <w:lang w:val="en-US" w:bidi="ar"/>
              </w:rPr>
              <w:t>米东区发改委（工信局）</w:t>
            </w:r>
          </w:p>
          <w:p>
            <w:pPr>
              <w:widowControl/>
              <w:jc w:val="both"/>
              <w:rPr>
                <w:sz w:val="20"/>
                <w:szCs w:val="20"/>
              </w:rPr>
            </w:pPr>
          </w:p>
        </w:tc>
        <w:tc>
          <w:tcPr>
            <w:tcW w:w="3570" w:type="dxa"/>
            <w:vAlign w:val="center"/>
          </w:tcPr>
          <w:p>
            <w:pPr>
              <w:widowControl/>
              <w:jc w:val="both"/>
              <w:rPr>
                <w:sz w:val="16"/>
                <w:szCs w:val="16"/>
              </w:rPr>
            </w:pPr>
            <w:r>
              <w:rPr>
                <w:rFonts w:ascii="TimesNewRomanPSMT" w:hAnsi="TimesNewRomanPSMT" w:eastAsia="TimesNewRomanPSMT" w:cs="TimesNewRomanPSMT"/>
                <w:color w:val="000000"/>
                <w:sz w:val="16"/>
                <w:szCs w:val="16"/>
                <w:lang w:val="en-US" w:bidi="ar"/>
              </w:rPr>
              <w:t>1.</w:t>
            </w:r>
            <w:r>
              <w:rPr>
                <w:color w:val="000000"/>
                <w:sz w:val="16"/>
                <w:szCs w:val="16"/>
                <w:lang w:val="en-US" w:bidi="ar"/>
              </w:rPr>
              <w:t>立案责任：按照立案条件在规定期限内进行审查</w:t>
            </w:r>
          </w:p>
          <w:p>
            <w:pPr>
              <w:widowControl/>
              <w:jc w:val="both"/>
              <w:rPr>
                <w:sz w:val="16"/>
                <w:szCs w:val="16"/>
              </w:rPr>
            </w:pPr>
            <w:r>
              <w:rPr>
                <w:rFonts w:hint="eastAsia"/>
                <w:color w:val="000000"/>
                <w:sz w:val="16"/>
                <w:szCs w:val="16"/>
                <w:lang w:val="en-US" w:bidi="ar"/>
              </w:rPr>
              <w:t>并决定是否立案（不予立案应当告知理由）；对需要补充材料的，应当场一次性告知。</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调查责任：对违法违规行为进行调查，依法收集整理证据材料；执法人员不得少于两人，调查时应出示执法身份证件，允许当事人陈述申辩，并严格执行监察回避制度。</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审查责任：应当对案件违法事实、证据、调查取证程序、法律适用、处罚种类和幅度以及当事人陈述申辩理由等方面进行审查，并提出处理意见。对情节复杂或者重大违法行为给予较重的行政处罚，由市工信局（大数据发展局）局务会研究提出审查意见。</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告知责任：在做出行政处罚决定前，应书面告知当事人违法事实及其享有的陈述、申辩、要求听证等权利。</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决定责任：决定给予行政处罚的，应制作《行政处罚决定书》，载明违法事实和证据、处罚依据和内容、申请行政复议或提起行政诉讼的途径和期限等。</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送达责任：《行政处罚决定书》应在规定期限内依法送达当事人。</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执行责任：监督当事人在规定的期限内履行生效的行政处罚决定。当事人在法定期限内既不申请行政复议或者提起行政诉讼，又不履行处罚决定的，可依法向人民法院申请强制执行等措施。</w:t>
            </w:r>
          </w:p>
          <w:p>
            <w:pPr>
              <w:pStyle w:val="9"/>
              <w:tabs>
                <w:tab w:val="left" w:pos="146"/>
              </w:tabs>
              <w:spacing w:line="205" w:lineRule="exact"/>
              <w:ind w:left="32"/>
              <w:jc w:val="both"/>
              <w:rPr>
                <w:sz w:val="13"/>
                <w:szCs w:val="13"/>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其他法律法规政策规定应履行的责任。</w:t>
            </w:r>
          </w:p>
        </w:tc>
        <w:tc>
          <w:tcPr>
            <w:tcW w:w="3897" w:type="dxa"/>
            <w:vAlign w:val="center"/>
          </w:tcPr>
          <w:p>
            <w:pPr>
              <w:widowControl/>
              <w:jc w:val="both"/>
              <w:rPr>
                <w:sz w:val="16"/>
                <w:szCs w:val="16"/>
              </w:rPr>
            </w:pPr>
            <w:r>
              <w:rPr>
                <w:color w:val="000000"/>
                <w:sz w:val="16"/>
                <w:szCs w:val="16"/>
                <w:lang w:val="en-US" w:bidi="ar"/>
              </w:rPr>
              <w:t xml:space="preserve">行政主管部门及其工作人员有下列行为之一 </w:t>
            </w:r>
            <w:r>
              <w:rPr>
                <w:rFonts w:hint="eastAsia"/>
                <w:color w:val="000000"/>
                <w:sz w:val="16"/>
                <w:szCs w:val="16"/>
                <w:lang w:val="en-US" w:bidi="ar"/>
              </w:rPr>
              <w:t xml:space="preserve">的，对直接负责的主管人员和其他直接责任人 员，依法给予处分；构成犯罪的，依法追究刑 事责任： </w:t>
            </w:r>
          </w:p>
          <w:p>
            <w:pPr>
              <w:widowControl/>
              <w:jc w:val="both"/>
              <w:rPr>
                <w:sz w:val="16"/>
                <w:szCs w:val="16"/>
              </w:rPr>
            </w:pPr>
            <w:r>
              <w:rPr>
                <w:rFonts w:ascii="TimesNewRomanPSMT" w:hAnsi="TimesNewRomanPSMT" w:eastAsia="TimesNewRomanPSMT" w:cs="TimesNewRomanPSMT"/>
                <w:color w:val="000000"/>
                <w:sz w:val="16"/>
                <w:szCs w:val="16"/>
                <w:lang w:val="en-US" w:bidi="ar"/>
              </w:rPr>
              <w:t>1.</w:t>
            </w:r>
            <w:r>
              <w:rPr>
                <w:rFonts w:hint="eastAsia"/>
                <w:color w:val="000000"/>
                <w:sz w:val="16"/>
                <w:szCs w:val="16"/>
                <w:lang w:val="en-US" w:bidi="ar"/>
              </w:rPr>
              <w:t xml:space="preserve">执法人员玩忽职守，对应当予以制止和处罚的 违法行为不予制止、处罚，致使国家资源遭受 损害的； </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 xml:space="preserve">不依法受理举报、投诉或者受理后未在法定期限内处理的； </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 xml:space="preserve">对符合立案条件而不予立案的； </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 xml:space="preserve">对不符合立案条件而立案调查的； </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 xml:space="preserve">没有法定的行政处罚依据的； </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 xml:space="preserve">违反法定的行政处罚程序的； </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 xml:space="preserve">擅自改变行政处罚种类、幅度的； </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 xml:space="preserve">对当事人进行处罚不使用罚款、没收财物单据或者使用非法定部门制发的罚款、没收财物单据的； </w:t>
            </w:r>
          </w:p>
          <w:p>
            <w:pPr>
              <w:widowControl/>
              <w:jc w:val="both"/>
              <w:rPr>
                <w:sz w:val="16"/>
                <w:szCs w:val="16"/>
              </w:rPr>
            </w:pPr>
            <w:r>
              <w:rPr>
                <w:rFonts w:ascii="TimesNewRomanPSMT" w:hAnsi="TimesNewRomanPSMT" w:eastAsia="TimesNewRomanPSMT" w:cs="TimesNewRomanPSMT"/>
                <w:color w:val="000000"/>
                <w:sz w:val="16"/>
                <w:szCs w:val="16"/>
                <w:lang w:val="en-US" w:bidi="ar"/>
              </w:rPr>
              <w:t>9.</w:t>
            </w:r>
            <w:r>
              <w:rPr>
                <w:rFonts w:hint="eastAsia"/>
                <w:color w:val="000000"/>
                <w:sz w:val="16"/>
                <w:szCs w:val="16"/>
                <w:lang w:val="en-US" w:bidi="ar"/>
              </w:rPr>
              <w:t xml:space="preserve">违反法律规定自行收缴罚款的； </w:t>
            </w:r>
          </w:p>
          <w:p>
            <w:pPr>
              <w:widowControl/>
              <w:jc w:val="both"/>
              <w:rPr>
                <w:sz w:val="16"/>
                <w:szCs w:val="16"/>
              </w:rPr>
            </w:pPr>
            <w:r>
              <w:rPr>
                <w:rFonts w:ascii="TimesNewRomanPSMT" w:hAnsi="TimesNewRomanPSMT" w:eastAsia="TimesNewRomanPSMT" w:cs="TimesNewRomanPSMT"/>
                <w:color w:val="000000"/>
                <w:sz w:val="16"/>
                <w:szCs w:val="16"/>
                <w:lang w:val="en-US" w:bidi="ar"/>
              </w:rPr>
              <w:t>10.</w:t>
            </w:r>
            <w:r>
              <w:rPr>
                <w:rFonts w:hint="eastAsia"/>
                <w:color w:val="000000"/>
                <w:sz w:val="16"/>
                <w:szCs w:val="16"/>
                <w:lang w:val="en-US" w:bidi="ar"/>
              </w:rPr>
              <w:t xml:space="preserve">将罚款、没收的违法所得或者财物截留、私分或者变相私分的； </w:t>
            </w:r>
          </w:p>
          <w:p>
            <w:pPr>
              <w:widowControl/>
              <w:jc w:val="both"/>
              <w:rPr>
                <w:sz w:val="16"/>
                <w:szCs w:val="16"/>
              </w:rPr>
            </w:pPr>
            <w:r>
              <w:rPr>
                <w:rFonts w:ascii="TimesNewRomanPSMT" w:hAnsi="TimesNewRomanPSMT" w:eastAsia="TimesNewRomanPSMT" w:cs="TimesNewRomanPSMT"/>
                <w:color w:val="000000"/>
                <w:sz w:val="16"/>
                <w:szCs w:val="16"/>
                <w:lang w:val="en-US" w:bidi="ar"/>
              </w:rPr>
              <w:t>11.</w:t>
            </w:r>
            <w:r>
              <w:rPr>
                <w:rFonts w:hint="eastAsia"/>
                <w:color w:val="000000"/>
                <w:sz w:val="16"/>
                <w:szCs w:val="16"/>
                <w:lang w:val="en-US" w:bidi="ar"/>
              </w:rPr>
              <w:t xml:space="preserve">为牟取本单位私利，对应当移交司法机关追究刑事责任的不移交，以行政处罚代替刑罚； </w:t>
            </w:r>
          </w:p>
          <w:p>
            <w:pPr>
              <w:widowControl/>
              <w:jc w:val="both"/>
              <w:rPr>
                <w:sz w:val="16"/>
                <w:szCs w:val="16"/>
              </w:rPr>
            </w:pPr>
            <w:r>
              <w:rPr>
                <w:rFonts w:ascii="TimesNewRomanPSMT" w:hAnsi="TimesNewRomanPSMT" w:eastAsia="TimesNewRomanPSMT" w:cs="TimesNewRomanPSMT"/>
                <w:color w:val="000000"/>
                <w:sz w:val="16"/>
                <w:szCs w:val="16"/>
                <w:lang w:val="en-US" w:bidi="ar"/>
              </w:rPr>
              <w:t>12.</w:t>
            </w:r>
            <w:r>
              <w:rPr>
                <w:rFonts w:hint="eastAsia"/>
                <w:color w:val="000000"/>
                <w:sz w:val="16"/>
                <w:szCs w:val="16"/>
                <w:lang w:val="en-US" w:bidi="ar"/>
              </w:rPr>
              <w:t>其他法律、法规、规章、文件规定的行为。</w:t>
            </w:r>
          </w:p>
          <w:p>
            <w:pPr>
              <w:pStyle w:val="9"/>
              <w:tabs>
                <w:tab w:val="left" w:pos="219"/>
              </w:tabs>
              <w:spacing w:line="202" w:lineRule="exact"/>
              <w:jc w:val="both"/>
              <w:rPr>
                <w:sz w:val="13"/>
                <w:szCs w:val="13"/>
              </w:rPr>
            </w:pPr>
          </w:p>
        </w:tc>
      </w:tr>
    </w:tbl>
    <w:p/>
    <w:p/>
    <w:p/>
    <w:tbl>
      <w:tblPr>
        <w:tblStyle w:val="5"/>
        <w:tblW w:w="14931"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730"/>
        <w:gridCol w:w="393"/>
        <w:gridCol w:w="3053"/>
        <w:gridCol w:w="444"/>
        <w:gridCol w:w="744"/>
        <w:gridCol w:w="876"/>
        <w:gridCol w:w="444"/>
        <w:gridCol w:w="3760"/>
        <w:gridCol w:w="370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444" w:type="dxa"/>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123" w:type="dxa"/>
            <w:gridSpan w:val="2"/>
          </w:tcPr>
          <w:p>
            <w:pPr>
              <w:pStyle w:val="9"/>
              <w:spacing w:before="117"/>
              <w:rPr>
                <w:rFonts w:ascii="黑体" w:eastAsia="黑体"/>
                <w:b/>
                <w:sz w:val="10"/>
                <w:szCs w:val="10"/>
              </w:rPr>
            </w:pPr>
          </w:p>
          <w:p>
            <w:pPr>
              <w:pStyle w:val="9"/>
              <w:spacing w:before="117"/>
              <w:ind w:firstLine="181" w:firstLineChars="100"/>
              <w:rPr>
                <w:rFonts w:ascii="黑体" w:eastAsia="黑体"/>
                <w:b/>
                <w:sz w:val="18"/>
              </w:rPr>
            </w:pPr>
            <w:r>
              <w:rPr>
                <w:rFonts w:hint="eastAsia" w:ascii="黑体" w:eastAsia="黑体"/>
                <w:b/>
                <w:sz w:val="18"/>
              </w:rPr>
              <w:t>职权名称</w:t>
            </w:r>
          </w:p>
        </w:tc>
        <w:tc>
          <w:tcPr>
            <w:tcW w:w="3053" w:type="dxa"/>
          </w:tcPr>
          <w:p>
            <w:pPr>
              <w:pStyle w:val="9"/>
              <w:rPr>
                <w:rFonts w:ascii="Times New Roman"/>
                <w:sz w:val="18"/>
              </w:rPr>
            </w:pPr>
          </w:p>
          <w:p>
            <w:pPr>
              <w:pStyle w:val="9"/>
              <w:spacing w:before="140"/>
              <w:ind w:left="1150" w:right="1120"/>
              <w:jc w:val="center"/>
              <w:rPr>
                <w:rFonts w:ascii="黑体" w:eastAsia="黑体"/>
                <w:b/>
                <w:sz w:val="18"/>
              </w:rPr>
            </w:pPr>
            <w:r>
              <w:rPr>
                <w:rFonts w:hint="eastAsia" w:ascii="黑体" w:eastAsia="黑体"/>
                <w:b/>
                <w:sz w:val="18"/>
              </w:rPr>
              <w:t>实施依据</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44"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76" w:type="dxa"/>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760" w:type="dxa"/>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707" w:type="dxa"/>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376" w:hRule="atLeast"/>
        </w:trPr>
        <w:tc>
          <w:tcPr>
            <w:tcW w:w="336" w:type="dxa"/>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jc w:val="center"/>
              <w:rPr>
                <w:rFonts w:ascii="Times New Roman"/>
                <w:sz w:val="13"/>
                <w:szCs w:val="13"/>
                <w:lang w:val="en-US"/>
              </w:rPr>
            </w:pPr>
          </w:p>
          <w:p>
            <w:pPr>
              <w:pStyle w:val="9"/>
              <w:jc w:val="center"/>
              <w:rPr>
                <w:rFonts w:ascii="Times New Roman"/>
                <w:sz w:val="13"/>
                <w:szCs w:val="13"/>
              </w:rPr>
            </w:pPr>
          </w:p>
          <w:p>
            <w:pPr>
              <w:pStyle w:val="9"/>
              <w:spacing w:before="112"/>
              <w:ind w:left="28"/>
              <w:jc w:val="center"/>
              <w:rPr>
                <w:rFonts w:ascii="Times New Roman"/>
                <w:sz w:val="13"/>
                <w:szCs w:val="13"/>
                <w:lang w:val="en-US"/>
              </w:rPr>
            </w:pPr>
            <w:r>
              <w:rPr>
                <w:rFonts w:hint="eastAsia" w:ascii="TimesNewRomanPSMT" w:hAnsi="TimesNewRomanPSMT" w:eastAsia="TimesNewRomanPSMT" w:cs="TimesNewRomanPSMT"/>
                <w:color w:val="000000"/>
                <w:sz w:val="13"/>
                <w:szCs w:val="13"/>
                <w:lang w:val="en-US" w:bidi="ar"/>
              </w:rPr>
              <w:t>8</w:t>
            </w:r>
          </w:p>
        </w:tc>
        <w:tc>
          <w:tcPr>
            <w:tcW w:w="444" w:type="dxa"/>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rPr>
                <w:rFonts w:ascii="TimesNewRomanPSMT" w:hAnsi="TimesNewRomanPSMT" w:eastAsia="TimesNewRomanPSMT" w:cs="TimesNewRomanPSMT"/>
                <w:color w:val="000000"/>
                <w:sz w:val="13"/>
                <w:szCs w:val="13"/>
                <w:lang w:val="en-US" w:bidi="ar"/>
              </w:rPr>
            </w:pPr>
          </w:p>
          <w:p>
            <w:pPr>
              <w:widowControl/>
              <w:rPr>
                <w:rFonts w:ascii="TimesNewRomanPSMT" w:hAnsi="TimesNewRomanPSMT" w:eastAsia="TimesNewRomanPSMT" w:cs="TimesNewRomanPSMT"/>
                <w:color w:val="000000"/>
                <w:sz w:val="13"/>
                <w:szCs w:val="13"/>
                <w:lang w:val="en-US" w:bidi="ar"/>
              </w:rPr>
            </w:pPr>
          </w:p>
          <w:p>
            <w:pPr>
              <w:widowControl/>
              <w:rPr>
                <w:rFonts w:ascii="TimesNewRomanPSMT" w:hAnsi="TimesNewRomanPSMT" w:eastAsia="TimesNewRomanPSMT" w:cs="TimesNewRomanPSMT"/>
                <w:color w:val="000000"/>
                <w:sz w:val="13"/>
                <w:szCs w:val="13"/>
                <w:lang w:val="en-US" w:bidi="ar"/>
              </w:rPr>
            </w:pPr>
          </w:p>
          <w:p>
            <w:pPr>
              <w:pStyle w:val="9"/>
              <w:jc w:val="center"/>
              <w:rPr>
                <w:rFonts w:ascii="Times New Roman"/>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widowControl/>
              <w:rPr>
                <w:sz w:val="13"/>
                <w:szCs w:val="13"/>
                <w:lang w:val="en-US"/>
              </w:rPr>
            </w:pPr>
            <w:r>
              <w:rPr>
                <w:rFonts w:ascii="Times New Roman"/>
                <w:sz w:val="13"/>
                <w:szCs w:val="13"/>
              </w:rPr>
              <w:t>CF0</w:t>
            </w:r>
            <w:r>
              <w:rPr>
                <w:rFonts w:hint="eastAsia" w:ascii="Times New Roman"/>
                <w:sz w:val="13"/>
                <w:szCs w:val="13"/>
                <w:lang w:val="en-US"/>
              </w:rPr>
              <w:t>24</w:t>
            </w:r>
          </w:p>
          <w:p>
            <w:pPr>
              <w:widowControl/>
              <w:rPr>
                <w:sz w:val="13"/>
                <w:szCs w:val="13"/>
              </w:rPr>
            </w:pPr>
          </w:p>
          <w:p>
            <w:pPr>
              <w:widowControl/>
              <w:rPr>
                <w:sz w:val="13"/>
                <w:szCs w:val="13"/>
              </w:rPr>
            </w:pPr>
          </w:p>
          <w:p>
            <w:pPr>
              <w:jc w:val="center"/>
              <w:rPr>
                <w:sz w:val="13"/>
                <w:szCs w:val="13"/>
              </w:rPr>
            </w:pPr>
          </w:p>
        </w:tc>
        <w:tc>
          <w:tcPr>
            <w:tcW w:w="730" w:type="dxa"/>
          </w:tcPr>
          <w:p>
            <w:pPr>
              <w:pStyle w:val="9"/>
              <w:rPr>
                <w:rFonts w:ascii="Times New Roman"/>
                <w:sz w:val="13"/>
                <w:szCs w:val="13"/>
              </w:rPr>
            </w:pPr>
          </w:p>
          <w:p>
            <w:pPr>
              <w:pStyle w:val="9"/>
              <w:jc w:val="center"/>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sz w:val="13"/>
                <w:szCs w:val="13"/>
              </w:rPr>
            </w:pPr>
            <w:r>
              <w:rPr>
                <w:color w:val="000000"/>
                <w:sz w:val="13"/>
                <w:szCs w:val="13"/>
                <w:lang w:val="en-US" w:bidi="ar"/>
              </w:rPr>
              <w:t xml:space="preserve">对生产、销 </w:t>
            </w:r>
          </w:p>
          <w:p>
            <w:pPr>
              <w:widowControl/>
              <w:rPr>
                <w:sz w:val="13"/>
                <w:szCs w:val="13"/>
              </w:rPr>
            </w:pPr>
            <w:r>
              <w:rPr>
                <w:rFonts w:hint="eastAsia"/>
                <w:color w:val="000000"/>
                <w:sz w:val="13"/>
                <w:szCs w:val="13"/>
                <w:lang w:val="en-US" w:bidi="ar"/>
              </w:rPr>
              <w:t xml:space="preserve">售民用爆炸 </w:t>
            </w:r>
          </w:p>
          <w:p>
            <w:pPr>
              <w:widowControl/>
              <w:rPr>
                <w:sz w:val="13"/>
                <w:szCs w:val="13"/>
              </w:rPr>
            </w:pPr>
            <w:r>
              <w:rPr>
                <w:rFonts w:hint="eastAsia"/>
                <w:color w:val="000000"/>
                <w:sz w:val="13"/>
                <w:szCs w:val="13"/>
                <w:lang w:val="en-US" w:bidi="ar"/>
              </w:rPr>
              <w:t xml:space="preserve">物品企业违 </w:t>
            </w:r>
          </w:p>
          <w:p>
            <w:pPr>
              <w:widowControl/>
              <w:rPr>
                <w:sz w:val="13"/>
                <w:szCs w:val="13"/>
              </w:rPr>
            </w:pPr>
            <w:r>
              <w:rPr>
                <w:rFonts w:hint="eastAsia"/>
                <w:color w:val="000000"/>
                <w:sz w:val="13"/>
                <w:szCs w:val="13"/>
                <w:lang w:val="en-US" w:bidi="ar"/>
              </w:rPr>
              <w:t xml:space="preserve">反《民用爆 </w:t>
            </w:r>
          </w:p>
          <w:p>
            <w:pPr>
              <w:widowControl/>
              <w:rPr>
                <w:sz w:val="13"/>
                <w:szCs w:val="13"/>
              </w:rPr>
            </w:pPr>
            <w:r>
              <w:rPr>
                <w:rFonts w:hint="eastAsia"/>
                <w:color w:val="000000"/>
                <w:sz w:val="13"/>
                <w:szCs w:val="13"/>
                <w:lang w:val="en-US" w:bidi="ar"/>
              </w:rPr>
              <w:t xml:space="preserve">炸物品安全 </w:t>
            </w:r>
          </w:p>
          <w:p>
            <w:pPr>
              <w:widowControl/>
              <w:rPr>
                <w:sz w:val="13"/>
                <w:szCs w:val="13"/>
              </w:rPr>
            </w:pPr>
            <w:r>
              <w:rPr>
                <w:rFonts w:hint="eastAsia"/>
                <w:color w:val="000000"/>
                <w:sz w:val="13"/>
                <w:szCs w:val="13"/>
                <w:lang w:val="en-US" w:bidi="ar"/>
              </w:rPr>
              <w:t xml:space="preserve">管理条例》 </w:t>
            </w:r>
          </w:p>
          <w:p>
            <w:pPr>
              <w:widowControl/>
              <w:rPr>
                <w:sz w:val="13"/>
                <w:szCs w:val="13"/>
              </w:rPr>
            </w:pPr>
            <w:r>
              <w:rPr>
                <w:rFonts w:hint="eastAsia"/>
                <w:color w:val="000000"/>
                <w:sz w:val="13"/>
                <w:szCs w:val="13"/>
                <w:lang w:val="en-US" w:bidi="ar"/>
              </w:rPr>
              <w:t xml:space="preserve">相关行为的 </w:t>
            </w:r>
          </w:p>
          <w:p>
            <w:pPr>
              <w:widowControl/>
              <w:rPr>
                <w:sz w:val="13"/>
                <w:szCs w:val="13"/>
              </w:rPr>
            </w:pPr>
            <w:r>
              <w:rPr>
                <w:rFonts w:hint="eastAsia"/>
                <w:color w:val="000000"/>
                <w:sz w:val="13"/>
                <w:szCs w:val="13"/>
                <w:lang w:val="en-US" w:bidi="ar"/>
              </w:rPr>
              <w:t>处罚</w:t>
            </w:r>
          </w:p>
          <w:p>
            <w:pPr>
              <w:pStyle w:val="9"/>
              <w:spacing w:line="192" w:lineRule="auto"/>
              <w:ind w:left="32" w:right="39"/>
              <w:jc w:val="both"/>
              <w:rPr>
                <w:sz w:val="13"/>
                <w:szCs w:val="13"/>
              </w:rPr>
            </w:pPr>
          </w:p>
          <w:p>
            <w:pPr>
              <w:pStyle w:val="9"/>
              <w:spacing w:line="192" w:lineRule="auto"/>
              <w:ind w:left="32" w:right="39"/>
              <w:jc w:val="both"/>
              <w:rPr>
                <w:sz w:val="13"/>
                <w:szCs w:val="13"/>
              </w:rPr>
            </w:pPr>
          </w:p>
        </w:tc>
        <w:tc>
          <w:tcPr>
            <w:tcW w:w="393" w:type="dxa"/>
          </w:tcPr>
          <w:p>
            <w:pPr>
              <w:pStyle w:val="9"/>
              <w:rPr>
                <w:rFonts w:ascii="Times New Roman"/>
                <w:sz w:val="13"/>
                <w:szCs w:val="13"/>
              </w:rPr>
            </w:pPr>
          </w:p>
        </w:tc>
        <w:tc>
          <w:tcPr>
            <w:tcW w:w="3053"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sz w:val="13"/>
                <w:szCs w:val="13"/>
              </w:rPr>
            </w:pPr>
            <w:r>
              <w:rPr>
                <w:color w:val="000000"/>
                <w:sz w:val="13"/>
                <w:szCs w:val="13"/>
                <w:lang w:val="en-US" w:bidi="ar"/>
              </w:rPr>
              <w:t xml:space="preserve">《民用爆炸物品安全管理条例》第四十四条 非法 </w:t>
            </w:r>
          </w:p>
          <w:p>
            <w:pPr>
              <w:widowControl/>
              <w:rPr>
                <w:sz w:val="13"/>
                <w:szCs w:val="13"/>
              </w:rPr>
            </w:pPr>
            <w:r>
              <w:rPr>
                <w:rFonts w:hint="eastAsia"/>
                <w:color w:val="000000"/>
                <w:sz w:val="13"/>
                <w:szCs w:val="13"/>
                <w:lang w:val="en-US" w:bidi="ar"/>
              </w:rPr>
              <w:t xml:space="preserve">制造、买卖、运输、储存民用爆炸物品，构成犯 </w:t>
            </w:r>
          </w:p>
          <w:p>
            <w:pPr>
              <w:widowControl/>
              <w:rPr>
                <w:sz w:val="13"/>
                <w:szCs w:val="13"/>
              </w:rPr>
            </w:pPr>
            <w:r>
              <w:rPr>
                <w:rFonts w:hint="eastAsia"/>
                <w:color w:val="000000"/>
                <w:sz w:val="13"/>
                <w:szCs w:val="13"/>
                <w:lang w:val="en-US" w:bidi="ar"/>
              </w:rPr>
              <w:t xml:space="preserve">罪的，依法追究刑事责任；尚不构成犯罪，有违 </w:t>
            </w:r>
          </w:p>
          <w:p>
            <w:pPr>
              <w:widowControl/>
              <w:rPr>
                <w:sz w:val="13"/>
                <w:szCs w:val="13"/>
              </w:rPr>
            </w:pPr>
            <w:r>
              <w:rPr>
                <w:rFonts w:hint="eastAsia"/>
                <w:color w:val="000000"/>
                <w:sz w:val="13"/>
                <w:szCs w:val="13"/>
                <w:lang w:val="en-US" w:bidi="ar"/>
              </w:rPr>
              <w:t xml:space="preserve">反治安管理行为的，依法给予治安管理处罚。违 </w:t>
            </w:r>
          </w:p>
          <w:p>
            <w:pPr>
              <w:widowControl/>
              <w:rPr>
                <w:sz w:val="13"/>
                <w:szCs w:val="13"/>
              </w:rPr>
            </w:pPr>
            <w:r>
              <w:rPr>
                <w:rFonts w:hint="eastAsia"/>
                <w:color w:val="000000"/>
                <w:sz w:val="13"/>
                <w:szCs w:val="13"/>
                <w:lang w:val="en-US" w:bidi="ar"/>
              </w:rPr>
              <w:t xml:space="preserve">反本条例规定，在生产、储存、运输、使用民用 </w:t>
            </w:r>
          </w:p>
          <w:p>
            <w:pPr>
              <w:widowControl/>
              <w:rPr>
                <w:sz w:val="13"/>
                <w:szCs w:val="13"/>
              </w:rPr>
            </w:pPr>
            <w:r>
              <w:rPr>
                <w:rFonts w:hint="eastAsia"/>
                <w:color w:val="000000"/>
                <w:sz w:val="13"/>
                <w:szCs w:val="13"/>
                <w:lang w:val="en-US" w:bidi="ar"/>
              </w:rPr>
              <w:t xml:space="preserve">爆炸物品中发生重大事故，造成严重后果或者后 </w:t>
            </w:r>
          </w:p>
          <w:p>
            <w:pPr>
              <w:widowControl/>
              <w:rPr>
                <w:sz w:val="13"/>
                <w:szCs w:val="13"/>
              </w:rPr>
            </w:pPr>
            <w:r>
              <w:rPr>
                <w:rFonts w:hint="eastAsia"/>
                <w:color w:val="000000"/>
                <w:sz w:val="13"/>
                <w:szCs w:val="13"/>
                <w:lang w:val="en-US" w:bidi="ar"/>
              </w:rPr>
              <w:t xml:space="preserve">果特别严重，构成犯罪的，依法追究刑事责任。 </w:t>
            </w:r>
          </w:p>
          <w:p>
            <w:pPr>
              <w:widowControl/>
              <w:rPr>
                <w:sz w:val="13"/>
                <w:szCs w:val="13"/>
              </w:rPr>
            </w:pPr>
            <w:r>
              <w:rPr>
                <w:rFonts w:hint="eastAsia"/>
                <w:color w:val="000000"/>
                <w:sz w:val="13"/>
                <w:szCs w:val="13"/>
                <w:lang w:val="en-US" w:bidi="ar"/>
              </w:rPr>
              <w:t xml:space="preserve">违反本条例规定，未经许可生产、销售民用爆炸 </w:t>
            </w:r>
          </w:p>
          <w:p>
            <w:pPr>
              <w:widowControl/>
              <w:rPr>
                <w:sz w:val="13"/>
                <w:szCs w:val="13"/>
              </w:rPr>
            </w:pPr>
            <w:r>
              <w:rPr>
                <w:rFonts w:hint="eastAsia"/>
                <w:color w:val="000000"/>
                <w:sz w:val="13"/>
                <w:szCs w:val="13"/>
                <w:lang w:val="en-US" w:bidi="ar"/>
              </w:rPr>
              <w:t xml:space="preserve">物品的，由国防科技工业主管部门责令停止非法 </w:t>
            </w:r>
          </w:p>
          <w:p>
            <w:pPr>
              <w:widowControl/>
              <w:rPr>
                <w:sz w:val="13"/>
                <w:szCs w:val="13"/>
              </w:rPr>
            </w:pPr>
            <w:r>
              <w:rPr>
                <w:rFonts w:hint="eastAsia"/>
                <w:color w:val="000000"/>
                <w:sz w:val="13"/>
                <w:szCs w:val="13"/>
                <w:lang w:val="en-US" w:bidi="ar"/>
              </w:rPr>
              <w:t>生产、销售活动，处</w:t>
            </w:r>
            <w:r>
              <w:rPr>
                <w:rFonts w:ascii="TimesNewRomanPSMT" w:hAnsi="TimesNewRomanPSMT" w:eastAsia="TimesNewRomanPSMT" w:cs="TimesNewRomanPSMT"/>
                <w:color w:val="000000"/>
                <w:sz w:val="13"/>
                <w:szCs w:val="13"/>
                <w:lang w:val="en-US" w:bidi="ar"/>
              </w:rPr>
              <w:t>10</w:t>
            </w:r>
            <w:r>
              <w:rPr>
                <w:rFonts w:hint="eastAsia"/>
                <w:color w:val="000000"/>
                <w:sz w:val="13"/>
                <w:szCs w:val="13"/>
                <w:lang w:val="en-US" w:bidi="ar"/>
              </w:rPr>
              <w:t>万元以上</w:t>
            </w:r>
            <w:r>
              <w:rPr>
                <w:rFonts w:ascii="TimesNewRomanPSMT" w:hAnsi="TimesNewRomanPSMT" w:eastAsia="TimesNewRomanPSMT" w:cs="TimesNewRomanPSMT"/>
                <w:color w:val="000000"/>
                <w:sz w:val="13"/>
                <w:szCs w:val="13"/>
                <w:lang w:val="en-US" w:bidi="ar"/>
              </w:rPr>
              <w:t>50</w:t>
            </w:r>
            <w:r>
              <w:rPr>
                <w:rFonts w:hint="eastAsia"/>
                <w:color w:val="000000"/>
                <w:sz w:val="13"/>
                <w:szCs w:val="13"/>
                <w:lang w:val="en-US" w:bidi="ar"/>
              </w:rPr>
              <w:t xml:space="preserve">万元以下的罚 </w:t>
            </w:r>
          </w:p>
          <w:p>
            <w:pPr>
              <w:widowControl/>
              <w:rPr>
                <w:sz w:val="13"/>
                <w:szCs w:val="13"/>
              </w:rPr>
            </w:pPr>
            <w:r>
              <w:rPr>
                <w:rFonts w:hint="eastAsia"/>
                <w:color w:val="000000"/>
                <w:sz w:val="13"/>
                <w:szCs w:val="13"/>
                <w:lang w:val="en-US" w:bidi="ar"/>
              </w:rPr>
              <w:t xml:space="preserve">款，并没收非法生产、销售的民用爆炸物品及其 </w:t>
            </w:r>
          </w:p>
          <w:p>
            <w:pPr>
              <w:widowControl/>
              <w:rPr>
                <w:sz w:val="13"/>
                <w:szCs w:val="13"/>
              </w:rPr>
            </w:pPr>
            <w:r>
              <w:rPr>
                <w:rFonts w:hint="eastAsia"/>
                <w:color w:val="000000"/>
                <w:sz w:val="13"/>
                <w:szCs w:val="13"/>
                <w:lang w:val="en-US" w:bidi="ar"/>
              </w:rPr>
              <w:t xml:space="preserve">违法所得。违反本条例规定，未经许可购买、运 </w:t>
            </w:r>
          </w:p>
          <w:p>
            <w:pPr>
              <w:widowControl/>
              <w:rPr>
                <w:sz w:val="13"/>
                <w:szCs w:val="13"/>
              </w:rPr>
            </w:pPr>
            <w:r>
              <w:rPr>
                <w:rFonts w:hint="eastAsia"/>
                <w:color w:val="000000"/>
                <w:sz w:val="13"/>
                <w:szCs w:val="13"/>
                <w:lang w:val="en-US" w:bidi="ar"/>
              </w:rPr>
              <w:t xml:space="preserve">输民用爆炸物品或者从事爆破作业的，由公安机 </w:t>
            </w:r>
          </w:p>
          <w:p>
            <w:pPr>
              <w:widowControl/>
              <w:rPr>
                <w:sz w:val="13"/>
                <w:szCs w:val="13"/>
              </w:rPr>
            </w:pPr>
            <w:r>
              <w:rPr>
                <w:rFonts w:hint="eastAsia"/>
                <w:color w:val="000000"/>
                <w:sz w:val="13"/>
                <w:szCs w:val="13"/>
                <w:lang w:val="en-US" w:bidi="ar"/>
              </w:rPr>
              <w:t>关责令停止非法购买、运输、爆破作业活动，处</w:t>
            </w:r>
            <w:r>
              <w:rPr>
                <w:rFonts w:ascii="TimesNewRomanPSMT" w:hAnsi="TimesNewRomanPSMT" w:eastAsia="TimesNewRomanPSMT" w:cs="TimesNewRomanPSMT"/>
                <w:color w:val="000000"/>
                <w:sz w:val="13"/>
                <w:szCs w:val="13"/>
                <w:lang w:val="en-US" w:bidi="ar"/>
              </w:rPr>
              <w:t xml:space="preserve">5 </w:t>
            </w:r>
          </w:p>
          <w:p>
            <w:pPr>
              <w:widowControl/>
              <w:rPr>
                <w:sz w:val="13"/>
                <w:szCs w:val="13"/>
              </w:rPr>
            </w:pPr>
            <w:r>
              <w:rPr>
                <w:rFonts w:hint="eastAsia"/>
                <w:color w:val="000000"/>
                <w:sz w:val="13"/>
                <w:szCs w:val="13"/>
                <w:lang w:val="en-US" w:bidi="ar"/>
              </w:rPr>
              <w:t>万元以上</w:t>
            </w:r>
            <w:r>
              <w:rPr>
                <w:rFonts w:ascii="TimesNewRomanPSMT" w:hAnsi="TimesNewRomanPSMT" w:eastAsia="TimesNewRomanPSMT" w:cs="TimesNewRomanPSMT"/>
                <w:color w:val="000000"/>
                <w:sz w:val="13"/>
                <w:szCs w:val="13"/>
                <w:lang w:val="en-US" w:bidi="ar"/>
              </w:rPr>
              <w:t>20</w:t>
            </w:r>
            <w:r>
              <w:rPr>
                <w:rFonts w:hint="eastAsia"/>
                <w:color w:val="000000"/>
                <w:sz w:val="13"/>
                <w:szCs w:val="13"/>
                <w:lang w:val="en-US" w:bidi="ar"/>
              </w:rPr>
              <w:t xml:space="preserve">万元以下的罚款，并没收非法购买、 </w:t>
            </w:r>
          </w:p>
          <w:p>
            <w:pPr>
              <w:widowControl/>
              <w:rPr>
                <w:sz w:val="13"/>
                <w:szCs w:val="13"/>
              </w:rPr>
            </w:pPr>
            <w:r>
              <w:rPr>
                <w:rFonts w:hint="eastAsia"/>
                <w:color w:val="000000"/>
                <w:sz w:val="13"/>
                <w:szCs w:val="13"/>
                <w:lang w:val="en-US" w:bidi="ar"/>
              </w:rPr>
              <w:t xml:space="preserve">运输以及从事爆破作业使用的民用爆炸物品及其 </w:t>
            </w:r>
          </w:p>
          <w:p>
            <w:pPr>
              <w:widowControl/>
              <w:rPr>
                <w:sz w:val="13"/>
                <w:szCs w:val="13"/>
              </w:rPr>
            </w:pPr>
            <w:r>
              <w:rPr>
                <w:rFonts w:hint="eastAsia"/>
                <w:color w:val="000000"/>
                <w:sz w:val="13"/>
                <w:szCs w:val="13"/>
                <w:lang w:val="en-US" w:bidi="ar"/>
              </w:rPr>
              <w:t>违法所得。</w:t>
            </w:r>
          </w:p>
          <w:p>
            <w:pPr>
              <w:pStyle w:val="9"/>
              <w:spacing w:before="126" w:line="189" w:lineRule="auto"/>
              <w:ind w:left="33" w:right="62"/>
              <w:jc w:val="both"/>
              <w:rPr>
                <w:sz w:val="13"/>
                <w:szCs w:val="13"/>
              </w:rPr>
            </w:pPr>
          </w:p>
        </w:tc>
        <w:tc>
          <w:tcPr>
            <w:tcW w:w="4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民用</w:t>
            </w:r>
          </w:p>
          <w:p>
            <w:pPr>
              <w:widowControl/>
              <w:rPr>
                <w:sz w:val="13"/>
                <w:szCs w:val="13"/>
              </w:rPr>
            </w:pPr>
            <w:r>
              <w:rPr>
                <w:rFonts w:hint="eastAsia"/>
                <w:color w:val="000000"/>
                <w:sz w:val="13"/>
                <w:szCs w:val="13"/>
                <w:lang w:val="en-US" w:bidi="ar"/>
              </w:rPr>
              <w:t>爆炸</w:t>
            </w:r>
          </w:p>
          <w:p>
            <w:pPr>
              <w:widowControl/>
              <w:rPr>
                <w:sz w:val="13"/>
                <w:szCs w:val="13"/>
              </w:rPr>
            </w:pPr>
            <w:r>
              <w:rPr>
                <w:rFonts w:hint="eastAsia"/>
                <w:color w:val="000000"/>
                <w:sz w:val="13"/>
                <w:szCs w:val="13"/>
                <w:lang w:val="en-US" w:bidi="ar"/>
              </w:rPr>
              <w:t>物品</w:t>
            </w:r>
          </w:p>
          <w:p>
            <w:pPr>
              <w:widowControl/>
              <w:rPr>
                <w:sz w:val="13"/>
                <w:szCs w:val="13"/>
              </w:rPr>
            </w:pPr>
            <w:r>
              <w:rPr>
                <w:rFonts w:hint="eastAsia"/>
                <w:color w:val="000000"/>
                <w:sz w:val="13"/>
                <w:szCs w:val="13"/>
                <w:lang w:val="en-US" w:bidi="ar"/>
              </w:rPr>
              <w:t>生产</w:t>
            </w:r>
          </w:p>
          <w:p>
            <w:pPr>
              <w:widowControl/>
              <w:rPr>
                <w:sz w:val="13"/>
                <w:szCs w:val="13"/>
              </w:rPr>
            </w:pPr>
            <w:r>
              <w:rPr>
                <w:rFonts w:hint="eastAsia"/>
                <w:color w:val="000000"/>
                <w:sz w:val="13"/>
                <w:szCs w:val="13"/>
                <w:lang w:val="en-US" w:bidi="ar"/>
              </w:rPr>
              <w:t>、销</w:t>
            </w:r>
          </w:p>
          <w:p>
            <w:pPr>
              <w:widowControl/>
              <w:rPr>
                <w:sz w:val="13"/>
                <w:szCs w:val="13"/>
              </w:rPr>
            </w:pPr>
            <w:r>
              <w:rPr>
                <w:rFonts w:hint="eastAsia"/>
                <w:color w:val="000000"/>
                <w:sz w:val="13"/>
                <w:szCs w:val="13"/>
                <w:lang w:val="en-US" w:bidi="ar"/>
              </w:rPr>
              <w:t>售/运输企</w:t>
            </w:r>
          </w:p>
          <w:p>
            <w:pPr>
              <w:widowControl/>
              <w:rPr>
                <w:sz w:val="13"/>
                <w:szCs w:val="13"/>
              </w:rPr>
            </w:pPr>
            <w:r>
              <w:rPr>
                <w:rFonts w:hint="eastAsia"/>
                <w:color w:val="000000"/>
                <w:sz w:val="13"/>
                <w:szCs w:val="13"/>
                <w:lang w:val="en-US" w:bidi="ar"/>
              </w:rPr>
              <w:t>业</w:t>
            </w:r>
          </w:p>
          <w:p>
            <w:pPr>
              <w:pStyle w:val="9"/>
              <w:spacing w:line="192" w:lineRule="auto"/>
              <w:ind w:left="83" w:right="23"/>
              <w:rPr>
                <w:sz w:val="13"/>
                <w:szCs w:val="13"/>
              </w:rPr>
            </w:pPr>
          </w:p>
        </w:tc>
        <w:tc>
          <w:tcPr>
            <w:tcW w:w="7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jc w:val="center"/>
              <w:rPr>
                <w:rFonts w:ascii="Times New Roman"/>
                <w:sz w:val="13"/>
                <w:szCs w:val="13"/>
              </w:rPr>
            </w:pPr>
          </w:p>
          <w:p>
            <w:pPr>
              <w:pStyle w:val="9"/>
              <w:spacing w:before="7"/>
              <w:ind w:left="97" w:right="66"/>
              <w:jc w:val="center"/>
              <w:rPr>
                <w:rFonts w:ascii="Times New Roman" w:eastAsia="Times New Roman"/>
                <w:sz w:val="13"/>
                <w:szCs w:val="13"/>
              </w:rPr>
            </w:pPr>
            <w:r>
              <w:rPr>
                <w:rFonts w:hint="eastAsia"/>
                <w:color w:val="000000"/>
                <w:sz w:val="13"/>
                <w:szCs w:val="13"/>
                <w:lang w:val="en-US" w:bidi="ar"/>
              </w:rPr>
              <w:t>安全科3311262</w:t>
            </w:r>
          </w:p>
        </w:tc>
        <w:tc>
          <w:tcPr>
            <w:tcW w:w="876"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9"/>
              <w:rPr>
                <w:rFonts w:ascii="Times New Roman"/>
                <w:sz w:val="13"/>
                <w:szCs w:val="13"/>
              </w:rPr>
            </w:pPr>
          </w:p>
          <w:p>
            <w:pPr>
              <w:pStyle w:val="9"/>
              <w:ind w:left="32"/>
              <w:jc w:val="center"/>
              <w:rPr>
                <w:sz w:val="13"/>
                <w:szCs w:val="13"/>
              </w:rPr>
            </w:pPr>
            <w:r>
              <w:rPr>
                <w:w w:val="102"/>
                <w:sz w:val="13"/>
                <w:szCs w:val="13"/>
              </w:rPr>
              <w:t>无</w:t>
            </w:r>
          </w:p>
        </w:tc>
        <w:tc>
          <w:tcPr>
            <w:tcW w:w="444" w:type="dxa"/>
          </w:tcPr>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米东区发改委（工信局）</w:t>
            </w:r>
          </w:p>
          <w:p>
            <w:pPr>
              <w:widowControl/>
              <w:rPr>
                <w:sz w:val="13"/>
                <w:szCs w:val="13"/>
              </w:rPr>
            </w:pPr>
          </w:p>
        </w:tc>
        <w:tc>
          <w:tcPr>
            <w:tcW w:w="3760" w:type="dxa"/>
            <w:vAlign w:val="center"/>
          </w:tcPr>
          <w:p>
            <w:pPr>
              <w:widowControl/>
              <w:jc w:val="both"/>
              <w:rPr>
                <w:sz w:val="16"/>
                <w:szCs w:val="16"/>
              </w:rPr>
            </w:pPr>
            <w:r>
              <w:rPr>
                <w:rFonts w:ascii="TimesNewRomanPSMT" w:hAnsi="TimesNewRomanPSMT" w:eastAsia="TimesNewRomanPSMT" w:cs="TimesNewRomanPSMT"/>
                <w:color w:val="000000"/>
                <w:sz w:val="16"/>
                <w:szCs w:val="16"/>
                <w:lang w:val="en-US" w:bidi="ar"/>
              </w:rPr>
              <w:t>1.</w:t>
            </w:r>
            <w:r>
              <w:rPr>
                <w:color w:val="000000"/>
                <w:sz w:val="16"/>
                <w:szCs w:val="16"/>
                <w:lang w:val="en-US" w:bidi="ar"/>
              </w:rPr>
              <w:t>立案责任：按照立案条件在规定期限内进行审查</w:t>
            </w:r>
          </w:p>
          <w:p>
            <w:pPr>
              <w:widowControl/>
              <w:jc w:val="both"/>
              <w:rPr>
                <w:sz w:val="16"/>
                <w:szCs w:val="16"/>
              </w:rPr>
            </w:pPr>
            <w:r>
              <w:rPr>
                <w:rFonts w:hint="eastAsia"/>
                <w:color w:val="000000"/>
                <w:sz w:val="16"/>
                <w:szCs w:val="16"/>
                <w:lang w:val="en-US" w:bidi="ar"/>
              </w:rPr>
              <w:t>并决定是否立案（不予立案应当告知理由）；对需要补充材料的，应当场一次性告知。</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调查责任：对违法违规行为进行调查，依法收集整理证据材料；执法人员不得少于两人，调查时应出示执法身份证件，允许当事人陈述申辩，并严格执行监察回避制度。</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审查责任：应当对案件违法事实、证据、调查取证程序、法律适用、处罚种类和幅度以及当事人陈述申辩理由等方面进行审查，并提出处理意见。对情节复杂或者重大违法行为给予较重的行政处罚，由市工信局（大数据发展局）局务会研究提出审查意见。</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告知责任：在做出行政处罚决定前，应书面告知当事人违法事实及其享有的陈述、申辩、要求听证等权利。</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决定责任：决定给予行政处罚的，应制作《行政处罚决定书》，载明违法事实和证据、处罚依据和内容、申请行政复议或提起行政诉讼的途径和期限等。</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送达责任：《行政处罚决定书》应在规定期限内依法送达当事人。</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执行责任：监督当事人在规定的期限内履行生效的行政处罚决定。当事人在法定期限内既不申请行政复议或者提起行政诉讼，又不履行处罚决定的，可依法向人民法院申请强制执行等措施。</w:t>
            </w:r>
          </w:p>
          <w:p>
            <w:pPr>
              <w:widowControl/>
              <w:jc w:val="both"/>
              <w:rPr>
                <w:sz w:val="13"/>
                <w:szCs w:val="13"/>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其他法律法规政策规定应履行的责任。</w:t>
            </w:r>
          </w:p>
        </w:tc>
        <w:tc>
          <w:tcPr>
            <w:tcW w:w="3707" w:type="dxa"/>
            <w:vAlign w:val="center"/>
          </w:tcPr>
          <w:p>
            <w:pPr>
              <w:widowControl/>
              <w:jc w:val="both"/>
              <w:rPr>
                <w:sz w:val="16"/>
                <w:szCs w:val="16"/>
              </w:rPr>
            </w:pPr>
            <w:r>
              <w:rPr>
                <w:color w:val="000000"/>
                <w:sz w:val="16"/>
                <w:szCs w:val="16"/>
                <w:lang w:val="en-US" w:bidi="ar"/>
              </w:rPr>
              <w:t xml:space="preserve">行政主管部门及其工作人员有下列行为之一 </w:t>
            </w:r>
            <w:r>
              <w:rPr>
                <w:rFonts w:hint="eastAsia"/>
                <w:color w:val="000000"/>
                <w:sz w:val="16"/>
                <w:szCs w:val="16"/>
                <w:lang w:val="en-US" w:bidi="ar"/>
              </w:rPr>
              <w:t xml:space="preserve">的，对直接负责的主管人员和其他直接责任人 员，依法给予处分；构成犯罪的，依法追究刑 事责任： </w:t>
            </w:r>
          </w:p>
          <w:p>
            <w:pPr>
              <w:widowControl/>
              <w:jc w:val="both"/>
              <w:rPr>
                <w:sz w:val="16"/>
                <w:szCs w:val="16"/>
              </w:rPr>
            </w:pPr>
            <w:r>
              <w:rPr>
                <w:rFonts w:ascii="TimesNewRomanPSMT" w:hAnsi="TimesNewRomanPSMT" w:eastAsia="TimesNewRomanPSMT" w:cs="TimesNewRomanPSMT"/>
                <w:color w:val="000000"/>
                <w:sz w:val="16"/>
                <w:szCs w:val="16"/>
                <w:lang w:val="en-US" w:bidi="ar"/>
              </w:rPr>
              <w:t>1.</w:t>
            </w:r>
            <w:r>
              <w:rPr>
                <w:rFonts w:hint="eastAsia"/>
                <w:color w:val="000000"/>
                <w:sz w:val="16"/>
                <w:szCs w:val="16"/>
                <w:lang w:val="en-US" w:bidi="ar"/>
              </w:rPr>
              <w:t xml:space="preserve">执法人员玩忽职守，对应当予以制止和处罚的 违法行为不予制止、处罚，致使国家资源遭受 损害的； </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 xml:space="preserve">不依法受理举报、投诉或者受理后未在法定期限内处理的； </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 xml:space="preserve">对符合立案条件而不予立案的； </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 xml:space="preserve">对不符合立案条件而立案调查的； </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 xml:space="preserve">没有法定的行政处罚依据的； </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 xml:space="preserve">违反法定的行政处罚程序的； </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 xml:space="preserve">擅自改变行政处罚种类、幅度的； </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 xml:space="preserve">对当事人进行处罚不使用罚款、没收财物单据或者使用非法定部门制发的罚款、没收财物单据的； </w:t>
            </w:r>
          </w:p>
          <w:p>
            <w:pPr>
              <w:widowControl/>
              <w:jc w:val="both"/>
              <w:rPr>
                <w:sz w:val="16"/>
                <w:szCs w:val="16"/>
              </w:rPr>
            </w:pPr>
            <w:r>
              <w:rPr>
                <w:rFonts w:ascii="TimesNewRomanPSMT" w:hAnsi="TimesNewRomanPSMT" w:eastAsia="TimesNewRomanPSMT" w:cs="TimesNewRomanPSMT"/>
                <w:color w:val="000000"/>
                <w:sz w:val="16"/>
                <w:szCs w:val="16"/>
                <w:lang w:val="en-US" w:bidi="ar"/>
              </w:rPr>
              <w:t>9.</w:t>
            </w:r>
            <w:r>
              <w:rPr>
                <w:rFonts w:hint="eastAsia"/>
                <w:color w:val="000000"/>
                <w:sz w:val="16"/>
                <w:szCs w:val="16"/>
                <w:lang w:val="en-US" w:bidi="ar"/>
              </w:rPr>
              <w:t xml:space="preserve">违反法律规定自行收缴罚款的； </w:t>
            </w:r>
          </w:p>
          <w:p>
            <w:pPr>
              <w:widowControl/>
              <w:jc w:val="both"/>
              <w:rPr>
                <w:sz w:val="16"/>
                <w:szCs w:val="16"/>
              </w:rPr>
            </w:pPr>
            <w:r>
              <w:rPr>
                <w:rFonts w:ascii="TimesNewRomanPSMT" w:hAnsi="TimesNewRomanPSMT" w:eastAsia="TimesNewRomanPSMT" w:cs="TimesNewRomanPSMT"/>
                <w:color w:val="000000"/>
                <w:sz w:val="16"/>
                <w:szCs w:val="16"/>
                <w:lang w:val="en-US" w:bidi="ar"/>
              </w:rPr>
              <w:t>10.</w:t>
            </w:r>
            <w:r>
              <w:rPr>
                <w:rFonts w:hint="eastAsia"/>
                <w:color w:val="000000"/>
                <w:sz w:val="16"/>
                <w:szCs w:val="16"/>
                <w:lang w:val="en-US" w:bidi="ar"/>
              </w:rPr>
              <w:t xml:space="preserve">将罚款、没收的违法所得或者财物截留、私分或者变相私分的； </w:t>
            </w:r>
          </w:p>
          <w:p>
            <w:pPr>
              <w:widowControl/>
              <w:jc w:val="both"/>
              <w:rPr>
                <w:sz w:val="16"/>
                <w:szCs w:val="16"/>
              </w:rPr>
            </w:pPr>
            <w:r>
              <w:rPr>
                <w:rFonts w:ascii="TimesNewRomanPSMT" w:hAnsi="TimesNewRomanPSMT" w:eastAsia="TimesNewRomanPSMT" w:cs="TimesNewRomanPSMT"/>
                <w:color w:val="000000"/>
                <w:sz w:val="16"/>
                <w:szCs w:val="16"/>
                <w:lang w:val="en-US" w:bidi="ar"/>
              </w:rPr>
              <w:t>11.</w:t>
            </w:r>
            <w:r>
              <w:rPr>
                <w:rFonts w:hint="eastAsia"/>
                <w:color w:val="000000"/>
                <w:sz w:val="16"/>
                <w:szCs w:val="16"/>
                <w:lang w:val="en-US" w:bidi="ar"/>
              </w:rPr>
              <w:t xml:space="preserve">为牟取本单位私利，对应当移交司法机关追究刑事责任的不移交，以行政处罚代替刑罚； </w:t>
            </w:r>
          </w:p>
          <w:p>
            <w:pPr>
              <w:widowControl/>
              <w:jc w:val="both"/>
              <w:rPr>
                <w:sz w:val="16"/>
                <w:szCs w:val="16"/>
              </w:rPr>
            </w:pPr>
            <w:r>
              <w:rPr>
                <w:rFonts w:ascii="TimesNewRomanPSMT" w:hAnsi="TimesNewRomanPSMT" w:eastAsia="TimesNewRomanPSMT" w:cs="TimesNewRomanPSMT"/>
                <w:color w:val="000000"/>
                <w:sz w:val="16"/>
                <w:szCs w:val="16"/>
                <w:lang w:val="en-US" w:bidi="ar"/>
              </w:rPr>
              <w:t>12.</w:t>
            </w:r>
            <w:r>
              <w:rPr>
                <w:rFonts w:hint="eastAsia"/>
                <w:color w:val="000000"/>
                <w:sz w:val="16"/>
                <w:szCs w:val="16"/>
                <w:lang w:val="en-US" w:bidi="ar"/>
              </w:rPr>
              <w:t>其他法律、法规、规章、文件规定的行为。</w:t>
            </w:r>
          </w:p>
          <w:p>
            <w:pPr>
              <w:pStyle w:val="9"/>
              <w:tabs>
                <w:tab w:val="left" w:pos="219"/>
              </w:tabs>
              <w:spacing w:line="202" w:lineRule="exact"/>
              <w:jc w:val="both"/>
              <w:rPr>
                <w:sz w:val="13"/>
                <w:szCs w:val="13"/>
              </w:rPr>
            </w:pPr>
          </w:p>
        </w:tc>
      </w:tr>
    </w:tbl>
    <w:p/>
    <w:p/>
    <w:p/>
    <w:p/>
    <w:tbl>
      <w:tblPr>
        <w:tblStyle w:val="5"/>
        <w:tblW w:w="14931"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531"/>
        <w:gridCol w:w="540"/>
        <w:gridCol w:w="862"/>
        <w:gridCol w:w="2837"/>
        <w:gridCol w:w="452"/>
        <w:gridCol w:w="814"/>
        <w:gridCol w:w="988"/>
        <w:gridCol w:w="577"/>
        <w:gridCol w:w="3287"/>
        <w:gridCol w:w="370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531" w:type="dxa"/>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402" w:type="dxa"/>
            <w:gridSpan w:val="2"/>
          </w:tcPr>
          <w:p>
            <w:pPr>
              <w:pStyle w:val="9"/>
              <w:spacing w:before="117"/>
              <w:rPr>
                <w:rFonts w:ascii="黑体" w:eastAsia="黑体"/>
                <w:b/>
                <w:sz w:val="10"/>
                <w:szCs w:val="10"/>
              </w:rPr>
            </w:pPr>
          </w:p>
          <w:p>
            <w:pPr>
              <w:pStyle w:val="9"/>
              <w:spacing w:before="117"/>
              <w:ind w:firstLine="361" w:firstLineChars="200"/>
              <w:rPr>
                <w:rFonts w:ascii="黑体" w:eastAsia="黑体"/>
                <w:b/>
                <w:sz w:val="18"/>
              </w:rPr>
            </w:pPr>
            <w:r>
              <w:rPr>
                <w:rFonts w:hint="eastAsia" w:ascii="黑体" w:eastAsia="黑体"/>
                <w:b/>
                <w:sz w:val="18"/>
              </w:rPr>
              <w:t>职权名称</w:t>
            </w:r>
          </w:p>
        </w:tc>
        <w:tc>
          <w:tcPr>
            <w:tcW w:w="2837" w:type="dxa"/>
          </w:tcPr>
          <w:p>
            <w:pPr>
              <w:pStyle w:val="9"/>
              <w:rPr>
                <w:rFonts w:ascii="Times New Roman"/>
                <w:sz w:val="18"/>
              </w:rPr>
            </w:pPr>
          </w:p>
          <w:p>
            <w:pPr>
              <w:pStyle w:val="9"/>
              <w:spacing w:before="140"/>
              <w:ind w:right="1120"/>
              <w:jc w:val="center"/>
              <w:rPr>
                <w:rFonts w:ascii="黑体" w:eastAsia="黑体"/>
                <w:b/>
                <w:sz w:val="18"/>
              </w:rPr>
            </w:pPr>
            <w:r>
              <w:rPr>
                <w:rFonts w:hint="eastAsia" w:ascii="黑体" w:eastAsia="黑体"/>
                <w:b/>
                <w:sz w:val="18"/>
                <w:lang w:val="en-US"/>
              </w:rPr>
              <w:t xml:space="preserve">         </w:t>
            </w:r>
            <w:r>
              <w:rPr>
                <w:rFonts w:hint="eastAsia" w:ascii="黑体" w:eastAsia="黑体"/>
                <w:b/>
                <w:sz w:val="18"/>
              </w:rPr>
              <w:t>实施依据</w:t>
            </w:r>
          </w:p>
        </w:tc>
        <w:tc>
          <w:tcPr>
            <w:tcW w:w="452"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814"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988" w:type="dxa"/>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577"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287" w:type="dxa"/>
          </w:tcPr>
          <w:p>
            <w:pPr>
              <w:pStyle w:val="9"/>
              <w:rPr>
                <w:rFonts w:ascii="Times New Roman"/>
                <w:sz w:val="18"/>
              </w:rPr>
            </w:pPr>
          </w:p>
          <w:p>
            <w:pPr>
              <w:pStyle w:val="9"/>
              <w:spacing w:before="140"/>
              <w:ind w:right="1363" w:firstLine="1084" w:firstLineChars="600"/>
              <w:jc w:val="both"/>
              <w:rPr>
                <w:rFonts w:ascii="黑体" w:eastAsia="黑体"/>
                <w:b/>
                <w:sz w:val="18"/>
              </w:rPr>
            </w:pPr>
            <w:r>
              <w:rPr>
                <w:rFonts w:hint="eastAsia" w:ascii="黑体" w:eastAsia="黑体"/>
                <w:b/>
                <w:sz w:val="18"/>
              </w:rPr>
              <w:t>责任事项</w:t>
            </w:r>
          </w:p>
        </w:tc>
        <w:tc>
          <w:tcPr>
            <w:tcW w:w="3707" w:type="dxa"/>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23" w:hRule="atLeast"/>
        </w:trPr>
        <w:tc>
          <w:tcPr>
            <w:tcW w:w="336" w:type="dxa"/>
            <w:vMerge w:val="restart"/>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jc w:val="center"/>
              <w:rPr>
                <w:rFonts w:ascii="Times New Roman"/>
                <w:sz w:val="13"/>
                <w:szCs w:val="13"/>
                <w:lang w:val="en-US"/>
              </w:rPr>
            </w:pPr>
          </w:p>
          <w:p>
            <w:pPr>
              <w:pStyle w:val="9"/>
              <w:jc w:val="center"/>
              <w:rPr>
                <w:rFonts w:ascii="Times New Roman"/>
                <w:sz w:val="13"/>
                <w:szCs w:val="13"/>
              </w:rPr>
            </w:pPr>
          </w:p>
          <w:p>
            <w:pPr>
              <w:widowControl/>
              <w:jc w:val="center"/>
              <w:rPr>
                <w:sz w:val="13"/>
                <w:szCs w:val="13"/>
              </w:rPr>
            </w:pPr>
            <w:r>
              <w:rPr>
                <w:rFonts w:hint="eastAsia" w:ascii="TimesNewRomanPSMT" w:hAnsi="TimesNewRomanPSMT" w:eastAsia="TimesNewRomanPSMT" w:cs="TimesNewRomanPSMT"/>
                <w:color w:val="000000"/>
                <w:sz w:val="13"/>
                <w:szCs w:val="13"/>
                <w:lang w:val="en-US" w:bidi="ar"/>
              </w:rPr>
              <w:t>9</w:t>
            </w:r>
          </w:p>
          <w:p>
            <w:pPr>
              <w:pStyle w:val="9"/>
              <w:spacing w:before="112"/>
              <w:ind w:left="28"/>
              <w:jc w:val="center"/>
              <w:rPr>
                <w:rFonts w:ascii="Times New Roman"/>
                <w:sz w:val="13"/>
                <w:szCs w:val="13"/>
                <w:lang w:val="en-US"/>
              </w:rPr>
            </w:pPr>
          </w:p>
        </w:tc>
        <w:tc>
          <w:tcPr>
            <w:tcW w:w="531" w:type="dxa"/>
          </w:tcPr>
          <w:p>
            <w:pPr>
              <w:pStyle w:val="9"/>
              <w:jc w:val="both"/>
              <w:rPr>
                <w:rFonts w:ascii="Times New Roman"/>
                <w:sz w:val="13"/>
                <w:szCs w:val="13"/>
              </w:rPr>
            </w:pPr>
          </w:p>
          <w:p>
            <w:pPr>
              <w:pStyle w:val="9"/>
              <w:jc w:val="both"/>
              <w:rPr>
                <w:rFonts w:ascii="Times New Roman"/>
                <w:sz w:val="13"/>
                <w:szCs w:val="13"/>
              </w:rPr>
            </w:pPr>
          </w:p>
          <w:p>
            <w:pPr>
              <w:pStyle w:val="9"/>
              <w:jc w:val="both"/>
              <w:rPr>
                <w:rFonts w:ascii="Times New Roman"/>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widowControl/>
              <w:rPr>
                <w:sz w:val="13"/>
                <w:szCs w:val="13"/>
                <w:lang w:val="en-US"/>
              </w:rPr>
            </w:pPr>
            <w:r>
              <w:rPr>
                <w:rFonts w:ascii="Times New Roman"/>
                <w:sz w:val="13"/>
                <w:szCs w:val="13"/>
              </w:rPr>
              <w:t>CF0</w:t>
            </w:r>
            <w:r>
              <w:rPr>
                <w:rFonts w:hint="eastAsia" w:ascii="Times New Roman"/>
                <w:sz w:val="13"/>
                <w:szCs w:val="13"/>
                <w:lang w:val="en-US"/>
              </w:rPr>
              <w:t>25</w:t>
            </w:r>
          </w:p>
          <w:p>
            <w:pPr>
              <w:jc w:val="center"/>
              <w:rPr>
                <w:sz w:val="13"/>
                <w:szCs w:val="13"/>
              </w:rPr>
            </w:pPr>
          </w:p>
        </w:tc>
        <w:tc>
          <w:tcPr>
            <w:tcW w:w="540" w:type="dxa"/>
            <w:vMerge w:val="restart"/>
          </w:tcPr>
          <w:p>
            <w:pPr>
              <w:pStyle w:val="9"/>
              <w:rPr>
                <w:rFonts w:ascii="Times New Roman"/>
                <w:sz w:val="13"/>
                <w:szCs w:val="13"/>
              </w:rPr>
            </w:pPr>
          </w:p>
          <w:p>
            <w:pPr>
              <w:pStyle w:val="9"/>
              <w:jc w:val="center"/>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pStyle w:val="9"/>
              <w:spacing w:line="192" w:lineRule="auto"/>
              <w:ind w:left="32" w:right="39"/>
              <w:jc w:val="both"/>
              <w:rPr>
                <w:sz w:val="13"/>
                <w:szCs w:val="13"/>
              </w:rPr>
            </w:pPr>
          </w:p>
          <w:p>
            <w:pPr>
              <w:widowControl/>
              <w:rPr>
                <w:sz w:val="13"/>
                <w:szCs w:val="13"/>
              </w:rPr>
            </w:pPr>
            <w:r>
              <w:rPr>
                <w:color w:val="000000"/>
                <w:sz w:val="13"/>
                <w:szCs w:val="13"/>
                <w:lang w:val="en-US" w:bidi="ar"/>
              </w:rPr>
              <w:t xml:space="preserve">对生产、销 </w:t>
            </w:r>
          </w:p>
          <w:p>
            <w:pPr>
              <w:widowControl/>
              <w:rPr>
                <w:sz w:val="13"/>
                <w:szCs w:val="13"/>
              </w:rPr>
            </w:pPr>
            <w:r>
              <w:rPr>
                <w:rFonts w:hint="eastAsia"/>
                <w:color w:val="000000"/>
                <w:sz w:val="13"/>
                <w:szCs w:val="13"/>
                <w:lang w:val="en-US" w:bidi="ar"/>
              </w:rPr>
              <w:t xml:space="preserve">售民用爆炸 </w:t>
            </w:r>
          </w:p>
          <w:p>
            <w:pPr>
              <w:widowControl/>
              <w:rPr>
                <w:sz w:val="13"/>
                <w:szCs w:val="13"/>
              </w:rPr>
            </w:pPr>
            <w:r>
              <w:rPr>
                <w:rFonts w:hint="eastAsia"/>
                <w:color w:val="000000"/>
                <w:sz w:val="13"/>
                <w:szCs w:val="13"/>
                <w:lang w:val="en-US" w:bidi="ar"/>
              </w:rPr>
              <w:t xml:space="preserve">物品的企业 </w:t>
            </w:r>
          </w:p>
          <w:p>
            <w:pPr>
              <w:widowControl/>
              <w:rPr>
                <w:sz w:val="13"/>
                <w:szCs w:val="13"/>
              </w:rPr>
            </w:pPr>
            <w:r>
              <w:rPr>
                <w:rFonts w:hint="eastAsia"/>
                <w:color w:val="000000"/>
                <w:sz w:val="13"/>
                <w:szCs w:val="13"/>
                <w:lang w:val="en-US" w:bidi="ar"/>
              </w:rPr>
              <w:t xml:space="preserve">违法违规生 </w:t>
            </w:r>
          </w:p>
          <w:p>
            <w:pPr>
              <w:widowControl/>
              <w:rPr>
                <w:sz w:val="13"/>
                <w:szCs w:val="13"/>
              </w:rPr>
            </w:pPr>
            <w:r>
              <w:rPr>
                <w:rFonts w:hint="eastAsia"/>
                <w:color w:val="000000"/>
                <w:sz w:val="13"/>
                <w:szCs w:val="13"/>
                <w:lang w:val="en-US" w:bidi="ar"/>
              </w:rPr>
              <w:t xml:space="preserve">产、包装、 </w:t>
            </w:r>
          </w:p>
          <w:p>
            <w:pPr>
              <w:widowControl/>
              <w:rPr>
                <w:sz w:val="13"/>
                <w:szCs w:val="13"/>
              </w:rPr>
            </w:pPr>
            <w:r>
              <w:rPr>
                <w:rFonts w:hint="eastAsia"/>
                <w:color w:val="000000"/>
                <w:sz w:val="13"/>
                <w:szCs w:val="13"/>
                <w:lang w:val="en-US" w:bidi="ar"/>
              </w:rPr>
              <w:t xml:space="preserve">购买、销售 </w:t>
            </w:r>
          </w:p>
          <w:p>
            <w:pPr>
              <w:widowControl/>
              <w:rPr>
                <w:sz w:val="13"/>
                <w:szCs w:val="13"/>
              </w:rPr>
            </w:pPr>
            <w:r>
              <w:rPr>
                <w:rFonts w:hint="eastAsia"/>
                <w:color w:val="000000"/>
                <w:sz w:val="13"/>
                <w:szCs w:val="13"/>
                <w:lang w:val="en-US" w:bidi="ar"/>
              </w:rPr>
              <w:t xml:space="preserve">民用爆炸物 </w:t>
            </w:r>
          </w:p>
          <w:p>
            <w:pPr>
              <w:widowControl/>
              <w:rPr>
                <w:sz w:val="13"/>
                <w:szCs w:val="13"/>
              </w:rPr>
            </w:pPr>
            <w:r>
              <w:rPr>
                <w:rFonts w:hint="eastAsia"/>
                <w:color w:val="000000"/>
                <w:sz w:val="13"/>
                <w:szCs w:val="13"/>
                <w:lang w:val="en-US" w:bidi="ar"/>
              </w:rPr>
              <w:t xml:space="preserve">品等行为的 </w:t>
            </w:r>
          </w:p>
          <w:p>
            <w:pPr>
              <w:widowControl/>
              <w:rPr>
                <w:sz w:val="13"/>
                <w:szCs w:val="13"/>
              </w:rPr>
            </w:pPr>
            <w:r>
              <w:rPr>
                <w:rFonts w:hint="eastAsia"/>
                <w:color w:val="000000"/>
                <w:sz w:val="13"/>
                <w:szCs w:val="13"/>
                <w:lang w:val="en-US" w:bidi="ar"/>
              </w:rPr>
              <w:t>处罚</w:t>
            </w:r>
          </w:p>
          <w:p>
            <w:pPr>
              <w:pStyle w:val="9"/>
              <w:spacing w:line="192" w:lineRule="auto"/>
              <w:ind w:left="32" w:right="39"/>
              <w:jc w:val="both"/>
              <w:rPr>
                <w:sz w:val="13"/>
                <w:szCs w:val="13"/>
              </w:rPr>
            </w:pPr>
          </w:p>
        </w:tc>
        <w:tc>
          <w:tcPr>
            <w:tcW w:w="862" w:type="dxa"/>
          </w:tcPr>
          <w:p>
            <w:pPr>
              <w:widowControl/>
              <w:rPr>
                <w:color w:val="000000"/>
                <w:sz w:val="13"/>
                <w:szCs w:val="13"/>
                <w:lang w:val="en-US" w:bidi="ar"/>
              </w:rPr>
            </w:pPr>
          </w:p>
          <w:p>
            <w:pPr>
              <w:widowControl/>
              <w:rPr>
                <w:color w:val="000000"/>
                <w:sz w:val="13"/>
                <w:szCs w:val="13"/>
                <w:lang w:val="en-US" w:bidi="ar"/>
              </w:rPr>
            </w:pPr>
          </w:p>
          <w:p>
            <w:pPr>
              <w:widowControl/>
              <w:rPr>
                <w:sz w:val="13"/>
                <w:szCs w:val="13"/>
              </w:rPr>
            </w:pPr>
            <w:r>
              <w:rPr>
                <w:color w:val="000000"/>
                <w:sz w:val="13"/>
                <w:szCs w:val="13"/>
                <w:lang w:val="en-US" w:bidi="ar"/>
              </w:rPr>
              <w:t xml:space="preserve">对超出生产许 </w:t>
            </w:r>
          </w:p>
          <w:p>
            <w:pPr>
              <w:widowControl/>
              <w:rPr>
                <w:sz w:val="13"/>
                <w:szCs w:val="13"/>
              </w:rPr>
            </w:pPr>
            <w:r>
              <w:rPr>
                <w:rFonts w:hint="eastAsia"/>
                <w:color w:val="000000"/>
                <w:sz w:val="13"/>
                <w:szCs w:val="13"/>
                <w:lang w:val="en-US" w:bidi="ar"/>
              </w:rPr>
              <w:t xml:space="preserve">可的品种、产 </w:t>
            </w:r>
          </w:p>
          <w:p>
            <w:pPr>
              <w:widowControl/>
              <w:rPr>
                <w:sz w:val="13"/>
                <w:szCs w:val="13"/>
              </w:rPr>
            </w:pPr>
            <w:r>
              <w:rPr>
                <w:rFonts w:hint="eastAsia"/>
                <w:color w:val="000000"/>
                <w:sz w:val="13"/>
                <w:szCs w:val="13"/>
                <w:lang w:val="en-US" w:bidi="ar"/>
              </w:rPr>
              <w:t xml:space="preserve">量进行生产、 </w:t>
            </w:r>
          </w:p>
          <w:p>
            <w:pPr>
              <w:widowControl/>
              <w:rPr>
                <w:sz w:val="13"/>
                <w:szCs w:val="13"/>
              </w:rPr>
            </w:pPr>
            <w:r>
              <w:rPr>
                <w:rFonts w:hint="eastAsia"/>
                <w:color w:val="000000"/>
                <w:sz w:val="13"/>
                <w:szCs w:val="13"/>
                <w:lang w:val="en-US" w:bidi="ar"/>
              </w:rPr>
              <w:t>销售的处罚</w:t>
            </w:r>
          </w:p>
          <w:p>
            <w:pPr>
              <w:pStyle w:val="9"/>
              <w:rPr>
                <w:rFonts w:ascii="Times New Roman"/>
                <w:sz w:val="13"/>
                <w:szCs w:val="13"/>
              </w:rPr>
            </w:pPr>
          </w:p>
        </w:tc>
        <w:tc>
          <w:tcPr>
            <w:tcW w:w="2837"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p>
          <w:p>
            <w:pPr>
              <w:widowControl/>
              <w:rPr>
                <w:sz w:val="13"/>
                <w:szCs w:val="13"/>
              </w:rPr>
            </w:pPr>
            <w:r>
              <w:rPr>
                <w:color w:val="000000"/>
                <w:sz w:val="13"/>
                <w:szCs w:val="13"/>
                <w:lang w:val="en-US" w:bidi="ar"/>
              </w:rPr>
              <w:t xml:space="preserve">《民用爆炸物品安全管理条例》第四十五条 生产 </w:t>
            </w:r>
            <w:r>
              <w:rPr>
                <w:rFonts w:hint="eastAsia"/>
                <w:color w:val="000000"/>
                <w:sz w:val="13"/>
                <w:szCs w:val="13"/>
                <w:lang w:val="en-US" w:bidi="ar"/>
              </w:rPr>
              <w:t xml:space="preserve">、销售民用爆炸物品的企业有下列行为之一的， 由民用爆炸物品行业主管部门责令限期改正，处 </w:t>
            </w:r>
            <w:r>
              <w:rPr>
                <w:rFonts w:ascii="TimesNewRomanPSMT" w:hAnsi="TimesNewRomanPSMT" w:eastAsia="TimesNewRomanPSMT" w:cs="TimesNewRomanPSMT"/>
                <w:color w:val="000000"/>
                <w:sz w:val="13"/>
                <w:szCs w:val="13"/>
                <w:lang w:val="en-US" w:bidi="ar"/>
              </w:rPr>
              <w:t>10</w:t>
            </w:r>
            <w:r>
              <w:rPr>
                <w:rFonts w:hint="eastAsia"/>
                <w:color w:val="000000"/>
                <w:sz w:val="13"/>
                <w:szCs w:val="13"/>
                <w:lang w:val="en-US" w:bidi="ar"/>
              </w:rPr>
              <w:t>万元以上</w:t>
            </w:r>
            <w:r>
              <w:rPr>
                <w:rFonts w:ascii="TimesNewRomanPSMT" w:hAnsi="TimesNewRomanPSMT" w:eastAsia="TimesNewRomanPSMT" w:cs="TimesNewRomanPSMT"/>
                <w:color w:val="000000"/>
                <w:sz w:val="13"/>
                <w:szCs w:val="13"/>
                <w:lang w:val="en-US" w:bidi="ar"/>
              </w:rPr>
              <w:t>50</w:t>
            </w:r>
            <w:r>
              <w:rPr>
                <w:rFonts w:hint="eastAsia"/>
                <w:color w:val="000000"/>
                <w:sz w:val="13"/>
                <w:szCs w:val="13"/>
                <w:lang w:val="en-US" w:bidi="ar"/>
              </w:rPr>
              <w:t>万元以下的罚款；逾期不改正的， 责令停产停业整顿；情节严重的，吊销《民用爆 炸物品生产许可证》或者《民用爆炸物品销售许 可证》</w:t>
            </w:r>
            <w:r>
              <w:rPr>
                <w:rFonts w:ascii="TimesNewRomanPSMT" w:hAnsi="TimesNewRomanPSMT" w:eastAsia="TimesNewRomanPSMT" w:cs="TimesNewRomanPSMT"/>
                <w:color w:val="000000"/>
                <w:sz w:val="13"/>
                <w:szCs w:val="13"/>
                <w:lang w:val="en-US" w:bidi="ar"/>
              </w:rPr>
              <w:t>(</w:t>
            </w:r>
            <w:r>
              <w:rPr>
                <w:rFonts w:hint="eastAsia"/>
                <w:color w:val="000000"/>
                <w:sz w:val="13"/>
                <w:szCs w:val="13"/>
                <w:lang w:val="en-US" w:bidi="ar"/>
              </w:rPr>
              <w:t>一）超出生产许可的品种、产量进行生产 、销售的；（二）违反安全技术规程生产作业 的；（三）民用爆炸物品的质量不符合相关标准 的；（四）民用爆炸物品的包装不符合法律、行 政法规的规定以及相关标准的；（五）超出购买 许可的品种、数量销售民用爆炸物品的；（六） 向没有《民用爆炸物品生产许可证》、《民用爆 炸物品销售许可证》、《民用爆炸物品购买许可 证》的单位销售民用爆炸物品的；（七）民用爆 炸物品生产企业销售本企业生产的民用爆炸物品 未按照规定向民用爆炸物品行业主管部门备案 的；（八）未经审批进出口民用爆炸物品的。</w:t>
            </w:r>
          </w:p>
          <w:p>
            <w:pPr>
              <w:pStyle w:val="9"/>
              <w:spacing w:before="126" w:line="189" w:lineRule="auto"/>
              <w:ind w:left="33" w:right="62"/>
              <w:jc w:val="both"/>
              <w:rPr>
                <w:sz w:val="13"/>
                <w:szCs w:val="13"/>
              </w:rPr>
            </w:pPr>
          </w:p>
        </w:tc>
        <w:tc>
          <w:tcPr>
            <w:tcW w:w="452"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民用</w:t>
            </w:r>
          </w:p>
          <w:p>
            <w:pPr>
              <w:widowControl/>
              <w:rPr>
                <w:sz w:val="13"/>
                <w:szCs w:val="13"/>
              </w:rPr>
            </w:pPr>
            <w:r>
              <w:rPr>
                <w:rFonts w:hint="eastAsia"/>
                <w:color w:val="000000"/>
                <w:sz w:val="13"/>
                <w:szCs w:val="13"/>
                <w:lang w:val="en-US" w:bidi="ar"/>
              </w:rPr>
              <w:t>爆炸</w:t>
            </w:r>
          </w:p>
          <w:p>
            <w:pPr>
              <w:widowControl/>
              <w:rPr>
                <w:sz w:val="13"/>
                <w:szCs w:val="13"/>
              </w:rPr>
            </w:pPr>
            <w:r>
              <w:rPr>
                <w:rFonts w:hint="eastAsia"/>
                <w:color w:val="000000"/>
                <w:sz w:val="13"/>
                <w:szCs w:val="13"/>
                <w:lang w:val="en-US" w:bidi="ar"/>
              </w:rPr>
              <w:t>物品</w:t>
            </w:r>
          </w:p>
          <w:p>
            <w:pPr>
              <w:widowControl/>
              <w:rPr>
                <w:sz w:val="13"/>
                <w:szCs w:val="13"/>
              </w:rPr>
            </w:pPr>
            <w:r>
              <w:rPr>
                <w:rFonts w:hint="eastAsia"/>
                <w:color w:val="000000"/>
                <w:sz w:val="13"/>
                <w:szCs w:val="13"/>
                <w:lang w:val="en-US" w:bidi="ar"/>
              </w:rPr>
              <w:t>生产</w:t>
            </w:r>
          </w:p>
          <w:p>
            <w:pPr>
              <w:widowControl/>
              <w:rPr>
                <w:sz w:val="13"/>
                <w:szCs w:val="13"/>
              </w:rPr>
            </w:pPr>
            <w:r>
              <w:rPr>
                <w:rFonts w:hint="eastAsia"/>
                <w:color w:val="000000"/>
                <w:sz w:val="13"/>
                <w:szCs w:val="13"/>
                <w:lang w:val="en-US" w:bidi="ar"/>
              </w:rPr>
              <w:t>、销</w:t>
            </w:r>
          </w:p>
          <w:p>
            <w:pPr>
              <w:widowControl/>
              <w:rPr>
                <w:sz w:val="13"/>
                <w:szCs w:val="13"/>
              </w:rPr>
            </w:pPr>
            <w:r>
              <w:rPr>
                <w:rFonts w:hint="eastAsia"/>
                <w:color w:val="000000"/>
                <w:sz w:val="13"/>
                <w:szCs w:val="13"/>
                <w:lang w:val="en-US" w:bidi="ar"/>
              </w:rPr>
              <w:t>售、运输企业</w:t>
            </w:r>
          </w:p>
          <w:p>
            <w:pPr>
              <w:pStyle w:val="9"/>
              <w:spacing w:line="192" w:lineRule="auto"/>
              <w:ind w:left="83" w:right="23"/>
              <w:rPr>
                <w:sz w:val="13"/>
                <w:szCs w:val="13"/>
              </w:rPr>
            </w:pPr>
          </w:p>
        </w:tc>
        <w:tc>
          <w:tcPr>
            <w:tcW w:w="814"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jc w:val="center"/>
              <w:rPr>
                <w:rFonts w:ascii="Times New Roman"/>
                <w:sz w:val="13"/>
                <w:szCs w:val="13"/>
              </w:rPr>
            </w:pPr>
          </w:p>
          <w:p>
            <w:pPr>
              <w:pStyle w:val="9"/>
              <w:spacing w:before="7"/>
              <w:ind w:left="97" w:right="66"/>
              <w:jc w:val="center"/>
              <w:rPr>
                <w:rFonts w:ascii="Times New Roman" w:eastAsia="Times New Roman"/>
                <w:sz w:val="13"/>
                <w:szCs w:val="13"/>
              </w:rPr>
            </w:pPr>
            <w:r>
              <w:rPr>
                <w:rFonts w:hint="eastAsia"/>
                <w:color w:val="000000"/>
                <w:sz w:val="13"/>
                <w:szCs w:val="13"/>
                <w:lang w:val="en-US" w:bidi="ar"/>
              </w:rPr>
              <w:t>安全科3311262</w:t>
            </w:r>
          </w:p>
        </w:tc>
        <w:tc>
          <w:tcPr>
            <w:tcW w:w="988"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9"/>
              <w:rPr>
                <w:rFonts w:ascii="Times New Roman"/>
                <w:sz w:val="13"/>
                <w:szCs w:val="13"/>
              </w:rPr>
            </w:pPr>
          </w:p>
          <w:p>
            <w:pPr>
              <w:pStyle w:val="9"/>
              <w:spacing w:before="9"/>
              <w:rPr>
                <w:rFonts w:ascii="Times New Roman"/>
                <w:sz w:val="13"/>
                <w:szCs w:val="13"/>
              </w:rPr>
            </w:pPr>
          </w:p>
          <w:p>
            <w:pPr>
              <w:pStyle w:val="9"/>
              <w:spacing w:before="9"/>
              <w:rPr>
                <w:rFonts w:ascii="Times New Roman"/>
                <w:sz w:val="13"/>
                <w:szCs w:val="13"/>
              </w:rPr>
            </w:pPr>
          </w:p>
          <w:p>
            <w:pPr>
              <w:pStyle w:val="9"/>
              <w:spacing w:before="9"/>
              <w:rPr>
                <w:rFonts w:ascii="Times New Roman"/>
                <w:sz w:val="13"/>
                <w:szCs w:val="13"/>
              </w:rPr>
            </w:pPr>
          </w:p>
          <w:p>
            <w:pPr>
              <w:pStyle w:val="9"/>
              <w:spacing w:before="9"/>
              <w:rPr>
                <w:rFonts w:ascii="Times New Roman"/>
                <w:sz w:val="13"/>
                <w:szCs w:val="13"/>
              </w:rPr>
            </w:pPr>
          </w:p>
          <w:p>
            <w:pPr>
              <w:pStyle w:val="9"/>
              <w:spacing w:before="9"/>
              <w:rPr>
                <w:rFonts w:ascii="Times New Roman"/>
                <w:sz w:val="13"/>
                <w:szCs w:val="13"/>
              </w:rPr>
            </w:pPr>
          </w:p>
          <w:p>
            <w:pPr>
              <w:pStyle w:val="9"/>
              <w:spacing w:before="9"/>
              <w:rPr>
                <w:rFonts w:ascii="Times New Roman"/>
                <w:sz w:val="13"/>
                <w:szCs w:val="13"/>
              </w:rPr>
            </w:pPr>
          </w:p>
          <w:p>
            <w:pPr>
              <w:pStyle w:val="9"/>
              <w:ind w:left="32"/>
              <w:jc w:val="center"/>
              <w:rPr>
                <w:sz w:val="13"/>
                <w:szCs w:val="13"/>
              </w:rPr>
            </w:pPr>
            <w:r>
              <w:rPr>
                <w:w w:val="102"/>
                <w:sz w:val="13"/>
                <w:szCs w:val="13"/>
              </w:rPr>
              <w:t>无</w:t>
            </w:r>
          </w:p>
        </w:tc>
        <w:tc>
          <w:tcPr>
            <w:tcW w:w="577" w:type="dxa"/>
            <w:vMerge w:val="restart"/>
          </w:tcPr>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米东区发改委（工信局）</w:t>
            </w:r>
          </w:p>
          <w:p>
            <w:pPr>
              <w:widowControl/>
              <w:rPr>
                <w:sz w:val="13"/>
                <w:szCs w:val="13"/>
              </w:rPr>
            </w:pPr>
          </w:p>
        </w:tc>
        <w:tc>
          <w:tcPr>
            <w:tcW w:w="3287" w:type="dxa"/>
            <w:vMerge w:val="restart"/>
            <w:vAlign w:val="center"/>
          </w:tcPr>
          <w:p>
            <w:pPr>
              <w:widowControl/>
              <w:jc w:val="both"/>
              <w:rPr>
                <w:sz w:val="16"/>
                <w:szCs w:val="16"/>
              </w:rPr>
            </w:pPr>
            <w:r>
              <w:rPr>
                <w:rFonts w:ascii="TimesNewRomanPSMT" w:hAnsi="TimesNewRomanPSMT" w:eastAsia="TimesNewRomanPSMT" w:cs="TimesNewRomanPSMT"/>
                <w:color w:val="000000"/>
                <w:sz w:val="16"/>
                <w:szCs w:val="16"/>
                <w:lang w:val="en-US" w:bidi="ar"/>
              </w:rPr>
              <w:t>1.</w:t>
            </w:r>
            <w:r>
              <w:rPr>
                <w:color w:val="000000"/>
                <w:sz w:val="16"/>
                <w:szCs w:val="16"/>
                <w:lang w:val="en-US" w:bidi="ar"/>
              </w:rPr>
              <w:t>立案责任：按照立案条件在规定期限内进行审查</w:t>
            </w:r>
          </w:p>
          <w:p>
            <w:pPr>
              <w:widowControl/>
              <w:jc w:val="both"/>
              <w:rPr>
                <w:sz w:val="16"/>
                <w:szCs w:val="16"/>
              </w:rPr>
            </w:pPr>
            <w:r>
              <w:rPr>
                <w:rFonts w:hint="eastAsia"/>
                <w:color w:val="000000"/>
                <w:sz w:val="16"/>
                <w:szCs w:val="16"/>
                <w:lang w:val="en-US" w:bidi="ar"/>
              </w:rPr>
              <w:t>并决定是否立案（不予立案应当告知理由）；对需要补充材料的，应当场一次性告知。</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调查责任：对违法违规行为进行调查，依法收集整理证据材料；执法人员不得少于两人，调查时应出示执法身份证件，允许当事人陈述申辩，并严格执行监察回避制度。</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审查责任：应当对案件违法事实、证据、调查取证程序、法律适用、处罚种类和幅度以及当事人陈述申辩理由等方面进行审查，并提出处理意见。对情节复杂或者重大违法行为给予较重的行政处罚，由市工信局（大数据发展局）局务会研究提出审查意见。</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告知责任：在做出行政处罚决定前，应书面告知当事人违法事实及其享有的陈述、申辩、要求听证等权利。</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决定责任：决定给予行政处罚的，应制作《行政处罚决定书》，载明违法事实和证据、处罚依据和内容、申请行政复议或提起行政诉讼的途径和期限等。</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送达责任：《行政处罚决定书》应在规定期限内依法送达当事人。</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执行责任：监督当事人在规定的期限内履行生效的行政处罚决定。当事人在法定期限内既不申请行政复议或者提起行政诉讼，又不履行处罚决定的，可依法向人民法院申请强制执行等措施。</w:t>
            </w:r>
          </w:p>
          <w:p>
            <w:pPr>
              <w:pStyle w:val="9"/>
              <w:tabs>
                <w:tab w:val="left" w:pos="146"/>
              </w:tabs>
              <w:spacing w:line="205" w:lineRule="exact"/>
              <w:ind w:left="32"/>
              <w:jc w:val="both"/>
              <w:rPr>
                <w:sz w:val="13"/>
                <w:szCs w:val="13"/>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其他法律法规政策规定应履行的责任。</w:t>
            </w:r>
          </w:p>
        </w:tc>
        <w:tc>
          <w:tcPr>
            <w:tcW w:w="3707" w:type="dxa"/>
            <w:vMerge w:val="restart"/>
            <w:vAlign w:val="center"/>
          </w:tcPr>
          <w:p>
            <w:pPr>
              <w:widowControl/>
              <w:jc w:val="both"/>
              <w:rPr>
                <w:sz w:val="16"/>
                <w:szCs w:val="16"/>
              </w:rPr>
            </w:pPr>
            <w:r>
              <w:rPr>
                <w:color w:val="000000"/>
                <w:sz w:val="16"/>
                <w:szCs w:val="16"/>
                <w:lang w:val="en-US" w:bidi="ar"/>
              </w:rPr>
              <w:t xml:space="preserve">行政主管部门及其工作人员有下列行为之一 </w:t>
            </w:r>
            <w:r>
              <w:rPr>
                <w:rFonts w:hint="eastAsia"/>
                <w:color w:val="000000"/>
                <w:sz w:val="16"/>
                <w:szCs w:val="16"/>
                <w:lang w:val="en-US" w:bidi="ar"/>
              </w:rPr>
              <w:t xml:space="preserve">的，对直接负责的主管人员和其他直接责任人 员，依法给予处分；构成犯罪的，依法追究刑 事责任： </w:t>
            </w:r>
          </w:p>
          <w:p>
            <w:pPr>
              <w:widowControl/>
              <w:jc w:val="both"/>
              <w:rPr>
                <w:sz w:val="16"/>
                <w:szCs w:val="16"/>
              </w:rPr>
            </w:pPr>
            <w:r>
              <w:rPr>
                <w:rFonts w:ascii="TimesNewRomanPSMT" w:hAnsi="TimesNewRomanPSMT" w:eastAsia="TimesNewRomanPSMT" w:cs="TimesNewRomanPSMT"/>
                <w:color w:val="000000"/>
                <w:sz w:val="16"/>
                <w:szCs w:val="16"/>
                <w:lang w:val="en-US" w:bidi="ar"/>
              </w:rPr>
              <w:t>1.</w:t>
            </w:r>
            <w:r>
              <w:rPr>
                <w:rFonts w:hint="eastAsia"/>
                <w:color w:val="000000"/>
                <w:sz w:val="16"/>
                <w:szCs w:val="16"/>
                <w:lang w:val="en-US" w:bidi="ar"/>
              </w:rPr>
              <w:t xml:space="preserve">执法人员玩忽职守，对应当予以制止和处罚的 违法行为不予制止、处罚，致使国家资源遭受 损害的； </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 xml:space="preserve">不依法受理举报、投诉或者受理后未在法定期限内处理的； </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 xml:space="preserve">对符合立案条件而不予立案的； </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 xml:space="preserve">对不符合立案条件而立案调查的； </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 xml:space="preserve">没有法定的行政处罚依据的； </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 xml:space="preserve">违反法定的行政处罚程序的； </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 xml:space="preserve">擅自改变行政处罚种类、幅度的； </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 xml:space="preserve">对当事人进行处罚不使用罚款、没收财物单据或者使用非法定部门制发的罚款、没收财物单据的； </w:t>
            </w:r>
          </w:p>
          <w:p>
            <w:pPr>
              <w:widowControl/>
              <w:jc w:val="both"/>
              <w:rPr>
                <w:sz w:val="16"/>
                <w:szCs w:val="16"/>
              </w:rPr>
            </w:pPr>
            <w:r>
              <w:rPr>
                <w:rFonts w:ascii="TimesNewRomanPSMT" w:hAnsi="TimesNewRomanPSMT" w:eastAsia="TimesNewRomanPSMT" w:cs="TimesNewRomanPSMT"/>
                <w:color w:val="000000"/>
                <w:sz w:val="16"/>
                <w:szCs w:val="16"/>
                <w:lang w:val="en-US" w:bidi="ar"/>
              </w:rPr>
              <w:t>9.</w:t>
            </w:r>
            <w:r>
              <w:rPr>
                <w:rFonts w:hint="eastAsia"/>
                <w:color w:val="000000"/>
                <w:sz w:val="16"/>
                <w:szCs w:val="16"/>
                <w:lang w:val="en-US" w:bidi="ar"/>
              </w:rPr>
              <w:t xml:space="preserve">违反法律规定自行收缴罚款的； </w:t>
            </w:r>
          </w:p>
          <w:p>
            <w:pPr>
              <w:widowControl/>
              <w:jc w:val="both"/>
              <w:rPr>
                <w:sz w:val="16"/>
                <w:szCs w:val="16"/>
              </w:rPr>
            </w:pPr>
            <w:r>
              <w:rPr>
                <w:rFonts w:ascii="TimesNewRomanPSMT" w:hAnsi="TimesNewRomanPSMT" w:eastAsia="TimesNewRomanPSMT" w:cs="TimesNewRomanPSMT"/>
                <w:color w:val="000000"/>
                <w:sz w:val="16"/>
                <w:szCs w:val="16"/>
                <w:lang w:val="en-US" w:bidi="ar"/>
              </w:rPr>
              <w:t>10.</w:t>
            </w:r>
            <w:r>
              <w:rPr>
                <w:rFonts w:hint="eastAsia"/>
                <w:color w:val="000000"/>
                <w:sz w:val="16"/>
                <w:szCs w:val="16"/>
                <w:lang w:val="en-US" w:bidi="ar"/>
              </w:rPr>
              <w:t xml:space="preserve">将罚款、没收的违法所得或者财物截留、私分或者变相私分的； </w:t>
            </w:r>
          </w:p>
          <w:p>
            <w:pPr>
              <w:widowControl/>
              <w:jc w:val="both"/>
              <w:rPr>
                <w:sz w:val="16"/>
                <w:szCs w:val="16"/>
              </w:rPr>
            </w:pPr>
            <w:r>
              <w:rPr>
                <w:rFonts w:ascii="TimesNewRomanPSMT" w:hAnsi="TimesNewRomanPSMT" w:eastAsia="TimesNewRomanPSMT" w:cs="TimesNewRomanPSMT"/>
                <w:color w:val="000000"/>
                <w:sz w:val="16"/>
                <w:szCs w:val="16"/>
                <w:lang w:val="en-US" w:bidi="ar"/>
              </w:rPr>
              <w:t>11.</w:t>
            </w:r>
            <w:r>
              <w:rPr>
                <w:rFonts w:hint="eastAsia"/>
                <w:color w:val="000000"/>
                <w:sz w:val="16"/>
                <w:szCs w:val="16"/>
                <w:lang w:val="en-US" w:bidi="ar"/>
              </w:rPr>
              <w:t xml:space="preserve">为牟取本单位私利，对应当移交司法机关追究刑事责任的不移交，以行政处罚代替刑罚； </w:t>
            </w:r>
          </w:p>
          <w:p>
            <w:pPr>
              <w:widowControl/>
              <w:jc w:val="both"/>
              <w:rPr>
                <w:sz w:val="16"/>
                <w:szCs w:val="16"/>
              </w:rPr>
            </w:pPr>
            <w:r>
              <w:rPr>
                <w:rFonts w:ascii="TimesNewRomanPSMT" w:hAnsi="TimesNewRomanPSMT" w:eastAsia="TimesNewRomanPSMT" w:cs="TimesNewRomanPSMT"/>
                <w:color w:val="000000"/>
                <w:sz w:val="16"/>
                <w:szCs w:val="16"/>
                <w:lang w:val="en-US" w:bidi="ar"/>
              </w:rPr>
              <w:t>12.</w:t>
            </w:r>
            <w:r>
              <w:rPr>
                <w:rFonts w:hint="eastAsia"/>
                <w:color w:val="000000"/>
                <w:sz w:val="16"/>
                <w:szCs w:val="16"/>
                <w:lang w:val="en-US" w:bidi="ar"/>
              </w:rPr>
              <w:t>其他法律、法规、规章、文件规定的行为。</w:t>
            </w:r>
          </w:p>
          <w:p>
            <w:pPr>
              <w:pStyle w:val="9"/>
              <w:tabs>
                <w:tab w:val="left" w:pos="219"/>
              </w:tabs>
              <w:spacing w:line="202" w:lineRule="exact"/>
              <w:jc w:val="both"/>
              <w:rPr>
                <w:sz w:val="13"/>
                <w:szCs w:val="13"/>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44" w:hRule="atLeast"/>
        </w:trPr>
        <w:tc>
          <w:tcPr>
            <w:tcW w:w="336" w:type="dxa"/>
            <w:vMerge w:val="continue"/>
          </w:tcPr>
          <w:p>
            <w:pPr>
              <w:jc w:val="center"/>
              <w:rPr>
                <w:sz w:val="13"/>
                <w:szCs w:val="13"/>
              </w:rPr>
            </w:pPr>
          </w:p>
        </w:tc>
        <w:tc>
          <w:tcPr>
            <w:tcW w:w="531" w:type="dxa"/>
          </w:tcPr>
          <w:p>
            <w:pPr>
              <w:jc w:val="center"/>
              <w:rPr>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widowControl/>
              <w:rPr>
                <w:sz w:val="13"/>
                <w:szCs w:val="13"/>
                <w:lang w:val="en-US"/>
              </w:rPr>
            </w:pPr>
            <w:r>
              <w:rPr>
                <w:rFonts w:ascii="Times New Roman"/>
                <w:sz w:val="13"/>
                <w:szCs w:val="13"/>
              </w:rPr>
              <w:t>CF0</w:t>
            </w:r>
            <w:r>
              <w:rPr>
                <w:rFonts w:hint="eastAsia" w:ascii="Times New Roman"/>
                <w:sz w:val="13"/>
                <w:szCs w:val="13"/>
                <w:lang w:val="en-US"/>
              </w:rPr>
              <w:t>26</w:t>
            </w:r>
          </w:p>
          <w:p>
            <w:pPr>
              <w:jc w:val="center"/>
              <w:rPr>
                <w:sz w:val="13"/>
                <w:szCs w:val="13"/>
              </w:rPr>
            </w:pPr>
          </w:p>
        </w:tc>
        <w:tc>
          <w:tcPr>
            <w:tcW w:w="540" w:type="dxa"/>
            <w:vMerge w:val="continue"/>
          </w:tcPr>
          <w:p>
            <w:pPr>
              <w:jc w:val="center"/>
              <w:rPr>
                <w:sz w:val="13"/>
                <w:szCs w:val="13"/>
              </w:rPr>
            </w:pPr>
          </w:p>
        </w:tc>
        <w:tc>
          <w:tcPr>
            <w:tcW w:w="862" w:type="dxa"/>
          </w:tcPr>
          <w:p>
            <w:pPr>
              <w:widowControl/>
              <w:rPr>
                <w:color w:val="000000"/>
                <w:sz w:val="13"/>
                <w:szCs w:val="13"/>
                <w:lang w:val="en-US" w:bidi="ar"/>
              </w:rPr>
            </w:pPr>
          </w:p>
          <w:p>
            <w:pPr>
              <w:widowControl/>
              <w:rPr>
                <w:color w:val="000000"/>
                <w:sz w:val="13"/>
                <w:szCs w:val="13"/>
                <w:lang w:val="en-US" w:bidi="ar"/>
              </w:rPr>
            </w:pPr>
          </w:p>
          <w:p>
            <w:pPr>
              <w:widowControl/>
              <w:rPr>
                <w:sz w:val="13"/>
                <w:szCs w:val="13"/>
              </w:rPr>
            </w:pPr>
            <w:r>
              <w:rPr>
                <w:color w:val="000000"/>
                <w:sz w:val="13"/>
                <w:szCs w:val="13"/>
                <w:lang w:val="en-US" w:bidi="ar"/>
              </w:rPr>
              <w:t xml:space="preserve">对违反安全技 </w:t>
            </w:r>
          </w:p>
          <w:p>
            <w:pPr>
              <w:widowControl/>
              <w:rPr>
                <w:sz w:val="13"/>
                <w:szCs w:val="13"/>
              </w:rPr>
            </w:pPr>
            <w:r>
              <w:rPr>
                <w:rFonts w:hint="eastAsia"/>
                <w:color w:val="000000"/>
                <w:sz w:val="13"/>
                <w:szCs w:val="13"/>
                <w:lang w:val="en-US" w:bidi="ar"/>
              </w:rPr>
              <w:t xml:space="preserve">术规程生产作 </w:t>
            </w:r>
          </w:p>
          <w:p>
            <w:pPr>
              <w:widowControl/>
              <w:rPr>
                <w:sz w:val="13"/>
                <w:szCs w:val="13"/>
              </w:rPr>
            </w:pPr>
            <w:r>
              <w:rPr>
                <w:rFonts w:hint="eastAsia"/>
                <w:color w:val="000000"/>
                <w:sz w:val="13"/>
                <w:szCs w:val="13"/>
                <w:lang w:val="en-US" w:bidi="ar"/>
              </w:rPr>
              <w:t>业的处罚</w:t>
            </w:r>
          </w:p>
          <w:p>
            <w:pPr>
              <w:jc w:val="center"/>
              <w:rPr>
                <w:sz w:val="13"/>
                <w:szCs w:val="13"/>
              </w:rPr>
            </w:pPr>
          </w:p>
        </w:tc>
        <w:tc>
          <w:tcPr>
            <w:tcW w:w="2837" w:type="dxa"/>
            <w:vMerge w:val="continue"/>
          </w:tcPr>
          <w:p>
            <w:pPr>
              <w:jc w:val="center"/>
            </w:pPr>
          </w:p>
        </w:tc>
        <w:tc>
          <w:tcPr>
            <w:tcW w:w="452" w:type="dxa"/>
            <w:vMerge w:val="continue"/>
          </w:tcPr>
          <w:p>
            <w:pPr>
              <w:jc w:val="center"/>
            </w:pPr>
          </w:p>
        </w:tc>
        <w:tc>
          <w:tcPr>
            <w:tcW w:w="814" w:type="dxa"/>
            <w:vMerge w:val="continue"/>
          </w:tcPr>
          <w:p>
            <w:pPr>
              <w:jc w:val="center"/>
            </w:pPr>
          </w:p>
        </w:tc>
        <w:tc>
          <w:tcPr>
            <w:tcW w:w="988" w:type="dxa"/>
            <w:vMerge w:val="continue"/>
          </w:tcPr>
          <w:p>
            <w:pPr>
              <w:jc w:val="center"/>
            </w:pPr>
          </w:p>
        </w:tc>
        <w:tc>
          <w:tcPr>
            <w:tcW w:w="577" w:type="dxa"/>
            <w:vMerge w:val="continue"/>
          </w:tcPr>
          <w:p>
            <w:pPr>
              <w:jc w:val="center"/>
            </w:pPr>
          </w:p>
        </w:tc>
        <w:tc>
          <w:tcPr>
            <w:tcW w:w="3287" w:type="dxa"/>
            <w:vMerge w:val="continue"/>
          </w:tcPr>
          <w:p>
            <w:pPr>
              <w:jc w:val="center"/>
            </w:pPr>
          </w:p>
        </w:tc>
        <w:tc>
          <w:tcPr>
            <w:tcW w:w="3707" w:type="dxa"/>
            <w:vMerge w:val="continue"/>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44" w:hRule="atLeast"/>
        </w:trPr>
        <w:tc>
          <w:tcPr>
            <w:tcW w:w="336" w:type="dxa"/>
            <w:vMerge w:val="continue"/>
          </w:tcPr>
          <w:p>
            <w:pPr>
              <w:jc w:val="center"/>
              <w:rPr>
                <w:sz w:val="13"/>
                <w:szCs w:val="13"/>
              </w:rPr>
            </w:pPr>
          </w:p>
        </w:tc>
        <w:tc>
          <w:tcPr>
            <w:tcW w:w="531" w:type="dxa"/>
          </w:tcPr>
          <w:p>
            <w:pPr>
              <w:jc w:val="center"/>
              <w:rPr>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widowControl/>
              <w:rPr>
                <w:sz w:val="13"/>
                <w:szCs w:val="13"/>
                <w:lang w:val="en-US"/>
              </w:rPr>
            </w:pPr>
            <w:r>
              <w:rPr>
                <w:rFonts w:ascii="Times New Roman"/>
                <w:sz w:val="13"/>
                <w:szCs w:val="13"/>
              </w:rPr>
              <w:t>CF0</w:t>
            </w:r>
            <w:r>
              <w:rPr>
                <w:rFonts w:hint="eastAsia" w:ascii="Times New Roman"/>
                <w:sz w:val="13"/>
                <w:szCs w:val="13"/>
                <w:lang w:val="en-US"/>
              </w:rPr>
              <w:t>27</w:t>
            </w:r>
          </w:p>
        </w:tc>
        <w:tc>
          <w:tcPr>
            <w:tcW w:w="540" w:type="dxa"/>
            <w:vMerge w:val="continue"/>
          </w:tcPr>
          <w:p>
            <w:pPr>
              <w:jc w:val="center"/>
              <w:rPr>
                <w:sz w:val="13"/>
                <w:szCs w:val="13"/>
              </w:rPr>
            </w:pPr>
          </w:p>
        </w:tc>
        <w:tc>
          <w:tcPr>
            <w:tcW w:w="862" w:type="dxa"/>
          </w:tcPr>
          <w:p>
            <w:pPr>
              <w:widowControl/>
              <w:rPr>
                <w:color w:val="000000"/>
                <w:sz w:val="13"/>
                <w:szCs w:val="13"/>
                <w:lang w:val="en-US" w:bidi="ar"/>
              </w:rPr>
            </w:pPr>
          </w:p>
          <w:p>
            <w:pPr>
              <w:widowControl/>
              <w:rPr>
                <w:color w:val="000000"/>
                <w:sz w:val="13"/>
                <w:szCs w:val="13"/>
                <w:lang w:val="en-US" w:bidi="ar"/>
              </w:rPr>
            </w:pPr>
          </w:p>
          <w:p>
            <w:pPr>
              <w:widowControl/>
              <w:rPr>
                <w:sz w:val="13"/>
                <w:szCs w:val="13"/>
              </w:rPr>
            </w:pPr>
            <w:r>
              <w:rPr>
                <w:color w:val="000000"/>
                <w:sz w:val="13"/>
                <w:szCs w:val="13"/>
                <w:lang w:val="en-US" w:bidi="ar"/>
              </w:rPr>
              <w:t xml:space="preserve">对民用爆炸物 </w:t>
            </w:r>
          </w:p>
          <w:p>
            <w:pPr>
              <w:widowControl/>
              <w:rPr>
                <w:sz w:val="13"/>
                <w:szCs w:val="13"/>
              </w:rPr>
            </w:pPr>
            <w:r>
              <w:rPr>
                <w:rFonts w:hint="eastAsia"/>
                <w:color w:val="000000"/>
                <w:sz w:val="13"/>
                <w:szCs w:val="13"/>
                <w:lang w:val="en-US" w:bidi="ar"/>
              </w:rPr>
              <w:t xml:space="preserve">品的质量不符 </w:t>
            </w:r>
          </w:p>
          <w:p>
            <w:pPr>
              <w:widowControl/>
              <w:rPr>
                <w:sz w:val="13"/>
                <w:szCs w:val="13"/>
              </w:rPr>
            </w:pPr>
            <w:r>
              <w:rPr>
                <w:rFonts w:hint="eastAsia"/>
                <w:color w:val="000000"/>
                <w:sz w:val="13"/>
                <w:szCs w:val="13"/>
                <w:lang w:val="en-US" w:bidi="ar"/>
              </w:rPr>
              <w:t xml:space="preserve">合相关标准的 </w:t>
            </w:r>
          </w:p>
          <w:p>
            <w:pPr>
              <w:widowControl/>
              <w:rPr>
                <w:sz w:val="13"/>
                <w:szCs w:val="13"/>
              </w:rPr>
            </w:pPr>
            <w:r>
              <w:rPr>
                <w:rFonts w:hint="eastAsia"/>
                <w:color w:val="000000"/>
                <w:sz w:val="13"/>
                <w:szCs w:val="13"/>
                <w:lang w:val="en-US" w:bidi="ar"/>
              </w:rPr>
              <w:t>处罚</w:t>
            </w:r>
          </w:p>
          <w:p>
            <w:pPr>
              <w:jc w:val="center"/>
              <w:rPr>
                <w:sz w:val="13"/>
                <w:szCs w:val="13"/>
              </w:rPr>
            </w:pPr>
          </w:p>
        </w:tc>
        <w:tc>
          <w:tcPr>
            <w:tcW w:w="2837" w:type="dxa"/>
            <w:vMerge w:val="continue"/>
          </w:tcPr>
          <w:p>
            <w:pPr>
              <w:jc w:val="center"/>
            </w:pPr>
          </w:p>
        </w:tc>
        <w:tc>
          <w:tcPr>
            <w:tcW w:w="452" w:type="dxa"/>
            <w:vMerge w:val="continue"/>
          </w:tcPr>
          <w:p>
            <w:pPr>
              <w:jc w:val="center"/>
            </w:pPr>
          </w:p>
        </w:tc>
        <w:tc>
          <w:tcPr>
            <w:tcW w:w="814" w:type="dxa"/>
            <w:vMerge w:val="continue"/>
          </w:tcPr>
          <w:p>
            <w:pPr>
              <w:jc w:val="center"/>
            </w:pPr>
          </w:p>
        </w:tc>
        <w:tc>
          <w:tcPr>
            <w:tcW w:w="988" w:type="dxa"/>
            <w:vMerge w:val="continue"/>
          </w:tcPr>
          <w:p>
            <w:pPr>
              <w:jc w:val="center"/>
            </w:pPr>
          </w:p>
        </w:tc>
        <w:tc>
          <w:tcPr>
            <w:tcW w:w="577" w:type="dxa"/>
            <w:vMerge w:val="continue"/>
          </w:tcPr>
          <w:p>
            <w:pPr>
              <w:jc w:val="center"/>
            </w:pPr>
          </w:p>
        </w:tc>
        <w:tc>
          <w:tcPr>
            <w:tcW w:w="3287" w:type="dxa"/>
            <w:vMerge w:val="continue"/>
          </w:tcPr>
          <w:p>
            <w:pPr>
              <w:jc w:val="center"/>
            </w:pPr>
          </w:p>
        </w:tc>
        <w:tc>
          <w:tcPr>
            <w:tcW w:w="3707" w:type="dxa"/>
            <w:vMerge w:val="continue"/>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1844" w:hRule="atLeast"/>
        </w:trPr>
        <w:tc>
          <w:tcPr>
            <w:tcW w:w="336" w:type="dxa"/>
            <w:vMerge w:val="continue"/>
          </w:tcPr>
          <w:p>
            <w:pPr>
              <w:jc w:val="center"/>
              <w:rPr>
                <w:sz w:val="13"/>
                <w:szCs w:val="13"/>
              </w:rPr>
            </w:pPr>
          </w:p>
        </w:tc>
        <w:tc>
          <w:tcPr>
            <w:tcW w:w="531" w:type="dxa"/>
          </w:tcPr>
          <w:p>
            <w:pPr>
              <w:jc w:val="center"/>
              <w:rPr>
                <w:sz w:val="13"/>
                <w:szCs w:val="13"/>
              </w:rPr>
            </w:pPr>
          </w:p>
          <w:p>
            <w:pPr>
              <w:rPr>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widowControl/>
              <w:rPr>
                <w:sz w:val="13"/>
                <w:szCs w:val="13"/>
                <w:lang w:val="en-US"/>
              </w:rPr>
            </w:pPr>
            <w:r>
              <w:rPr>
                <w:rFonts w:ascii="Times New Roman"/>
                <w:sz w:val="13"/>
                <w:szCs w:val="13"/>
              </w:rPr>
              <w:t>CF0</w:t>
            </w:r>
            <w:r>
              <w:rPr>
                <w:rFonts w:hint="eastAsia" w:ascii="Times New Roman"/>
                <w:sz w:val="13"/>
                <w:szCs w:val="13"/>
                <w:lang w:val="en-US"/>
              </w:rPr>
              <w:t>28</w:t>
            </w:r>
          </w:p>
        </w:tc>
        <w:tc>
          <w:tcPr>
            <w:tcW w:w="540" w:type="dxa"/>
            <w:vMerge w:val="continue"/>
          </w:tcPr>
          <w:p>
            <w:pPr>
              <w:jc w:val="center"/>
              <w:rPr>
                <w:sz w:val="13"/>
                <w:szCs w:val="13"/>
              </w:rPr>
            </w:pPr>
          </w:p>
        </w:tc>
        <w:tc>
          <w:tcPr>
            <w:tcW w:w="862" w:type="dxa"/>
          </w:tcPr>
          <w:p>
            <w:pPr>
              <w:widowControl/>
              <w:rPr>
                <w:color w:val="000000"/>
                <w:sz w:val="13"/>
                <w:szCs w:val="13"/>
                <w:lang w:val="en-US" w:bidi="ar"/>
              </w:rPr>
            </w:pPr>
          </w:p>
          <w:p>
            <w:pPr>
              <w:widowControl/>
              <w:rPr>
                <w:sz w:val="13"/>
                <w:szCs w:val="13"/>
              </w:rPr>
            </w:pPr>
            <w:r>
              <w:rPr>
                <w:color w:val="000000"/>
                <w:sz w:val="13"/>
                <w:szCs w:val="13"/>
                <w:lang w:val="en-US" w:bidi="ar"/>
              </w:rPr>
              <w:t xml:space="preserve">对民用爆炸物 </w:t>
            </w:r>
          </w:p>
          <w:p>
            <w:pPr>
              <w:widowControl/>
              <w:rPr>
                <w:sz w:val="13"/>
                <w:szCs w:val="13"/>
              </w:rPr>
            </w:pPr>
            <w:r>
              <w:rPr>
                <w:rFonts w:hint="eastAsia"/>
                <w:color w:val="000000"/>
                <w:sz w:val="13"/>
                <w:szCs w:val="13"/>
                <w:lang w:val="en-US" w:bidi="ar"/>
              </w:rPr>
              <w:t xml:space="preserve">品的包装不符 </w:t>
            </w:r>
          </w:p>
          <w:p>
            <w:pPr>
              <w:widowControl/>
              <w:rPr>
                <w:sz w:val="13"/>
                <w:szCs w:val="13"/>
              </w:rPr>
            </w:pPr>
            <w:r>
              <w:rPr>
                <w:rFonts w:hint="eastAsia"/>
                <w:color w:val="000000"/>
                <w:sz w:val="13"/>
                <w:szCs w:val="13"/>
                <w:lang w:val="en-US" w:bidi="ar"/>
              </w:rPr>
              <w:t xml:space="preserve">合法律、行政 </w:t>
            </w:r>
          </w:p>
          <w:p>
            <w:pPr>
              <w:widowControl/>
              <w:rPr>
                <w:sz w:val="13"/>
                <w:szCs w:val="13"/>
              </w:rPr>
            </w:pPr>
            <w:r>
              <w:rPr>
                <w:rFonts w:hint="eastAsia"/>
                <w:color w:val="000000"/>
                <w:sz w:val="13"/>
                <w:szCs w:val="13"/>
                <w:lang w:val="en-US" w:bidi="ar"/>
              </w:rPr>
              <w:t xml:space="preserve">法规的规定以 </w:t>
            </w:r>
          </w:p>
          <w:p>
            <w:pPr>
              <w:widowControl/>
              <w:rPr>
                <w:sz w:val="13"/>
                <w:szCs w:val="13"/>
              </w:rPr>
            </w:pPr>
            <w:r>
              <w:rPr>
                <w:rFonts w:hint="eastAsia"/>
                <w:color w:val="000000"/>
                <w:sz w:val="13"/>
                <w:szCs w:val="13"/>
                <w:lang w:val="en-US" w:bidi="ar"/>
              </w:rPr>
              <w:t xml:space="preserve">及相关标准的 </w:t>
            </w:r>
          </w:p>
          <w:p>
            <w:pPr>
              <w:widowControl/>
              <w:rPr>
                <w:sz w:val="13"/>
                <w:szCs w:val="13"/>
              </w:rPr>
            </w:pPr>
            <w:r>
              <w:rPr>
                <w:rFonts w:hint="eastAsia"/>
                <w:color w:val="000000"/>
                <w:sz w:val="13"/>
                <w:szCs w:val="13"/>
                <w:lang w:val="en-US" w:bidi="ar"/>
              </w:rPr>
              <w:t>处罚</w:t>
            </w:r>
          </w:p>
          <w:p>
            <w:pPr>
              <w:jc w:val="center"/>
              <w:rPr>
                <w:sz w:val="13"/>
                <w:szCs w:val="13"/>
              </w:rPr>
            </w:pPr>
          </w:p>
        </w:tc>
        <w:tc>
          <w:tcPr>
            <w:tcW w:w="2837" w:type="dxa"/>
            <w:vMerge w:val="continue"/>
          </w:tcPr>
          <w:p>
            <w:pPr>
              <w:jc w:val="center"/>
            </w:pPr>
          </w:p>
        </w:tc>
        <w:tc>
          <w:tcPr>
            <w:tcW w:w="452" w:type="dxa"/>
            <w:vMerge w:val="continue"/>
          </w:tcPr>
          <w:p>
            <w:pPr>
              <w:jc w:val="center"/>
            </w:pPr>
          </w:p>
        </w:tc>
        <w:tc>
          <w:tcPr>
            <w:tcW w:w="814" w:type="dxa"/>
            <w:vMerge w:val="continue"/>
          </w:tcPr>
          <w:p>
            <w:pPr>
              <w:jc w:val="center"/>
            </w:pPr>
          </w:p>
        </w:tc>
        <w:tc>
          <w:tcPr>
            <w:tcW w:w="988" w:type="dxa"/>
            <w:vMerge w:val="continue"/>
          </w:tcPr>
          <w:p>
            <w:pPr>
              <w:jc w:val="center"/>
            </w:pPr>
          </w:p>
        </w:tc>
        <w:tc>
          <w:tcPr>
            <w:tcW w:w="577" w:type="dxa"/>
            <w:vMerge w:val="continue"/>
          </w:tcPr>
          <w:p>
            <w:pPr>
              <w:jc w:val="center"/>
            </w:pPr>
          </w:p>
        </w:tc>
        <w:tc>
          <w:tcPr>
            <w:tcW w:w="3287" w:type="dxa"/>
            <w:vMerge w:val="continue"/>
          </w:tcPr>
          <w:p>
            <w:pPr>
              <w:jc w:val="center"/>
            </w:pPr>
          </w:p>
        </w:tc>
        <w:tc>
          <w:tcPr>
            <w:tcW w:w="3707" w:type="dxa"/>
            <w:vMerge w:val="continue"/>
          </w:tcPr>
          <w:p>
            <w:pPr>
              <w:jc w:val="center"/>
            </w:pPr>
          </w:p>
        </w:tc>
      </w:tr>
    </w:tbl>
    <w:p/>
    <w:p>
      <w:pPr>
        <w:rPr>
          <w:rFonts w:hint="eastAsia"/>
        </w:rPr>
      </w:pPr>
    </w:p>
    <w:tbl>
      <w:tblPr>
        <w:tblStyle w:val="5"/>
        <w:tblW w:w="14931"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531"/>
        <w:gridCol w:w="643"/>
        <w:gridCol w:w="994"/>
        <w:gridCol w:w="2507"/>
        <w:gridCol w:w="473"/>
        <w:gridCol w:w="761"/>
        <w:gridCol w:w="889"/>
        <w:gridCol w:w="450"/>
        <w:gridCol w:w="3640"/>
        <w:gridCol w:w="370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531" w:type="dxa"/>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637" w:type="dxa"/>
            <w:gridSpan w:val="2"/>
          </w:tcPr>
          <w:p>
            <w:pPr>
              <w:pStyle w:val="9"/>
              <w:spacing w:before="117"/>
              <w:rPr>
                <w:rFonts w:ascii="黑体" w:eastAsia="黑体"/>
                <w:b/>
                <w:sz w:val="10"/>
                <w:szCs w:val="10"/>
              </w:rPr>
            </w:pPr>
          </w:p>
          <w:p>
            <w:pPr>
              <w:pStyle w:val="9"/>
              <w:spacing w:before="117"/>
              <w:ind w:firstLine="361" w:firstLineChars="200"/>
              <w:rPr>
                <w:rFonts w:ascii="黑体" w:eastAsia="黑体"/>
                <w:b/>
                <w:sz w:val="18"/>
              </w:rPr>
            </w:pPr>
            <w:r>
              <w:rPr>
                <w:rFonts w:hint="eastAsia" w:ascii="黑体" w:eastAsia="黑体"/>
                <w:b/>
                <w:sz w:val="18"/>
              </w:rPr>
              <w:t>职权名称</w:t>
            </w:r>
          </w:p>
        </w:tc>
        <w:tc>
          <w:tcPr>
            <w:tcW w:w="2507" w:type="dxa"/>
          </w:tcPr>
          <w:p>
            <w:pPr>
              <w:pStyle w:val="9"/>
              <w:rPr>
                <w:rFonts w:ascii="Times New Roman"/>
                <w:sz w:val="18"/>
              </w:rPr>
            </w:pPr>
          </w:p>
          <w:p>
            <w:pPr>
              <w:pStyle w:val="9"/>
              <w:spacing w:before="140"/>
              <w:ind w:right="1120"/>
              <w:jc w:val="center"/>
              <w:rPr>
                <w:rFonts w:ascii="黑体" w:eastAsia="黑体"/>
                <w:b/>
                <w:sz w:val="18"/>
              </w:rPr>
            </w:pPr>
            <w:r>
              <w:rPr>
                <w:rFonts w:hint="eastAsia" w:ascii="黑体" w:eastAsia="黑体"/>
                <w:b/>
                <w:sz w:val="18"/>
                <w:lang w:val="en-US"/>
              </w:rPr>
              <w:t xml:space="preserve">       </w:t>
            </w:r>
            <w:r>
              <w:rPr>
                <w:rFonts w:hint="eastAsia" w:ascii="黑体" w:eastAsia="黑体"/>
                <w:b/>
                <w:sz w:val="18"/>
              </w:rPr>
              <w:t>实施依据</w:t>
            </w:r>
          </w:p>
        </w:tc>
        <w:tc>
          <w:tcPr>
            <w:tcW w:w="473"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61"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89" w:type="dxa"/>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50"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640" w:type="dxa"/>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707" w:type="dxa"/>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23" w:hRule="atLeast"/>
        </w:trPr>
        <w:tc>
          <w:tcPr>
            <w:tcW w:w="336" w:type="dxa"/>
            <w:vMerge w:val="restart"/>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jc w:val="center"/>
              <w:rPr>
                <w:rFonts w:ascii="Times New Roman"/>
                <w:sz w:val="13"/>
                <w:szCs w:val="13"/>
                <w:lang w:val="en-US"/>
              </w:rPr>
            </w:pPr>
          </w:p>
          <w:p>
            <w:pPr>
              <w:pStyle w:val="9"/>
              <w:spacing w:before="112"/>
              <w:ind w:left="28"/>
              <w:jc w:val="center"/>
              <w:rPr>
                <w:rFonts w:ascii="Times New Roman"/>
                <w:sz w:val="13"/>
                <w:szCs w:val="13"/>
                <w:lang w:val="en-US"/>
              </w:rPr>
            </w:pPr>
            <w:r>
              <w:rPr>
                <w:rFonts w:hint="eastAsia" w:ascii="TimesNewRomanPSMT" w:hAnsi="TimesNewRomanPSMT" w:eastAsia="TimesNewRomanPSMT" w:cs="TimesNewRomanPSMT"/>
                <w:color w:val="000000"/>
                <w:sz w:val="13"/>
                <w:szCs w:val="13"/>
                <w:lang w:val="en-US" w:bidi="ar"/>
              </w:rPr>
              <w:t>10</w:t>
            </w:r>
          </w:p>
        </w:tc>
        <w:tc>
          <w:tcPr>
            <w:tcW w:w="531" w:type="dxa"/>
          </w:tcPr>
          <w:p>
            <w:pPr>
              <w:rPr>
                <w:sz w:val="13"/>
                <w:szCs w:val="13"/>
              </w:rPr>
            </w:pPr>
          </w:p>
          <w:p>
            <w:pPr>
              <w:rPr>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jc w:val="center"/>
              <w:rPr>
                <w:sz w:val="13"/>
                <w:szCs w:val="13"/>
                <w:lang w:val="en-US"/>
              </w:rPr>
            </w:pPr>
            <w:r>
              <w:rPr>
                <w:rFonts w:ascii="Times New Roman"/>
                <w:sz w:val="13"/>
                <w:szCs w:val="13"/>
              </w:rPr>
              <w:t>CF0</w:t>
            </w:r>
            <w:r>
              <w:rPr>
                <w:rFonts w:hint="eastAsia" w:ascii="Times New Roman"/>
                <w:sz w:val="13"/>
                <w:szCs w:val="13"/>
                <w:lang w:val="en-US"/>
              </w:rPr>
              <w:t>29</w:t>
            </w:r>
          </w:p>
        </w:tc>
        <w:tc>
          <w:tcPr>
            <w:tcW w:w="643" w:type="dxa"/>
            <w:vMerge w:val="restart"/>
          </w:tcPr>
          <w:p>
            <w:pPr>
              <w:pStyle w:val="9"/>
              <w:rPr>
                <w:rFonts w:ascii="Times New Roman"/>
                <w:sz w:val="13"/>
                <w:szCs w:val="13"/>
              </w:rPr>
            </w:pPr>
          </w:p>
          <w:p>
            <w:pPr>
              <w:pStyle w:val="9"/>
              <w:jc w:val="center"/>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pStyle w:val="9"/>
              <w:spacing w:line="192" w:lineRule="auto"/>
              <w:ind w:left="32" w:right="39"/>
              <w:jc w:val="both"/>
              <w:rPr>
                <w:sz w:val="13"/>
                <w:szCs w:val="13"/>
              </w:rPr>
            </w:pPr>
          </w:p>
          <w:p>
            <w:pPr>
              <w:rPr>
                <w:sz w:val="13"/>
                <w:szCs w:val="13"/>
              </w:rPr>
            </w:pPr>
          </w:p>
          <w:p>
            <w:pPr>
              <w:rPr>
                <w:sz w:val="13"/>
                <w:szCs w:val="13"/>
              </w:rPr>
            </w:pPr>
          </w:p>
          <w:p>
            <w:pPr>
              <w:widowControl/>
              <w:rPr>
                <w:sz w:val="13"/>
                <w:szCs w:val="13"/>
              </w:rPr>
            </w:pPr>
            <w:r>
              <w:rPr>
                <w:color w:val="000000"/>
                <w:sz w:val="13"/>
                <w:szCs w:val="13"/>
                <w:lang w:val="en-US" w:bidi="ar"/>
              </w:rPr>
              <w:t xml:space="preserve">对违反民用 </w:t>
            </w:r>
          </w:p>
          <w:p>
            <w:pPr>
              <w:widowControl/>
              <w:rPr>
                <w:sz w:val="13"/>
                <w:szCs w:val="13"/>
              </w:rPr>
            </w:pPr>
            <w:r>
              <w:rPr>
                <w:rFonts w:hint="eastAsia"/>
                <w:color w:val="000000"/>
                <w:sz w:val="13"/>
                <w:szCs w:val="13"/>
                <w:lang w:val="en-US" w:bidi="ar"/>
              </w:rPr>
              <w:t xml:space="preserve">爆炸物品储 </w:t>
            </w:r>
          </w:p>
          <w:p>
            <w:pPr>
              <w:widowControl/>
              <w:rPr>
                <w:sz w:val="13"/>
                <w:szCs w:val="13"/>
              </w:rPr>
            </w:pPr>
            <w:r>
              <w:rPr>
                <w:rFonts w:hint="eastAsia"/>
                <w:color w:val="000000"/>
                <w:sz w:val="13"/>
                <w:szCs w:val="13"/>
                <w:lang w:val="en-US" w:bidi="ar"/>
              </w:rPr>
              <w:t xml:space="preserve">存管理规定 </w:t>
            </w:r>
          </w:p>
          <w:p>
            <w:pPr>
              <w:widowControl/>
              <w:rPr>
                <w:sz w:val="13"/>
                <w:szCs w:val="13"/>
              </w:rPr>
            </w:pPr>
            <w:r>
              <w:rPr>
                <w:rFonts w:hint="eastAsia"/>
                <w:color w:val="000000"/>
                <w:sz w:val="13"/>
                <w:szCs w:val="13"/>
                <w:lang w:val="en-US" w:bidi="ar"/>
              </w:rPr>
              <w:t>行为的处罚</w:t>
            </w:r>
          </w:p>
          <w:p>
            <w:pPr>
              <w:ind w:firstLine="225"/>
              <w:rPr>
                <w:sz w:val="13"/>
                <w:szCs w:val="13"/>
              </w:rPr>
            </w:pPr>
          </w:p>
        </w:tc>
        <w:tc>
          <w:tcPr>
            <w:tcW w:w="994" w:type="dxa"/>
          </w:tcPr>
          <w:p>
            <w:pPr>
              <w:widowControl/>
              <w:rPr>
                <w:sz w:val="13"/>
                <w:szCs w:val="13"/>
              </w:rPr>
            </w:pPr>
          </w:p>
          <w:p>
            <w:pPr>
              <w:widowControl/>
              <w:rPr>
                <w:sz w:val="13"/>
                <w:szCs w:val="13"/>
              </w:rPr>
            </w:pPr>
            <w:r>
              <w:rPr>
                <w:color w:val="000000"/>
                <w:sz w:val="13"/>
                <w:szCs w:val="13"/>
                <w:lang w:val="en-US" w:bidi="ar"/>
              </w:rPr>
              <w:t xml:space="preserve">对未按照规定 </w:t>
            </w:r>
          </w:p>
          <w:p>
            <w:pPr>
              <w:widowControl/>
              <w:rPr>
                <w:sz w:val="13"/>
                <w:szCs w:val="13"/>
              </w:rPr>
            </w:pPr>
            <w:r>
              <w:rPr>
                <w:rFonts w:hint="eastAsia"/>
                <w:color w:val="000000"/>
                <w:sz w:val="13"/>
                <w:szCs w:val="13"/>
                <w:lang w:val="en-US" w:bidi="ar"/>
              </w:rPr>
              <w:t xml:space="preserve">在专用仓库设 </w:t>
            </w:r>
          </w:p>
          <w:p>
            <w:pPr>
              <w:widowControl/>
              <w:rPr>
                <w:sz w:val="13"/>
                <w:szCs w:val="13"/>
              </w:rPr>
            </w:pPr>
            <w:r>
              <w:rPr>
                <w:rFonts w:hint="eastAsia"/>
                <w:color w:val="000000"/>
                <w:sz w:val="13"/>
                <w:szCs w:val="13"/>
                <w:lang w:val="en-US" w:bidi="ar"/>
              </w:rPr>
              <w:t xml:space="preserve">置技术防范设 </w:t>
            </w:r>
          </w:p>
          <w:p>
            <w:pPr>
              <w:widowControl/>
              <w:rPr>
                <w:sz w:val="13"/>
                <w:szCs w:val="13"/>
              </w:rPr>
            </w:pPr>
            <w:r>
              <w:rPr>
                <w:rFonts w:hint="eastAsia"/>
                <w:color w:val="000000"/>
                <w:sz w:val="13"/>
                <w:szCs w:val="13"/>
                <w:lang w:val="en-US" w:bidi="ar"/>
              </w:rPr>
              <w:t>施的处罚</w:t>
            </w:r>
          </w:p>
          <w:p>
            <w:pPr>
              <w:pStyle w:val="9"/>
              <w:rPr>
                <w:rFonts w:ascii="Times New Roman"/>
                <w:sz w:val="13"/>
                <w:szCs w:val="13"/>
              </w:rPr>
            </w:pPr>
          </w:p>
        </w:tc>
        <w:tc>
          <w:tcPr>
            <w:tcW w:w="2507" w:type="dxa"/>
            <w:vMerge w:val="restart"/>
          </w:tcPr>
          <w:p>
            <w:pPr>
              <w:widowControl/>
              <w:rPr>
                <w:sz w:val="13"/>
                <w:szCs w:val="13"/>
              </w:rPr>
            </w:pPr>
          </w:p>
          <w:p>
            <w:pPr>
              <w:rPr>
                <w:sz w:val="13"/>
                <w:szCs w:val="13"/>
              </w:rPr>
            </w:pPr>
          </w:p>
          <w:p>
            <w:pPr>
              <w:rPr>
                <w:sz w:val="13"/>
                <w:szCs w:val="13"/>
              </w:rPr>
            </w:pPr>
          </w:p>
          <w:p>
            <w:pPr>
              <w:rPr>
                <w:sz w:val="13"/>
                <w:szCs w:val="13"/>
              </w:rPr>
            </w:pPr>
          </w:p>
          <w:p>
            <w:pPr>
              <w:rPr>
                <w:sz w:val="13"/>
                <w:szCs w:val="13"/>
              </w:rPr>
            </w:pPr>
          </w:p>
          <w:p>
            <w:pPr>
              <w:widowControl/>
              <w:rPr>
                <w:sz w:val="13"/>
                <w:szCs w:val="13"/>
              </w:rPr>
            </w:pPr>
            <w:r>
              <w:rPr>
                <w:color w:val="000000"/>
                <w:sz w:val="13"/>
                <w:szCs w:val="13"/>
                <w:lang w:val="en-US" w:bidi="ar"/>
              </w:rPr>
              <w:t xml:space="preserve">《民用爆炸物品安全管理条例》第四十九条 违反 </w:t>
            </w:r>
            <w:r>
              <w:rPr>
                <w:rFonts w:hint="eastAsia"/>
                <w:color w:val="000000"/>
                <w:sz w:val="13"/>
                <w:szCs w:val="13"/>
                <w:lang w:val="en-US" w:bidi="ar"/>
              </w:rPr>
              <w:t>本条例规定，有下列情形之一的，由国民用爆炸 物品行业主管部门、公安机关按照职责责令限期 改正，可以并处</w:t>
            </w:r>
            <w:r>
              <w:rPr>
                <w:rFonts w:ascii="TimesNewRomanPSMT" w:hAnsi="TimesNewRomanPSMT" w:eastAsia="TimesNewRomanPSMT" w:cs="TimesNewRomanPSMT"/>
                <w:color w:val="000000"/>
                <w:sz w:val="13"/>
                <w:szCs w:val="13"/>
                <w:lang w:val="en-US" w:bidi="ar"/>
              </w:rPr>
              <w:t>5</w:t>
            </w:r>
            <w:r>
              <w:rPr>
                <w:rFonts w:hint="eastAsia"/>
                <w:color w:val="000000"/>
                <w:sz w:val="13"/>
                <w:szCs w:val="13"/>
                <w:lang w:val="en-US" w:bidi="ar"/>
              </w:rPr>
              <w:t>万元以上</w:t>
            </w:r>
            <w:r>
              <w:rPr>
                <w:rFonts w:ascii="TimesNewRomanPSMT" w:hAnsi="TimesNewRomanPSMT" w:eastAsia="TimesNewRomanPSMT" w:cs="TimesNewRomanPSMT"/>
                <w:color w:val="000000"/>
                <w:sz w:val="13"/>
                <w:szCs w:val="13"/>
                <w:lang w:val="en-US" w:bidi="ar"/>
              </w:rPr>
              <w:t>20</w:t>
            </w:r>
            <w:r>
              <w:rPr>
                <w:rFonts w:hint="eastAsia"/>
                <w:color w:val="000000"/>
                <w:sz w:val="13"/>
                <w:szCs w:val="13"/>
                <w:lang w:val="en-US" w:bidi="ar"/>
              </w:rPr>
              <w:t xml:space="preserve">万元以下的罚款； 逾期不改正的，责令停产停业整顿；情节严重 的，吊销许可证：（一）未按照规定在专用仓库 设置技术防范设施的；（二）未按照规定建立出 入库检查、登记制度或者收存和发放民用爆炸物 品，致使账物不符的；（三）超量储存、在非专 用仓库储存或者违反储存标准和规范储存民用爆 </w:t>
            </w:r>
          </w:p>
          <w:p>
            <w:pPr>
              <w:widowControl/>
              <w:rPr>
                <w:sz w:val="13"/>
                <w:szCs w:val="13"/>
              </w:rPr>
            </w:pPr>
            <w:r>
              <w:rPr>
                <w:rFonts w:hint="eastAsia"/>
                <w:color w:val="000000"/>
                <w:sz w:val="13"/>
                <w:szCs w:val="13"/>
                <w:lang w:val="en-US" w:bidi="ar"/>
              </w:rPr>
              <w:t>炸物品的；（四）有本条例规定的其他违反民用 爆炸物品储存管理规定行为的。</w:t>
            </w:r>
          </w:p>
          <w:p>
            <w:pPr>
              <w:jc w:val="center"/>
              <w:rPr>
                <w:sz w:val="13"/>
                <w:szCs w:val="13"/>
              </w:rPr>
            </w:pPr>
          </w:p>
        </w:tc>
        <w:tc>
          <w:tcPr>
            <w:tcW w:w="473"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民用</w:t>
            </w:r>
          </w:p>
          <w:p>
            <w:pPr>
              <w:widowControl/>
              <w:rPr>
                <w:sz w:val="13"/>
                <w:szCs w:val="13"/>
              </w:rPr>
            </w:pPr>
            <w:r>
              <w:rPr>
                <w:rFonts w:hint="eastAsia"/>
                <w:color w:val="000000"/>
                <w:sz w:val="13"/>
                <w:szCs w:val="13"/>
                <w:lang w:val="en-US" w:bidi="ar"/>
              </w:rPr>
              <w:t>爆炸</w:t>
            </w:r>
          </w:p>
          <w:p>
            <w:pPr>
              <w:widowControl/>
              <w:rPr>
                <w:sz w:val="13"/>
                <w:szCs w:val="13"/>
              </w:rPr>
            </w:pPr>
            <w:r>
              <w:rPr>
                <w:rFonts w:hint="eastAsia"/>
                <w:color w:val="000000"/>
                <w:sz w:val="13"/>
                <w:szCs w:val="13"/>
                <w:lang w:val="en-US" w:bidi="ar"/>
              </w:rPr>
              <w:t>物品</w:t>
            </w:r>
          </w:p>
          <w:p>
            <w:pPr>
              <w:widowControl/>
              <w:rPr>
                <w:sz w:val="13"/>
                <w:szCs w:val="13"/>
              </w:rPr>
            </w:pPr>
            <w:r>
              <w:rPr>
                <w:rFonts w:hint="eastAsia"/>
                <w:color w:val="000000"/>
                <w:sz w:val="13"/>
                <w:szCs w:val="13"/>
                <w:lang w:val="en-US" w:bidi="ar"/>
              </w:rPr>
              <w:t>生产</w:t>
            </w:r>
          </w:p>
          <w:p>
            <w:pPr>
              <w:widowControl/>
              <w:rPr>
                <w:sz w:val="13"/>
                <w:szCs w:val="13"/>
              </w:rPr>
            </w:pPr>
            <w:r>
              <w:rPr>
                <w:rFonts w:hint="eastAsia"/>
                <w:color w:val="000000"/>
                <w:sz w:val="13"/>
                <w:szCs w:val="13"/>
                <w:lang w:val="en-US" w:bidi="ar"/>
              </w:rPr>
              <w:t>、销</w:t>
            </w:r>
          </w:p>
          <w:p>
            <w:pPr>
              <w:widowControl/>
              <w:rPr>
                <w:sz w:val="13"/>
                <w:szCs w:val="13"/>
              </w:rPr>
            </w:pPr>
            <w:r>
              <w:rPr>
                <w:rFonts w:hint="eastAsia"/>
                <w:color w:val="000000"/>
                <w:sz w:val="13"/>
                <w:szCs w:val="13"/>
                <w:lang w:val="en-US" w:bidi="ar"/>
              </w:rPr>
              <w:t>售、运输企</w:t>
            </w:r>
          </w:p>
          <w:p>
            <w:pPr>
              <w:widowControl/>
              <w:rPr>
                <w:sz w:val="13"/>
                <w:szCs w:val="13"/>
              </w:rPr>
            </w:pPr>
            <w:r>
              <w:rPr>
                <w:rFonts w:hint="eastAsia"/>
                <w:color w:val="000000"/>
                <w:sz w:val="13"/>
                <w:szCs w:val="13"/>
                <w:lang w:val="en-US" w:bidi="ar"/>
              </w:rPr>
              <w:t>业</w:t>
            </w:r>
          </w:p>
          <w:p>
            <w:pPr>
              <w:pStyle w:val="9"/>
              <w:spacing w:line="192" w:lineRule="auto"/>
              <w:ind w:left="83" w:right="23"/>
              <w:rPr>
                <w:sz w:val="13"/>
                <w:szCs w:val="13"/>
              </w:rPr>
            </w:pPr>
          </w:p>
        </w:tc>
        <w:tc>
          <w:tcPr>
            <w:tcW w:w="761"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color w:val="000000"/>
                <w:sz w:val="13"/>
                <w:szCs w:val="13"/>
                <w:lang w:val="en-US" w:bidi="ar"/>
              </w:rPr>
            </w:pPr>
          </w:p>
          <w:p>
            <w:pPr>
              <w:widowControl/>
              <w:rPr>
                <w:rFonts w:ascii="Times New Roman" w:eastAsia="Times New Roman"/>
                <w:sz w:val="13"/>
                <w:szCs w:val="13"/>
              </w:rPr>
            </w:pPr>
            <w:r>
              <w:rPr>
                <w:rFonts w:hint="eastAsia"/>
                <w:color w:val="000000"/>
                <w:sz w:val="13"/>
                <w:szCs w:val="13"/>
                <w:lang w:val="en-US" w:bidi="ar"/>
              </w:rPr>
              <w:t>安全科3311262</w:t>
            </w:r>
          </w:p>
        </w:tc>
        <w:tc>
          <w:tcPr>
            <w:tcW w:w="889" w:type="dxa"/>
            <w:vMerge w:val="restart"/>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9"/>
              <w:rPr>
                <w:rFonts w:ascii="Times New Roman"/>
                <w:sz w:val="13"/>
                <w:szCs w:val="13"/>
              </w:rPr>
            </w:pPr>
          </w:p>
          <w:p>
            <w:pPr>
              <w:pStyle w:val="9"/>
              <w:ind w:left="32"/>
              <w:jc w:val="center"/>
              <w:rPr>
                <w:sz w:val="13"/>
                <w:szCs w:val="13"/>
              </w:rPr>
            </w:pPr>
            <w:r>
              <w:rPr>
                <w:w w:val="102"/>
                <w:sz w:val="13"/>
                <w:szCs w:val="13"/>
              </w:rPr>
              <w:t>无</w:t>
            </w:r>
          </w:p>
        </w:tc>
        <w:tc>
          <w:tcPr>
            <w:tcW w:w="450" w:type="dxa"/>
            <w:vMerge w:val="restart"/>
          </w:tcPr>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米东区发改委（工信局）</w:t>
            </w:r>
          </w:p>
          <w:p>
            <w:pPr>
              <w:widowControl/>
              <w:rPr>
                <w:sz w:val="13"/>
                <w:szCs w:val="13"/>
              </w:rPr>
            </w:pPr>
          </w:p>
        </w:tc>
        <w:tc>
          <w:tcPr>
            <w:tcW w:w="3640" w:type="dxa"/>
            <w:vMerge w:val="restart"/>
            <w:vAlign w:val="center"/>
          </w:tcPr>
          <w:p>
            <w:pPr>
              <w:widowControl/>
              <w:jc w:val="both"/>
              <w:rPr>
                <w:sz w:val="16"/>
                <w:szCs w:val="16"/>
              </w:rPr>
            </w:pPr>
            <w:r>
              <w:rPr>
                <w:rFonts w:ascii="TimesNewRomanPSMT" w:hAnsi="TimesNewRomanPSMT" w:eastAsia="TimesNewRomanPSMT" w:cs="TimesNewRomanPSMT"/>
                <w:color w:val="000000"/>
                <w:sz w:val="16"/>
                <w:szCs w:val="16"/>
                <w:lang w:val="en-US" w:bidi="ar"/>
              </w:rPr>
              <w:t>1.</w:t>
            </w:r>
            <w:r>
              <w:rPr>
                <w:color w:val="000000"/>
                <w:sz w:val="16"/>
                <w:szCs w:val="16"/>
                <w:lang w:val="en-US" w:bidi="ar"/>
              </w:rPr>
              <w:t>立案责任：按照立案条件在规定期限内进行审查</w:t>
            </w:r>
          </w:p>
          <w:p>
            <w:pPr>
              <w:widowControl/>
              <w:jc w:val="both"/>
              <w:rPr>
                <w:sz w:val="16"/>
                <w:szCs w:val="16"/>
              </w:rPr>
            </w:pPr>
            <w:r>
              <w:rPr>
                <w:rFonts w:hint="eastAsia"/>
                <w:color w:val="000000"/>
                <w:sz w:val="16"/>
                <w:szCs w:val="16"/>
                <w:lang w:val="en-US" w:bidi="ar"/>
              </w:rPr>
              <w:t>并决定是否立案（不予立案应当告知理由）；对需要补充材料的，应当场一次性告知。</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调查责任：对违法违规行为进行调查，依法收集整理证据材料；执法人员不得少于两人，调查时应出示执法身份证件，允许当事人陈述申辩，并严格执行监察回避制度。</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审查责任：应当对案件违法事实、证据、调查取证程序、法律适用、处罚种类和幅度以及当事人陈述申辩理由等方面进行审查，并提出处理意见。对情节复杂或者重大违法行为给予较重的行政处罚，由市工信局（大数据发展局）局务会研究提出审查意见。</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告知责任：在做出行政处罚决定前，应书面告知当事人违法事实及其享有的陈述、申辩、要求听证等权利。</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决定责任：决定给予行政处罚的，应制作《行政处罚决定书》，载明违法事实和证据、处罚依据和内容、申请行政复议或提起行政诉讼的途径和期限等。</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送达责任：《行政处罚决定书》应在规定期限内依法送达当事人。</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执行责任：监督当事人在规定的期限内履行生效的行政处罚决定。当事人在法定期限内既不申请行政复议或者提起行政诉讼，又不履行处罚决定的，可依法向人民法院申请强制执行等措施。</w:t>
            </w:r>
          </w:p>
          <w:p>
            <w:pPr>
              <w:pStyle w:val="9"/>
              <w:tabs>
                <w:tab w:val="left" w:pos="146"/>
              </w:tabs>
              <w:spacing w:line="205" w:lineRule="exact"/>
              <w:ind w:left="32"/>
              <w:jc w:val="both"/>
              <w:rPr>
                <w:sz w:val="13"/>
                <w:szCs w:val="13"/>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其他法律法规政策规定应履行的责任。</w:t>
            </w:r>
          </w:p>
        </w:tc>
        <w:tc>
          <w:tcPr>
            <w:tcW w:w="3707" w:type="dxa"/>
            <w:vMerge w:val="restart"/>
            <w:vAlign w:val="center"/>
          </w:tcPr>
          <w:p>
            <w:pPr>
              <w:widowControl/>
              <w:jc w:val="both"/>
              <w:rPr>
                <w:sz w:val="16"/>
                <w:szCs w:val="16"/>
              </w:rPr>
            </w:pPr>
            <w:r>
              <w:rPr>
                <w:color w:val="000000"/>
                <w:sz w:val="16"/>
                <w:szCs w:val="16"/>
                <w:lang w:val="en-US" w:bidi="ar"/>
              </w:rPr>
              <w:t xml:space="preserve">行政主管部门及其工作人员有下列行为之一 </w:t>
            </w:r>
            <w:r>
              <w:rPr>
                <w:rFonts w:hint="eastAsia"/>
                <w:color w:val="000000"/>
                <w:sz w:val="16"/>
                <w:szCs w:val="16"/>
                <w:lang w:val="en-US" w:bidi="ar"/>
              </w:rPr>
              <w:t xml:space="preserve">的，对直接负责的主管人员和其他直接责任人 员，依法给予处分；构成犯罪的，依法追究刑 事责任： </w:t>
            </w:r>
          </w:p>
          <w:p>
            <w:pPr>
              <w:widowControl/>
              <w:jc w:val="both"/>
              <w:rPr>
                <w:sz w:val="16"/>
                <w:szCs w:val="16"/>
              </w:rPr>
            </w:pPr>
            <w:r>
              <w:rPr>
                <w:rFonts w:ascii="TimesNewRomanPSMT" w:hAnsi="TimesNewRomanPSMT" w:eastAsia="TimesNewRomanPSMT" w:cs="TimesNewRomanPSMT"/>
                <w:color w:val="000000"/>
                <w:sz w:val="16"/>
                <w:szCs w:val="16"/>
                <w:lang w:val="en-US" w:bidi="ar"/>
              </w:rPr>
              <w:t>1.</w:t>
            </w:r>
            <w:r>
              <w:rPr>
                <w:rFonts w:hint="eastAsia"/>
                <w:color w:val="000000"/>
                <w:sz w:val="16"/>
                <w:szCs w:val="16"/>
                <w:lang w:val="en-US" w:bidi="ar"/>
              </w:rPr>
              <w:t xml:space="preserve">执法人员玩忽职守，对应当予以制止和处罚的 违法行为不予制止、处罚，致使国家资源遭受 损害的； </w:t>
            </w:r>
          </w:p>
          <w:p>
            <w:pPr>
              <w:widowControl/>
              <w:jc w:val="both"/>
              <w:rPr>
                <w:sz w:val="16"/>
                <w:szCs w:val="16"/>
              </w:rPr>
            </w:pPr>
            <w:r>
              <w:rPr>
                <w:rFonts w:ascii="TimesNewRomanPSMT" w:hAnsi="TimesNewRomanPSMT" w:eastAsia="TimesNewRomanPSMT" w:cs="TimesNewRomanPSMT"/>
                <w:color w:val="000000"/>
                <w:sz w:val="16"/>
                <w:szCs w:val="16"/>
                <w:lang w:val="en-US" w:bidi="ar"/>
              </w:rPr>
              <w:t>2.</w:t>
            </w:r>
            <w:r>
              <w:rPr>
                <w:rFonts w:hint="eastAsia"/>
                <w:color w:val="000000"/>
                <w:sz w:val="16"/>
                <w:szCs w:val="16"/>
                <w:lang w:val="en-US" w:bidi="ar"/>
              </w:rPr>
              <w:t xml:space="preserve">不依法受理举报、投诉或者受理后未在法定期限内处理的； </w:t>
            </w:r>
          </w:p>
          <w:p>
            <w:pPr>
              <w:widowControl/>
              <w:jc w:val="both"/>
              <w:rPr>
                <w:sz w:val="16"/>
                <w:szCs w:val="16"/>
              </w:rPr>
            </w:pPr>
            <w:r>
              <w:rPr>
                <w:rFonts w:ascii="TimesNewRomanPSMT" w:hAnsi="TimesNewRomanPSMT" w:eastAsia="TimesNewRomanPSMT" w:cs="TimesNewRomanPSMT"/>
                <w:color w:val="000000"/>
                <w:sz w:val="16"/>
                <w:szCs w:val="16"/>
                <w:lang w:val="en-US" w:bidi="ar"/>
              </w:rPr>
              <w:t>3.</w:t>
            </w:r>
            <w:r>
              <w:rPr>
                <w:rFonts w:hint="eastAsia"/>
                <w:color w:val="000000"/>
                <w:sz w:val="16"/>
                <w:szCs w:val="16"/>
                <w:lang w:val="en-US" w:bidi="ar"/>
              </w:rPr>
              <w:t xml:space="preserve">对符合立案条件而不予立案的； </w:t>
            </w:r>
          </w:p>
          <w:p>
            <w:pPr>
              <w:widowControl/>
              <w:jc w:val="both"/>
              <w:rPr>
                <w:sz w:val="16"/>
                <w:szCs w:val="16"/>
              </w:rPr>
            </w:pPr>
            <w:r>
              <w:rPr>
                <w:rFonts w:ascii="TimesNewRomanPSMT" w:hAnsi="TimesNewRomanPSMT" w:eastAsia="TimesNewRomanPSMT" w:cs="TimesNewRomanPSMT"/>
                <w:color w:val="000000"/>
                <w:sz w:val="16"/>
                <w:szCs w:val="16"/>
                <w:lang w:val="en-US" w:bidi="ar"/>
              </w:rPr>
              <w:t>4.</w:t>
            </w:r>
            <w:r>
              <w:rPr>
                <w:rFonts w:hint="eastAsia"/>
                <w:color w:val="000000"/>
                <w:sz w:val="16"/>
                <w:szCs w:val="16"/>
                <w:lang w:val="en-US" w:bidi="ar"/>
              </w:rPr>
              <w:t xml:space="preserve">对不符合立案条件而立案调查的； </w:t>
            </w:r>
          </w:p>
          <w:p>
            <w:pPr>
              <w:widowControl/>
              <w:jc w:val="both"/>
              <w:rPr>
                <w:sz w:val="16"/>
                <w:szCs w:val="16"/>
              </w:rPr>
            </w:pPr>
            <w:r>
              <w:rPr>
                <w:rFonts w:ascii="TimesNewRomanPSMT" w:hAnsi="TimesNewRomanPSMT" w:eastAsia="TimesNewRomanPSMT" w:cs="TimesNewRomanPSMT"/>
                <w:color w:val="000000"/>
                <w:sz w:val="16"/>
                <w:szCs w:val="16"/>
                <w:lang w:val="en-US" w:bidi="ar"/>
              </w:rPr>
              <w:t>5</w:t>
            </w:r>
            <w:r>
              <w:rPr>
                <w:rFonts w:hint="eastAsia"/>
                <w:color w:val="000000"/>
                <w:sz w:val="16"/>
                <w:szCs w:val="16"/>
                <w:lang w:val="en-US" w:bidi="ar"/>
              </w:rPr>
              <w:t xml:space="preserve">没有法定的行政处罚依据的； </w:t>
            </w:r>
          </w:p>
          <w:p>
            <w:pPr>
              <w:widowControl/>
              <w:jc w:val="both"/>
              <w:rPr>
                <w:sz w:val="16"/>
                <w:szCs w:val="16"/>
              </w:rPr>
            </w:pPr>
            <w:r>
              <w:rPr>
                <w:rFonts w:ascii="TimesNewRomanPSMT" w:hAnsi="TimesNewRomanPSMT" w:eastAsia="TimesNewRomanPSMT" w:cs="TimesNewRomanPSMT"/>
                <w:color w:val="000000"/>
                <w:sz w:val="16"/>
                <w:szCs w:val="16"/>
                <w:lang w:val="en-US" w:bidi="ar"/>
              </w:rPr>
              <w:t>6.</w:t>
            </w:r>
            <w:r>
              <w:rPr>
                <w:rFonts w:hint="eastAsia"/>
                <w:color w:val="000000"/>
                <w:sz w:val="16"/>
                <w:szCs w:val="16"/>
                <w:lang w:val="en-US" w:bidi="ar"/>
              </w:rPr>
              <w:t xml:space="preserve">违反法定的行政处罚程序的； </w:t>
            </w:r>
          </w:p>
          <w:p>
            <w:pPr>
              <w:widowControl/>
              <w:jc w:val="both"/>
              <w:rPr>
                <w:sz w:val="16"/>
                <w:szCs w:val="16"/>
              </w:rPr>
            </w:pPr>
            <w:r>
              <w:rPr>
                <w:rFonts w:ascii="TimesNewRomanPSMT" w:hAnsi="TimesNewRomanPSMT" w:eastAsia="TimesNewRomanPSMT" w:cs="TimesNewRomanPSMT"/>
                <w:color w:val="000000"/>
                <w:sz w:val="16"/>
                <w:szCs w:val="16"/>
                <w:lang w:val="en-US" w:bidi="ar"/>
              </w:rPr>
              <w:t>7.</w:t>
            </w:r>
            <w:r>
              <w:rPr>
                <w:rFonts w:hint="eastAsia"/>
                <w:color w:val="000000"/>
                <w:sz w:val="16"/>
                <w:szCs w:val="16"/>
                <w:lang w:val="en-US" w:bidi="ar"/>
              </w:rPr>
              <w:t xml:space="preserve">擅自改变行政处罚种类、幅度的； </w:t>
            </w:r>
          </w:p>
          <w:p>
            <w:pPr>
              <w:widowControl/>
              <w:jc w:val="both"/>
              <w:rPr>
                <w:sz w:val="16"/>
                <w:szCs w:val="16"/>
              </w:rPr>
            </w:pPr>
            <w:r>
              <w:rPr>
                <w:rFonts w:ascii="TimesNewRomanPSMT" w:hAnsi="TimesNewRomanPSMT" w:eastAsia="TimesNewRomanPSMT" w:cs="TimesNewRomanPSMT"/>
                <w:color w:val="000000"/>
                <w:sz w:val="16"/>
                <w:szCs w:val="16"/>
                <w:lang w:val="en-US" w:bidi="ar"/>
              </w:rPr>
              <w:t>8.</w:t>
            </w:r>
            <w:r>
              <w:rPr>
                <w:rFonts w:hint="eastAsia"/>
                <w:color w:val="000000"/>
                <w:sz w:val="16"/>
                <w:szCs w:val="16"/>
                <w:lang w:val="en-US" w:bidi="ar"/>
              </w:rPr>
              <w:t xml:space="preserve">对当事人进行处罚不使用罚款、没收财物单据或者使用非法定部门制发的罚款、没收财物单据的； </w:t>
            </w:r>
          </w:p>
          <w:p>
            <w:pPr>
              <w:widowControl/>
              <w:jc w:val="both"/>
              <w:rPr>
                <w:sz w:val="16"/>
                <w:szCs w:val="16"/>
              </w:rPr>
            </w:pPr>
            <w:r>
              <w:rPr>
                <w:rFonts w:ascii="TimesNewRomanPSMT" w:hAnsi="TimesNewRomanPSMT" w:eastAsia="TimesNewRomanPSMT" w:cs="TimesNewRomanPSMT"/>
                <w:color w:val="000000"/>
                <w:sz w:val="16"/>
                <w:szCs w:val="16"/>
                <w:lang w:val="en-US" w:bidi="ar"/>
              </w:rPr>
              <w:t>9.</w:t>
            </w:r>
            <w:r>
              <w:rPr>
                <w:rFonts w:hint="eastAsia"/>
                <w:color w:val="000000"/>
                <w:sz w:val="16"/>
                <w:szCs w:val="16"/>
                <w:lang w:val="en-US" w:bidi="ar"/>
              </w:rPr>
              <w:t xml:space="preserve">违反法律规定自行收缴罚款的； </w:t>
            </w:r>
          </w:p>
          <w:p>
            <w:pPr>
              <w:widowControl/>
              <w:jc w:val="both"/>
              <w:rPr>
                <w:sz w:val="16"/>
                <w:szCs w:val="16"/>
              </w:rPr>
            </w:pPr>
            <w:r>
              <w:rPr>
                <w:rFonts w:ascii="TimesNewRomanPSMT" w:hAnsi="TimesNewRomanPSMT" w:eastAsia="TimesNewRomanPSMT" w:cs="TimesNewRomanPSMT"/>
                <w:color w:val="000000"/>
                <w:sz w:val="16"/>
                <w:szCs w:val="16"/>
                <w:lang w:val="en-US" w:bidi="ar"/>
              </w:rPr>
              <w:t>10.</w:t>
            </w:r>
            <w:r>
              <w:rPr>
                <w:rFonts w:hint="eastAsia"/>
                <w:color w:val="000000"/>
                <w:sz w:val="16"/>
                <w:szCs w:val="16"/>
                <w:lang w:val="en-US" w:bidi="ar"/>
              </w:rPr>
              <w:t xml:space="preserve">将罚款、没收的违法所得或者财物截留、私分或者变相私分的； </w:t>
            </w:r>
          </w:p>
          <w:p>
            <w:pPr>
              <w:widowControl/>
              <w:jc w:val="both"/>
              <w:rPr>
                <w:sz w:val="16"/>
                <w:szCs w:val="16"/>
              </w:rPr>
            </w:pPr>
            <w:r>
              <w:rPr>
                <w:rFonts w:ascii="TimesNewRomanPSMT" w:hAnsi="TimesNewRomanPSMT" w:eastAsia="TimesNewRomanPSMT" w:cs="TimesNewRomanPSMT"/>
                <w:color w:val="000000"/>
                <w:sz w:val="16"/>
                <w:szCs w:val="16"/>
                <w:lang w:val="en-US" w:bidi="ar"/>
              </w:rPr>
              <w:t>11.</w:t>
            </w:r>
            <w:r>
              <w:rPr>
                <w:rFonts w:hint="eastAsia"/>
                <w:color w:val="000000"/>
                <w:sz w:val="16"/>
                <w:szCs w:val="16"/>
                <w:lang w:val="en-US" w:bidi="ar"/>
              </w:rPr>
              <w:t xml:space="preserve">为牟取本单位私利，对应当移交司法机关追究刑事责任的不移交，以行政处罚代替刑罚； </w:t>
            </w:r>
          </w:p>
          <w:p>
            <w:pPr>
              <w:widowControl/>
              <w:jc w:val="both"/>
              <w:rPr>
                <w:sz w:val="16"/>
                <w:szCs w:val="16"/>
              </w:rPr>
            </w:pPr>
            <w:r>
              <w:rPr>
                <w:rFonts w:ascii="TimesNewRomanPSMT" w:hAnsi="TimesNewRomanPSMT" w:eastAsia="TimesNewRomanPSMT" w:cs="TimesNewRomanPSMT"/>
                <w:color w:val="000000"/>
                <w:sz w:val="16"/>
                <w:szCs w:val="16"/>
                <w:lang w:val="en-US" w:bidi="ar"/>
              </w:rPr>
              <w:t>12.</w:t>
            </w:r>
            <w:r>
              <w:rPr>
                <w:rFonts w:hint="eastAsia"/>
                <w:color w:val="000000"/>
                <w:sz w:val="16"/>
                <w:szCs w:val="16"/>
                <w:lang w:val="en-US" w:bidi="ar"/>
              </w:rPr>
              <w:t>其他法律、法规、规章、文件规定的行为。</w:t>
            </w:r>
          </w:p>
          <w:p>
            <w:pPr>
              <w:pStyle w:val="9"/>
              <w:tabs>
                <w:tab w:val="left" w:pos="219"/>
              </w:tabs>
              <w:spacing w:line="202" w:lineRule="exact"/>
              <w:jc w:val="both"/>
              <w:rPr>
                <w:sz w:val="13"/>
                <w:szCs w:val="13"/>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44" w:hRule="atLeast"/>
        </w:trPr>
        <w:tc>
          <w:tcPr>
            <w:tcW w:w="336" w:type="dxa"/>
            <w:vMerge w:val="continue"/>
          </w:tcPr>
          <w:p>
            <w:pPr>
              <w:jc w:val="center"/>
              <w:rPr>
                <w:sz w:val="13"/>
                <w:szCs w:val="13"/>
              </w:rPr>
            </w:pPr>
          </w:p>
        </w:tc>
        <w:tc>
          <w:tcPr>
            <w:tcW w:w="531" w:type="dxa"/>
          </w:tcPr>
          <w:p>
            <w:pPr>
              <w:widowControl/>
              <w:rPr>
                <w:sz w:val="13"/>
                <w:szCs w:val="13"/>
              </w:rPr>
            </w:pPr>
          </w:p>
          <w:p>
            <w:pPr>
              <w:rPr>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jc w:val="center"/>
              <w:rPr>
                <w:sz w:val="13"/>
                <w:szCs w:val="13"/>
                <w:lang w:val="en-US"/>
              </w:rPr>
            </w:pPr>
            <w:r>
              <w:rPr>
                <w:rFonts w:ascii="Times New Roman"/>
                <w:sz w:val="13"/>
                <w:szCs w:val="13"/>
              </w:rPr>
              <w:t>CF0</w:t>
            </w:r>
            <w:r>
              <w:rPr>
                <w:rFonts w:hint="eastAsia" w:ascii="Times New Roman"/>
                <w:sz w:val="13"/>
                <w:szCs w:val="13"/>
                <w:lang w:val="en-US"/>
              </w:rPr>
              <w:t>30</w:t>
            </w:r>
          </w:p>
        </w:tc>
        <w:tc>
          <w:tcPr>
            <w:tcW w:w="643" w:type="dxa"/>
            <w:vMerge w:val="continue"/>
          </w:tcPr>
          <w:p>
            <w:pPr>
              <w:jc w:val="center"/>
              <w:rPr>
                <w:sz w:val="13"/>
                <w:szCs w:val="13"/>
              </w:rPr>
            </w:pPr>
          </w:p>
        </w:tc>
        <w:tc>
          <w:tcPr>
            <w:tcW w:w="994" w:type="dxa"/>
          </w:tcPr>
          <w:p>
            <w:pPr>
              <w:widowControl/>
              <w:rPr>
                <w:sz w:val="13"/>
                <w:szCs w:val="13"/>
              </w:rPr>
            </w:pPr>
            <w:r>
              <w:rPr>
                <w:color w:val="000000"/>
                <w:sz w:val="13"/>
                <w:szCs w:val="13"/>
                <w:lang w:val="en-US" w:bidi="ar"/>
              </w:rPr>
              <w:t xml:space="preserve">对未按照规定 </w:t>
            </w:r>
          </w:p>
          <w:p>
            <w:pPr>
              <w:widowControl/>
              <w:rPr>
                <w:sz w:val="13"/>
                <w:szCs w:val="13"/>
              </w:rPr>
            </w:pPr>
            <w:r>
              <w:rPr>
                <w:rFonts w:hint="eastAsia"/>
                <w:color w:val="000000"/>
                <w:sz w:val="13"/>
                <w:szCs w:val="13"/>
                <w:lang w:val="en-US" w:bidi="ar"/>
              </w:rPr>
              <w:t xml:space="preserve">建立出入库检 </w:t>
            </w:r>
          </w:p>
          <w:p>
            <w:pPr>
              <w:widowControl/>
              <w:rPr>
                <w:sz w:val="13"/>
                <w:szCs w:val="13"/>
              </w:rPr>
            </w:pPr>
            <w:r>
              <w:rPr>
                <w:rFonts w:hint="eastAsia"/>
                <w:color w:val="000000"/>
                <w:sz w:val="13"/>
                <w:szCs w:val="13"/>
                <w:lang w:val="en-US" w:bidi="ar"/>
              </w:rPr>
              <w:t xml:space="preserve">查、登记制度 </w:t>
            </w:r>
          </w:p>
          <w:p>
            <w:pPr>
              <w:widowControl/>
              <w:rPr>
                <w:sz w:val="13"/>
                <w:szCs w:val="13"/>
              </w:rPr>
            </w:pPr>
            <w:r>
              <w:rPr>
                <w:rFonts w:hint="eastAsia"/>
                <w:color w:val="000000"/>
                <w:sz w:val="13"/>
                <w:szCs w:val="13"/>
                <w:lang w:val="en-US" w:bidi="ar"/>
              </w:rPr>
              <w:t xml:space="preserve">或者收存和发 </w:t>
            </w:r>
          </w:p>
          <w:p>
            <w:pPr>
              <w:widowControl/>
              <w:rPr>
                <w:sz w:val="13"/>
                <w:szCs w:val="13"/>
              </w:rPr>
            </w:pPr>
            <w:r>
              <w:rPr>
                <w:rFonts w:hint="eastAsia"/>
                <w:color w:val="000000"/>
                <w:sz w:val="13"/>
                <w:szCs w:val="13"/>
                <w:lang w:val="en-US" w:bidi="ar"/>
              </w:rPr>
              <w:t xml:space="preserve">放民用爆炸物 </w:t>
            </w:r>
          </w:p>
          <w:p>
            <w:pPr>
              <w:widowControl/>
              <w:rPr>
                <w:sz w:val="13"/>
                <w:szCs w:val="13"/>
              </w:rPr>
            </w:pPr>
            <w:r>
              <w:rPr>
                <w:rFonts w:hint="eastAsia"/>
                <w:color w:val="000000"/>
                <w:sz w:val="13"/>
                <w:szCs w:val="13"/>
                <w:lang w:val="en-US" w:bidi="ar"/>
              </w:rPr>
              <w:t xml:space="preserve">品，致使账物 </w:t>
            </w:r>
          </w:p>
          <w:p>
            <w:pPr>
              <w:widowControl/>
              <w:rPr>
                <w:sz w:val="13"/>
                <w:szCs w:val="13"/>
              </w:rPr>
            </w:pPr>
            <w:r>
              <w:rPr>
                <w:rFonts w:hint="eastAsia"/>
                <w:color w:val="000000"/>
                <w:sz w:val="13"/>
                <w:szCs w:val="13"/>
                <w:lang w:val="en-US" w:bidi="ar"/>
              </w:rPr>
              <w:t>不符的处罚</w:t>
            </w:r>
          </w:p>
        </w:tc>
        <w:tc>
          <w:tcPr>
            <w:tcW w:w="2507" w:type="dxa"/>
            <w:vMerge w:val="continue"/>
          </w:tcPr>
          <w:p>
            <w:pPr>
              <w:jc w:val="center"/>
            </w:pPr>
          </w:p>
        </w:tc>
        <w:tc>
          <w:tcPr>
            <w:tcW w:w="473" w:type="dxa"/>
            <w:vMerge w:val="continue"/>
          </w:tcPr>
          <w:p>
            <w:pPr>
              <w:jc w:val="center"/>
            </w:pPr>
          </w:p>
        </w:tc>
        <w:tc>
          <w:tcPr>
            <w:tcW w:w="761" w:type="dxa"/>
            <w:vMerge w:val="continue"/>
          </w:tcPr>
          <w:p>
            <w:pPr>
              <w:jc w:val="center"/>
            </w:pPr>
          </w:p>
        </w:tc>
        <w:tc>
          <w:tcPr>
            <w:tcW w:w="889" w:type="dxa"/>
            <w:vMerge w:val="continue"/>
          </w:tcPr>
          <w:p>
            <w:pPr>
              <w:jc w:val="center"/>
            </w:pPr>
          </w:p>
        </w:tc>
        <w:tc>
          <w:tcPr>
            <w:tcW w:w="450" w:type="dxa"/>
            <w:vMerge w:val="continue"/>
          </w:tcPr>
          <w:p>
            <w:pPr>
              <w:jc w:val="center"/>
            </w:pPr>
          </w:p>
        </w:tc>
        <w:tc>
          <w:tcPr>
            <w:tcW w:w="3640" w:type="dxa"/>
            <w:vMerge w:val="continue"/>
          </w:tcPr>
          <w:p>
            <w:pPr>
              <w:jc w:val="center"/>
            </w:pPr>
          </w:p>
        </w:tc>
        <w:tc>
          <w:tcPr>
            <w:tcW w:w="3707" w:type="dxa"/>
            <w:vMerge w:val="continue"/>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44" w:hRule="atLeast"/>
        </w:trPr>
        <w:tc>
          <w:tcPr>
            <w:tcW w:w="336" w:type="dxa"/>
            <w:vMerge w:val="continue"/>
          </w:tcPr>
          <w:p>
            <w:pPr>
              <w:jc w:val="center"/>
              <w:rPr>
                <w:sz w:val="13"/>
                <w:szCs w:val="13"/>
              </w:rPr>
            </w:pPr>
          </w:p>
        </w:tc>
        <w:tc>
          <w:tcPr>
            <w:tcW w:w="531" w:type="dxa"/>
          </w:tcPr>
          <w:p>
            <w:pPr>
              <w:jc w:val="center"/>
              <w:rPr>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widowControl/>
              <w:jc w:val="center"/>
              <w:rPr>
                <w:sz w:val="13"/>
                <w:szCs w:val="13"/>
                <w:lang w:val="en-US"/>
              </w:rPr>
            </w:pPr>
            <w:r>
              <w:rPr>
                <w:rFonts w:ascii="Times New Roman"/>
                <w:sz w:val="13"/>
                <w:szCs w:val="13"/>
              </w:rPr>
              <w:t>CF0</w:t>
            </w:r>
            <w:r>
              <w:rPr>
                <w:rFonts w:hint="eastAsia" w:ascii="Times New Roman"/>
                <w:sz w:val="13"/>
                <w:szCs w:val="13"/>
                <w:lang w:val="en-US"/>
              </w:rPr>
              <w:t>31</w:t>
            </w:r>
          </w:p>
          <w:p>
            <w:pPr>
              <w:jc w:val="center"/>
              <w:rPr>
                <w:sz w:val="13"/>
                <w:szCs w:val="13"/>
              </w:rPr>
            </w:pPr>
          </w:p>
        </w:tc>
        <w:tc>
          <w:tcPr>
            <w:tcW w:w="643" w:type="dxa"/>
            <w:vMerge w:val="continue"/>
          </w:tcPr>
          <w:p>
            <w:pPr>
              <w:jc w:val="center"/>
              <w:rPr>
                <w:sz w:val="13"/>
                <w:szCs w:val="13"/>
              </w:rPr>
            </w:pPr>
          </w:p>
        </w:tc>
        <w:tc>
          <w:tcPr>
            <w:tcW w:w="994" w:type="dxa"/>
          </w:tcPr>
          <w:p>
            <w:pPr>
              <w:widowControl/>
              <w:rPr>
                <w:sz w:val="13"/>
                <w:szCs w:val="13"/>
              </w:rPr>
            </w:pPr>
            <w:r>
              <w:rPr>
                <w:color w:val="000000"/>
                <w:sz w:val="13"/>
                <w:szCs w:val="13"/>
                <w:lang w:val="en-US" w:bidi="ar"/>
              </w:rPr>
              <w:t xml:space="preserve">对超量储存、 </w:t>
            </w:r>
          </w:p>
          <w:p>
            <w:pPr>
              <w:widowControl/>
              <w:rPr>
                <w:sz w:val="13"/>
                <w:szCs w:val="13"/>
              </w:rPr>
            </w:pPr>
            <w:r>
              <w:rPr>
                <w:rFonts w:hint="eastAsia"/>
                <w:color w:val="000000"/>
                <w:sz w:val="13"/>
                <w:szCs w:val="13"/>
                <w:lang w:val="en-US" w:bidi="ar"/>
              </w:rPr>
              <w:t xml:space="preserve">在非专用仓库 </w:t>
            </w:r>
          </w:p>
          <w:p>
            <w:pPr>
              <w:widowControl/>
              <w:rPr>
                <w:sz w:val="13"/>
                <w:szCs w:val="13"/>
              </w:rPr>
            </w:pPr>
            <w:r>
              <w:rPr>
                <w:rFonts w:hint="eastAsia"/>
                <w:color w:val="000000"/>
                <w:sz w:val="13"/>
                <w:szCs w:val="13"/>
                <w:lang w:val="en-US" w:bidi="ar"/>
              </w:rPr>
              <w:t xml:space="preserve">储存或者违反 </w:t>
            </w:r>
          </w:p>
          <w:p>
            <w:pPr>
              <w:widowControl/>
              <w:rPr>
                <w:sz w:val="13"/>
                <w:szCs w:val="13"/>
              </w:rPr>
            </w:pPr>
            <w:r>
              <w:rPr>
                <w:rFonts w:hint="eastAsia"/>
                <w:color w:val="000000"/>
                <w:sz w:val="13"/>
                <w:szCs w:val="13"/>
                <w:lang w:val="en-US" w:bidi="ar"/>
              </w:rPr>
              <w:t xml:space="preserve">储存标准和规 </w:t>
            </w:r>
          </w:p>
          <w:p>
            <w:pPr>
              <w:widowControl/>
              <w:rPr>
                <w:sz w:val="13"/>
                <w:szCs w:val="13"/>
              </w:rPr>
            </w:pPr>
            <w:r>
              <w:rPr>
                <w:rFonts w:hint="eastAsia"/>
                <w:color w:val="000000"/>
                <w:sz w:val="13"/>
                <w:szCs w:val="13"/>
                <w:lang w:val="en-US" w:bidi="ar"/>
              </w:rPr>
              <w:t xml:space="preserve">范储存民用爆 </w:t>
            </w:r>
          </w:p>
          <w:p>
            <w:pPr>
              <w:widowControl/>
              <w:rPr>
                <w:sz w:val="13"/>
                <w:szCs w:val="13"/>
              </w:rPr>
            </w:pPr>
            <w:r>
              <w:rPr>
                <w:rFonts w:hint="eastAsia"/>
                <w:color w:val="000000"/>
                <w:sz w:val="13"/>
                <w:szCs w:val="13"/>
                <w:lang w:val="en-US" w:bidi="ar"/>
              </w:rPr>
              <w:t>炸物品的处罚</w:t>
            </w:r>
          </w:p>
          <w:p>
            <w:pPr>
              <w:jc w:val="center"/>
              <w:rPr>
                <w:sz w:val="13"/>
                <w:szCs w:val="13"/>
              </w:rPr>
            </w:pPr>
          </w:p>
        </w:tc>
        <w:tc>
          <w:tcPr>
            <w:tcW w:w="2507" w:type="dxa"/>
            <w:vMerge w:val="continue"/>
          </w:tcPr>
          <w:p>
            <w:pPr>
              <w:jc w:val="center"/>
            </w:pPr>
          </w:p>
        </w:tc>
        <w:tc>
          <w:tcPr>
            <w:tcW w:w="473" w:type="dxa"/>
            <w:vMerge w:val="continue"/>
          </w:tcPr>
          <w:p>
            <w:pPr>
              <w:jc w:val="center"/>
            </w:pPr>
          </w:p>
        </w:tc>
        <w:tc>
          <w:tcPr>
            <w:tcW w:w="761" w:type="dxa"/>
            <w:vMerge w:val="continue"/>
          </w:tcPr>
          <w:p>
            <w:pPr>
              <w:jc w:val="center"/>
            </w:pPr>
          </w:p>
        </w:tc>
        <w:tc>
          <w:tcPr>
            <w:tcW w:w="889" w:type="dxa"/>
            <w:vMerge w:val="continue"/>
          </w:tcPr>
          <w:p>
            <w:pPr>
              <w:jc w:val="center"/>
            </w:pPr>
          </w:p>
        </w:tc>
        <w:tc>
          <w:tcPr>
            <w:tcW w:w="450" w:type="dxa"/>
            <w:vMerge w:val="continue"/>
          </w:tcPr>
          <w:p>
            <w:pPr>
              <w:jc w:val="center"/>
            </w:pPr>
          </w:p>
        </w:tc>
        <w:tc>
          <w:tcPr>
            <w:tcW w:w="3640" w:type="dxa"/>
            <w:vMerge w:val="continue"/>
          </w:tcPr>
          <w:p>
            <w:pPr>
              <w:jc w:val="center"/>
            </w:pPr>
          </w:p>
        </w:tc>
        <w:tc>
          <w:tcPr>
            <w:tcW w:w="3707" w:type="dxa"/>
            <w:vMerge w:val="continue"/>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44" w:hRule="atLeast"/>
        </w:trPr>
        <w:tc>
          <w:tcPr>
            <w:tcW w:w="336" w:type="dxa"/>
            <w:vMerge w:val="continue"/>
          </w:tcPr>
          <w:p>
            <w:pPr>
              <w:jc w:val="center"/>
              <w:rPr>
                <w:sz w:val="13"/>
                <w:szCs w:val="13"/>
              </w:rPr>
            </w:pPr>
          </w:p>
        </w:tc>
        <w:tc>
          <w:tcPr>
            <w:tcW w:w="531" w:type="dxa"/>
          </w:tcPr>
          <w:p>
            <w:pPr>
              <w:jc w:val="center"/>
              <w:rPr>
                <w:sz w:val="13"/>
                <w:szCs w:val="13"/>
              </w:rPr>
            </w:pPr>
          </w:p>
          <w:p>
            <w:pPr>
              <w:pStyle w:val="9"/>
              <w:ind w:left="33"/>
              <w:rPr>
                <w:rFonts w:ascii="Times New Roman"/>
                <w:sz w:val="13"/>
                <w:szCs w:val="13"/>
              </w:rPr>
            </w:pPr>
            <w:r>
              <w:rPr>
                <w:rFonts w:ascii="Times New Roman"/>
                <w:w w:val="105"/>
                <w:sz w:val="13"/>
                <w:szCs w:val="13"/>
              </w:rPr>
              <w:t>65010</w:t>
            </w:r>
          </w:p>
          <w:p>
            <w:pPr>
              <w:pStyle w:val="9"/>
              <w:spacing w:before="26"/>
              <w:ind w:left="33"/>
              <w:rPr>
                <w:rFonts w:ascii="Times New Roman"/>
                <w:sz w:val="13"/>
                <w:szCs w:val="13"/>
              </w:rPr>
            </w:pPr>
            <w:r>
              <w:rPr>
                <w:rFonts w:hint="eastAsia" w:ascii="Times New Roman"/>
                <w:w w:val="105"/>
                <w:sz w:val="13"/>
                <w:szCs w:val="13"/>
                <w:lang w:val="en-US"/>
              </w:rPr>
              <w:t>9</w:t>
            </w:r>
            <w:r>
              <w:rPr>
                <w:rFonts w:ascii="Times New Roman"/>
                <w:w w:val="105"/>
                <w:sz w:val="13"/>
                <w:szCs w:val="13"/>
              </w:rPr>
              <w:t>201</w:t>
            </w:r>
          </w:p>
          <w:p>
            <w:pPr>
              <w:jc w:val="center"/>
              <w:rPr>
                <w:sz w:val="13"/>
                <w:szCs w:val="13"/>
                <w:lang w:val="en-US"/>
              </w:rPr>
            </w:pPr>
            <w:r>
              <w:rPr>
                <w:rFonts w:ascii="Times New Roman"/>
                <w:sz w:val="13"/>
                <w:szCs w:val="13"/>
              </w:rPr>
              <w:t>CF0</w:t>
            </w:r>
            <w:r>
              <w:rPr>
                <w:rFonts w:hint="eastAsia" w:ascii="Times New Roman"/>
                <w:sz w:val="13"/>
                <w:szCs w:val="13"/>
                <w:lang w:val="en-US"/>
              </w:rPr>
              <w:t>32</w:t>
            </w:r>
          </w:p>
        </w:tc>
        <w:tc>
          <w:tcPr>
            <w:tcW w:w="643" w:type="dxa"/>
            <w:vMerge w:val="continue"/>
          </w:tcPr>
          <w:p>
            <w:pPr>
              <w:jc w:val="center"/>
              <w:rPr>
                <w:sz w:val="13"/>
                <w:szCs w:val="13"/>
              </w:rPr>
            </w:pPr>
          </w:p>
        </w:tc>
        <w:tc>
          <w:tcPr>
            <w:tcW w:w="994" w:type="dxa"/>
          </w:tcPr>
          <w:p>
            <w:pPr>
              <w:widowControl/>
              <w:rPr>
                <w:sz w:val="13"/>
                <w:szCs w:val="13"/>
              </w:rPr>
            </w:pPr>
            <w:r>
              <w:rPr>
                <w:color w:val="000000"/>
                <w:sz w:val="13"/>
                <w:szCs w:val="13"/>
                <w:lang w:val="en-US" w:bidi="ar"/>
              </w:rPr>
              <w:t xml:space="preserve">对《民用爆炸 </w:t>
            </w:r>
          </w:p>
          <w:p>
            <w:pPr>
              <w:widowControl/>
              <w:rPr>
                <w:sz w:val="13"/>
                <w:szCs w:val="13"/>
              </w:rPr>
            </w:pPr>
            <w:r>
              <w:rPr>
                <w:rFonts w:hint="eastAsia"/>
                <w:color w:val="000000"/>
                <w:sz w:val="13"/>
                <w:szCs w:val="13"/>
                <w:lang w:val="en-US" w:bidi="ar"/>
              </w:rPr>
              <w:t xml:space="preserve">物品安全管理 </w:t>
            </w:r>
          </w:p>
          <w:p>
            <w:pPr>
              <w:widowControl/>
              <w:rPr>
                <w:sz w:val="13"/>
                <w:szCs w:val="13"/>
              </w:rPr>
            </w:pPr>
            <w:r>
              <w:rPr>
                <w:rFonts w:hint="eastAsia"/>
                <w:color w:val="000000"/>
                <w:sz w:val="13"/>
                <w:szCs w:val="13"/>
                <w:lang w:val="en-US" w:bidi="ar"/>
              </w:rPr>
              <w:t xml:space="preserve">条例》规定的 </w:t>
            </w:r>
          </w:p>
          <w:p>
            <w:pPr>
              <w:widowControl/>
              <w:rPr>
                <w:sz w:val="13"/>
                <w:szCs w:val="13"/>
              </w:rPr>
            </w:pPr>
            <w:r>
              <w:rPr>
                <w:rFonts w:hint="eastAsia"/>
                <w:color w:val="000000"/>
                <w:sz w:val="13"/>
                <w:szCs w:val="13"/>
                <w:lang w:val="en-US" w:bidi="ar"/>
              </w:rPr>
              <w:t xml:space="preserve">其他违反民用 </w:t>
            </w:r>
          </w:p>
          <w:p>
            <w:pPr>
              <w:widowControl/>
              <w:rPr>
                <w:sz w:val="13"/>
                <w:szCs w:val="13"/>
              </w:rPr>
            </w:pPr>
            <w:r>
              <w:rPr>
                <w:rFonts w:hint="eastAsia"/>
                <w:color w:val="000000"/>
                <w:sz w:val="13"/>
                <w:szCs w:val="13"/>
                <w:lang w:val="en-US" w:bidi="ar"/>
              </w:rPr>
              <w:t xml:space="preserve">爆炸物品储存 </w:t>
            </w:r>
          </w:p>
          <w:p>
            <w:pPr>
              <w:widowControl/>
              <w:rPr>
                <w:sz w:val="13"/>
                <w:szCs w:val="13"/>
              </w:rPr>
            </w:pPr>
            <w:r>
              <w:rPr>
                <w:rFonts w:hint="eastAsia"/>
                <w:color w:val="000000"/>
                <w:sz w:val="13"/>
                <w:szCs w:val="13"/>
                <w:lang w:val="en-US" w:bidi="ar"/>
              </w:rPr>
              <w:t xml:space="preserve">管理规定行为 </w:t>
            </w:r>
          </w:p>
          <w:p>
            <w:pPr>
              <w:widowControl/>
              <w:rPr>
                <w:sz w:val="13"/>
                <w:szCs w:val="13"/>
              </w:rPr>
            </w:pPr>
            <w:r>
              <w:rPr>
                <w:rFonts w:hint="eastAsia"/>
                <w:color w:val="000000"/>
                <w:sz w:val="13"/>
                <w:szCs w:val="13"/>
                <w:lang w:val="en-US" w:bidi="ar"/>
              </w:rPr>
              <w:t>的处罚</w:t>
            </w:r>
          </w:p>
          <w:p>
            <w:pPr>
              <w:jc w:val="center"/>
              <w:rPr>
                <w:sz w:val="13"/>
                <w:szCs w:val="13"/>
              </w:rPr>
            </w:pPr>
          </w:p>
        </w:tc>
        <w:tc>
          <w:tcPr>
            <w:tcW w:w="2507" w:type="dxa"/>
            <w:vMerge w:val="continue"/>
          </w:tcPr>
          <w:p>
            <w:pPr>
              <w:jc w:val="center"/>
            </w:pPr>
          </w:p>
        </w:tc>
        <w:tc>
          <w:tcPr>
            <w:tcW w:w="473" w:type="dxa"/>
            <w:vMerge w:val="continue"/>
          </w:tcPr>
          <w:p>
            <w:pPr>
              <w:jc w:val="center"/>
            </w:pPr>
          </w:p>
        </w:tc>
        <w:tc>
          <w:tcPr>
            <w:tcW w:w="761" w:type="dxa"/>
            <w:vMerge w:val="continue"/>
          </w:tcPr>
          <w:p>
            <w:pPr>
              <w:jc w:val="center"/>
            </w:pPr>
          </w:p>
        </w:tc>
        <w:tc>
          <w:tcPr>
            <w:tcW w:w="889" w:type="dxa"/>
            <w:vMerge w:val="continue"/>
          </w:tcPr>
          <w:p>
            <w:pPr>
              <w:jc w:val="center"/>
            </w:pPr>
          </w:p>
        </w:tc>
        <w:tc>
          <w:tcPr>
            <w:tcW w:w="450" w:type="dxa"/>
            <w:vMerge w:val="continue"/>
          </w:tcPr>
          <w:p>
            <w:pPr>
              <w:jc w:val="center"/>
            </w:pPr>
          </w:p>
        </w:tc>
        <w:tc>
          <w:tcPr>
            <w:tcW w:w="3640" w:type="dxa"/>
            <w:vMerge w:val="continue"/>
          </w:tcPr>
          <w:p>
            <w:pPr>
              <w:jc w:val="center"/>
            </w:pPr>
          </w:p>
        </w:tc>
        <w:tc>
          <w:tcPr>
            <w:tcW w:w="3707" w:type="dxa"/>
            <w:vMerge w:val="continue"/>
          </w:tcPr>
          <w:p>
            <w:pPr>
              <w:jc w:val="center"/>
            </w:pPr>
          </w:p>
        </w:tc>
      </w:tr>
    </w:tbl>
    <w:p/>
    <w:p>
      <w:pPr>
        <w:widowControl/>
        <w:jc w:val="both"/>
        <w:rPr>
          <w:rFonts w:ascii="Times New Roman"/>
          <w:b/>
          <w:bCs/>
          <w:sz w:val="21"/>
          <w:szCs w:val="40"/>
          <w:lang w:val="en-US"/>
        </w:rPr>
      </w:pPr>
    </w:p>
    <w:p>
      <w:pPr>
        <w:widowControl/>
        <w:jc w:val="center"/>
        <w:rPr>
          <w:rFonts w:ascii="黑体" w:hAnsi="黑体" w:eastAsia="黑体" w:cs="黑体"/>
          <w:sz w:val="32"/>
          <w:szCs w:val="32"/>
          <w:lang w:val="en-US"/>
        </w:rPr>
      </w:pPr>
    </w:p>
    <w:p>
      <w:pPr>
        <w:widowControl/>
        <w:jc w:val="center"/>
        <w:rPr>
          <w:rFonts w:ascii="黑体" w:hAnsi="黑体" w:eastAsia="黑体" w:cs="黑体"/>
          <w:sz w:val="32"/>
          <w:szCs w:val="32"/>
          <w:lang w:val="en-US"/>
        </w:rPr>
      </w:pPr>
    </w:p>
    <w:p>
      <w:pPr>
        <w:widowControl/>
        <w:jc w:val="center"/>
        <w:rPr>
          <w:rFonts w:ascii="黑体" w:hAnsi="黑体" w:eastAsia="黑体" w:cs="黑体"/>
          <w:sz w:val="32"/>
          <w:szCs w:val="32"/>
        </w:rPr>
      </w:pPr>
      <w:r>
        <w:rPr>
          <w:rFonts w:hint="eastAsia" w:ascii="黑体" w:hAnsi="黑体" w:eastAsia="黑体" w:cs="黑体"/>
          <w:sz w:val="32"/>
          <w:szCs w:val="32"/>
          <w:lang w:val="en-US"/>
        </w:rPr>
        <w:t>米东区发改委（工信局）行政权力清单和责任清单（其他行政权力类）</w:t>
      </w:r>
    </w:p>
    <w:p>
      <w:pPr>
        <w:widowControl/>
        <w:jc w:val="center"/>
      </w:pPr>
    </w:p>
    <w:tbl>
      <w:tblPr>
        <w:tblStyle w:val="5"/>
        <w:tblW w:w="14931"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582"/>
        <w:gridCol w:w="541"/>
        <w:gridCol w:w="3053"/>
        <w:gridCol w:w="444"/>
        <w:gridCol w:w="744"/>
        <w:gridCol w:w="876"/>
        <w:gridCol w:w="444"/>
        <w:gridCol w:w="3760"/>
        <w:gridCol w:w="370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440" w:hRule="atLeast"/>
        </w:trPr>
        <w:tc>
          <w:tcPr>
            <w:tcW w:w="336" w:type="dxa"/>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444" w:type="dxa"/>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123" w:type="dxa"/>
            <w:gridSpan w:val="2"/>
          </w:tcPr>
          <w:p>
            <w:pPr>
              <w:pStyle w:val="9"/>
              <w:spacing w:before="117"/>
              <w:jc w:val="both"/>
              <w:rPr>
                <w:rFonts w:ascii="黑体" w:eastAsia="黑体"/>
                <w:b/>
                <w:sz w:val="10"/>
                <w:szCs w:val="10"/>
              </w:rPr>
            </w:pPr>
          </w:p>
          <w:p>
            <w:pPr>
              <w:pStyle w:val="9"/>
              <w:spacing w:before="117"/>
              <w:ind w:firstLine="181" w:firstLineChars="100"/>
              <w:jc w:val="both"/>
              <w:rPr>
                <w:rFonts w:ascii="黑体" w:eastAsia="黑体"/>
                <w:b/>
                <w:sz w:val="18"/>
              </w:rPr>
            </w:pPr>
            <w:r>
              <w:rPr>
                <w:rFonts w:hint="eastAsia" w:ascii="黑体" w:eastAsia="黑体"/>
                <w:b/>
                <w:sz w:val="18"/>
              </w:rPr>
              <w:t>职权名称</w:t>
            </w:r>
          </w:p>
        </w:tc>
        <w:tc>
          <w:tcPr>
            <w:tcW w:w="3053" w:type="dxa"/>
          </w:tcPr>
          <w:p>
            <w:pPr>
              <w:pStyle w:val="9"/>
              <w:rPr>
                <w:rFonts w:ascii="Times New Roman"/>
                <w:sz w:val="18"/>
              </w:rPr>
            </w:pPr>
          </w:p>
          <w:p>
            <w:pPr>
              <w:pStyle w:val="9"/>
              <w:spacing w:before="140"/>
              <w:ind w:left="1150" w:right="1120"/>
              <w:jc w:val="center"/>
              <w:rPr>
                <w:rFonts w:ascii="黑体" w:eastAsia="黑体"/>
                <w:b/>
                <w:sz w:val="18"/>
              </w:rPr>
            </w:pPr>
            <w:r>
              <w:rPr>
                <w:rFonts w:hint="eastAsia" w:ascii="黑体" w:eastAsia="黑体"/>
                <w:b/>
                <w:sz w:val="18"/>
              </w:rPr>
              <w:t>实施依据</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44"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76" w:type="dxa"/>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760" w:type="dxa"/>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707" w:type="dxa"/>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311" w:hRule="atLeast"/>
        </w:trPr>
        <w:tc>
          <w:tcPr>
            <w:tcW w:w="336" w:type="dxa"/>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jc w:val="center"/>
              <w:rPr>
                <w:rFonts w:ascii="Times New Roman"/>
                <w:sz w:val="13"/>
                <w:szCs w:val="13"/>
                <w:lang w:val="en-US"/>
              </w:rPr>
            </w:pPr>
          </w:p>
          <w:p>
            <w:pPr>
              <w:pStyle w:val="9"/>
              <w:jc w:val="center"/>
              <w:rPr>
                <w:rFonts w:ascii="Times New Roman"/>
                <w:sz w:val="13"/>
                <w:szCs w:val="13"/>
              </w:rPr>
            </w:pPr>
          </w:p>
          <w:p>
            <w:pPr>
              <w:pStyle w:val="9"/>
              <w:spacing w:before="112"/>
              <w:ind w:left="28"/>
              <w:jc w:val="center"/>
              <w:rPr>
                <w:rFonts w:ascii="Times New Roman"/>
                <w:sz w:val="13"/>
                <w:szCs w:val="13"/>
                <w:lang w:val="en-US"/>
              </w:rPr>
            </w:pPr>
            <w:r>
              <w:rPr>
                <w:rFonts w:hint="eastAsia" w:ascii="Times New Roman"/>
                <w:sz w:val="13"/>
                <w:szCs w:val="13"/>
                <w:lang w:val="en-US"/>
              </w:rPr>
              <w:t>1</w:t>
            </w:r>
          </w:p>
        </w:tc>
        <w:tc>
          <w:tcPr>
            <w:tcW w:w="444" w:type="dxa"/>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rPr>
                <w:color w:val="000000"/>
                <w:sz w:val="13"/>
                <w:szCs w:val="13"/>
                <w:lang w:val="en-US" w:bidi="ar"/>
              </w:rPr>
            </w:pPr>
          </w:p>
          <w:p>
            <w:pPr>
              <w:jc w:val="center"/>
              <w:rPr>
                <w:sz w:val="13"/>
                <w:szCs w:val="13"/>
              </w:rPr>
            </w:pPr>
            <w:r>
              <w:rPr>
                <w:rFonts w:hint="eastAsia"/>
                <w:color w:val="000000"/>
                <w:sz w:val="13"/>
                <w:szCs w:val="13"/>
                <w:lang w:val="en-US" w:bidi="ar"/>
              </w:rPr>
              <w:t>650109201QT001</w:t>
            </w:r>
          </w:p>
        </w:tc>
        <w:tc>
          <w:tcPr>
            <w:tcW w:w="582" w:type="dxa"/>
          </w:tcPr>
          <w:p>
            <w:pPr>
              <w:pStyle w:val="9"/>
              <w:rPr>
                <w:rFonts w:ascii="Times New Roman"/>
                <w:sz w:val="13"/>
                <w:szCs w:val="13"/>
              </w:rPr>
            </w:pPr>
          </w:p>
          <w:p>
            <w:pPr>
              <w:pStyle w:val="9"/>
              <w:jc w:val="center"/>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pStyle w:val="9"/>
              <w:spacing w:line="192" w:lineRule="auto"/>
              <w:ind w:left="32" w:right="39"/>
              <w:jc w:val="both"/>
              <w:rPr>
                <w:color w:val="auto"/>
                <w:sz w:val="13"/>
                <w:szCs w:val="13"/>
              </w:rPr>
            </w:pPr>
            <w:r>
              <w:rPr>
                <w:rFonts w:hint="eastAsia"/>
                <w:color w:val="auto"/>
                <w:sz w:val="13"/>
                <w:szCs w:val="13"/>
              </w:rPr>
              <w:t>权限内</w:t>
            </w:r>
          </w:p>
          <w:p>
            <w:pPr>
              <w:pStyle w:val="9"/>
              <w:spacing w:line="192" w:lineRule="auto"/>
              <w:ind w:left="32" w:right="39"/>
              <w:jc w:val="both"/>
              <w:rPr>
                <w:color w:val="FF0000"/>
                <w:sz w:val="13"/>
                <w:szCs w:val="13"/>
              </w:rPr>
            </w:pPr>
            <w:r>
              <w:rPr>
                <w:rFonts w:hint="eastAsia"/>
                <w:color w:val="auto"/>
                <w:sz w:val="13"/>
                <w:szCs w:val="13"/>
              </w:rPr>
              <w:t>对企业技术改造项目的备案</w:t>
            </w:r>
          </w:p>
          <w:p>
            <w:pPr>
              <w:pStyle w:val="9"/>
              <w:spacing w:line="192" w:lineRule="auto"/>
              <w:ind w:left="32" w:right="39"/>
              <w:jc w:val="both"/>
              <w:rPr>
                <w:sz w:val="13"/>
                <w:szCs w:val="13"/>
              </w:rPr>
            </w:pPr>
          </w:p>
        </w:tc>
        <w:tc>
          <w:tcPr>
            <w:tcW w:w="541" w:type="dxa"/>
          </w:tcPr>
          <w:p>
            <w:pPr>
              <w:pStyle w:val="9"/>
              <w:rPr>
                <w:rFonts w:ascii="Times New Roman"/>
                <w:sz w:val="13"/>
                <w:szCs w:val="13"/>
              </w:rPr>
            </w:pPr>
          </w:p>
        </w:tc>
        <w:tc>
          <w:tcPr>
            <w:tcW w:w="3053" w:type="dxa"/>
          </w:tcPr>
          <w:p>
            <w:pPr>
              <w:pStyle w:val="9"/>
              <w:rPr>
                <w:rFonts w:ascii="Times New Roman"/>
                <w:sz w:val="13"/>
                <w:szCs w:val="13"/>
              </w:rPr>
            </w:pPr>
          </w:p>
          <w:p>
            <w:pPr>
              <w:pStyle w:val="9"/>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 xml:space="preserve">《国务院关于投资体制改革的决定》(国[2004]20号)（第二页）“对于企业不使用政府投资建设的项目，一律不再实行审批制，区别不同情况实行核准制和备案制。其中，政府仅对重大项目和限制类项目从维护社会公共利益角度进行核准，其他项目无论大小，均改为备案制”。 《新疆维吾尔自治区企业投资项目核准暂行办法》(第一章第二条)“自治区各级地方发展改革部门是企业投资项目(不含技术改造)的核准机关；自治区各级地方经贸部门是企业技术改造投资项目的核准机关”               </w:t>
            </w:r>
          </w:p>
          <w:p>
            <w:pPr>
              <w:widowControl/>
              <w:rPr>
                <w:color w:val="000000"/>
                <w:sz w:val="13"/>
                <w:szCs w:val="13"/>
                <w:lang w:val="en-US" w:bidi="ar"/>
              </w:rPr>
            </w:pPr>
            <w:r>
              <w:rPr>
                <w:color w:val="000000"/>
                <w:sz w:val="13"/>
                <w:szCs w:val="13"/>
                <w:lang w:val="en-US" w:bidi="ar"/>
              </w:rPr>
              <w:t xml:space="preserve">《国务院关于投资体制改革的决定》第二条 </w:t>
            </w:r>
          </w:p>
          <w:p>
            <w:pPr>
              <w:widowControl/>
              <w:rPr>
                <w:color w:val="000000"/>
                <w:sz w:val="13"/>
                <w:szCs w:val="13"/>
                <w:lang w:val="en-US" w:bidi="ar"/>
              </w:rPr>
            </w:pPr>
            <w:r>
              <w:rPr>
                <w:rFonts w:hint="eastAsia"/>
                <w:color w:val="000000"/>
                <w:sz w:val="13"/>
                <w:szCs w:val="13"/>
                <w:lang w:val="en-US" w:bidi="ar"/>
              </w:rPr>
              <w:t xml:space="preserve">转变政府管理职能，确立企业的投资主体地 </w:t>
            </w:r>
          </w:p>
          <w:p>
            <w:pPr>
              <w:widowControl/>
              <w:rPr>
                <w:color w:val="000000"/>
                <w:sz w:val="13"/>
                <w:szCs w:val="13"/>
                <w:lang w:val="en-US" w:bidi="ar"/>
              </w:rPr>
            </w:pPr>
            <w:r>
              <w:rPr>
                <w:rFonts w:hint="eastAsia"/>
                <w:color w:val="000000"/>
                <w:sz w:val="13"/>
                <w:szCs w:val="13"/>
                <w:lang w:val="en-US" w:bidi="ar"/>
              </w:rPr>
              <w:t xml:space="preserve">位 （一）改革项目审批制度，落实企业投资 </w:t>
            </w:r>
          </w:p>
          <w:p>
            <w:pPr>
              <w:widowControl/>
              <w:rPr>
                <w:color w:val="000000"/>
                <w:sz w:val="13"/>
                <w:szCs w:val="13"/>
                <w:lang w:val="en-US" w:bidi="ar"/>
              </w:rPr>
            </w:pPr>
            <w:r>
              <w:rPr>
                <w:rFonts w:hint="eastAsia"/>
                <w:color w:val="000000"/>
                <w:sz w:val="13"/>
                <w:szCs w:val="13"/>
                <w:lang w:val="en-US" w:bidi="ar"/>
              </w:rPr>
              <w:t xml:space="preserve">自主权。彻底改革现行不分投资主体、不分 </w:t>
            </w:r>
          </w:p>
          <w:p>
            <w:pPr>
              <w:widowControl/>
              <w:rPr>
                <w:color w:val="000000"/>
                <w:sz w:val="13"/>
                <w:szCs w:val="13"/>
                <w:lang w:val="en-US" w:bidi="ar"/>
              </w:rPr>
            </w:pPr>
            <w:r>
              <w:rPr>
                <w:rFonts w:hint="eastAsia"/>
                <w:color w:val="000000"/>
                <w:sz w:val="13"/>
                <w:szCs w:val="13"/>
                <w:lang w:val="en-US" w:bidi="ar"/>
              </w:rPr>
              <w:t xml:space="preserve">资金来源、不分项目性质，一律按投资规模 </w:t>
            </w:r>
          </w:p>
          <w:p>
            <w:pPr>
              <w:widowControl/>
              <w:rPr>
                <w:color w:val="000000"/>
                <w:sz w:val="13"/>
                <w:szCs w:val="13"/>
                <w:lang w:val="en-US" w:bidi="ar"/>
              </w:rPr>
            </w:pPr>
            <w:r>
              <w:rPr>
                <w:rFonts w:hint="eastAsia"/>
                <w:color w:val="000000"/>
                <w:sz w:val="13"/>
                <w:szCs w:val="13"/>
                <w:lang w:val="en-US" w:bidi="ar"/>
              </w:rPr>
              <w:t xml:space="preserve">大小分别由各级政府及有关部门审批的企业 </w:t>
            </w:r>
          </w:p>
          <w:p>
            <w:pPr>
              <w:widowControl/>
              <w:rPr>
                <w:color w:val="000000"/>
                <w:sz w:val="13"/>
                <w:szCs w:val="13"/>
                <w:lang w:val="en-US" w:bidi="ar"/>
              </w:rPr>
            </w:pPr>
            <w:r>
              <w:rPr>
                <w:rFonts w:hint="eastAsia"/>
                <w:color w:val="000000"/>
                <w:sz w:val="13"/>
                <w:szCs w:val="13"/>
                <w:lang w:val="en-US" w:bidi="ar"/>
              </w:rPr>
              <w:t xml:space="preserve">投资管理办法。对于企业不使用政府投资建 </w:t>
            </w:r>
          </w:p>
          <w:p>
            <w:pPr>
              <w:widowControl/>
              <w:rPr>
                <w:color w:val="000000"/>
                <w:sz w:val="13"/>
                <w:szCs w:val="13"/>
                <w:lang w:val="en-US" w:bidi="ar"/>
              </w:rPr>
            </w:pPr>
            <w:r>
              <w:rPr>
                <w:rFonts w:hint="eastAsia"/>
                <w:color w:val="000000"/>
                <w:sz w:val="13"/>
                <w:szCs w:val="13"/>
                <w:lang w:val="en-US" w:bidi="ar"/>
              </w:rPr>
              <w:t xml:space="preserve">设的项目，一律不再实行审批制，区别不同 </w:t>
            </w:r>
          </w:p>
          <w:p>
            <w:pPr>
              <w:widowControl/>
              <w:rPr>
                <w:color w:val="000000"/>
                <w:sz w:val="13"/>
                <w:szCs w:val="13"/>
                <w:lang w:val="en-US" w:bidi="ar"/>
              </w:rPr>
            </w:pPr>
            <w:r>
              <w:rPr>
                <w:rFonts w:hint="eastAsia"/>
                <w:color w:val="000000"/>
                <w:sz w:val="13"/>
                <w:szCs w:val="13"/>
                <w:lang w:val="en-US" w:bidi="ar"/>
              </w:rPr>
              <w:t xml:space="preserve">情况实行核准制和备案制。其中，政府仅对 </w:t>
            </w:r>
          </w:p>
          <w:p>
            <w:pPr>
              <w:widowControl/>
              <w:rPr>
                <w:color w:val="000000"/>
                <w:sz w:val="13"/>
                <w:szCs w:val="13"/>
                <w:lang w:val="en-US" w:bidi="ar"/>
              </w:rPr>
            </w:pPr>
            <w:r>
              <w:rPr>
                <w:rFonts w:hint="eastAsia"/>
                <w:color w:val="000000"/>
                <w:sz w:val="13"/>
                <w:szCs w:val="13"/>
                <w:lang w:val="en-US" w:bidi="ar"/>
              </w:rPr>
              <w:t xml:space="preserve">重大项目和限制类项目从维护社会公共利益 </w:t>
            </w:r>
          </w:p>
          <w:p>
            <w:pPr>
              <w:widowControl/>
              <w:rPr>
                <w:color w:val="000000"/>
                <w:sz w:val="13"/>
                <w:szCs w:val="13"/>
                <w:lang w:val="en-US" w:bidi="ar"/>
              </w:rPr>
            </w:pPr>
            <w:r>
              <w:rPr>
                <w:rFonts w:hint="eastAsia"/>
                <w:color w:val="000000"/>
                <w:sz w:val="13"/>
                <w:szCs w:val="13"/>
                <w:lang w:val="en-US" w:bidi="ar"/>
              </w:rPr>
              <w:t xml:space="preserve">角度进行核准，其他项目无论规模大小，均 </w:t>
            </w:r>
          </w:p>
          <w:p>
            <w:pPr>
              <w:widowControl/>
              <w:rPr>
                <w:color w:val="000000"/>
                <w:sz w:val="13"/>
                <w:szCs w:val="13"/>
                <w:lang w:val="en-US" w:bidi="ar"/>
              </w:rPr>
            </w:pPr>
            <w:r>
              <w:rPr>
                <w:rFonts w:hint="eastAsia"/>
                <w:color w:val="000000"/>
                <w:sz w:val="13"/>
                <w:szCs w:val="13"/>
                <w:lang w:val="en-US" w:bidi="ar"/>
              </w:rPr>
              <w:t>改为备案制。</w:t>
            </w:r>
          </w:p>
          <w:p>
            <w:pPr>
              <w:pStyle w:val="9"/>
              <w:spacing w:before="126" w:line="189" w:lineRule="auto"/>
              <w:ind w:left="33" w:right="62"/>
              <w:jc w:val="both"/>
              <w:rPr>
                <w:sz w:val="13"/>
                <w:szCs w:val="13"/>
              </w:rPr>
            </w:pPr>
          </w:p>
        </w:tc>
        <w:tc>
          <w:tcPr>
            <w:tcW w:w="4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企业</w:t>
            </w:r>
          </w:p>
          <w:p>
            <w:pPr>
              <w:widowControl/>
              <w:rPr>
                <w:sz w:val="13"/>
                <w:szCs w:val="13"/>
              </w:rPr>
            </w:pPr>
            <w:r>
              <w:rPr>
                <w:rFonts w:hint="eastAsia"/>
                <w:color w:val="000000"/>
                <w:sz w:val="13"/>
                <w:szCs w:val="13"/>
                <w:lang w:val="en-US" w:bidi="ar"/>
              </w:rPr>
              <w:t>、社</w:t>
            </w:r>
          </w:p>
          <w:p>
            <w:pPr>
              <w:widowControl/>
              <w:rPr>
                <w:sz w:val="13"/>
                <w:szCs w:val="13"/>
              </w:rPr>
            </w:pPr>
            <w:r>
              <w:rPr>
                <w:rFonts w:hint="eastAsia"/>
                <w:color w:val="000000"/>
                <w:sz w:val="13"/>
                <w:szCs w:val="13"/>
                <w:lang w:val="en-US" w:bidi="ar"/>
              </w:rPr>
              <w:t>会组</w:t>
            </w:r>
          </w:p>
          <w:p>
            <w:pPr>
              <w:widowControl/>
              <w:rPr>
                <w:sz w:val="13"/>
                <w:szCs w:val="13"/>
              </w:rPr>
            </w:pPr>
            <w:r>
              <w:rPr>
                <w:rFonts w:hint="eastAsia"/>
                <w:color w:val="000000"/>
                <w:sz w:val="13"/>
                <w:szCs w:val="13"/>
                <w:lang w:val="en-US" w:bidi="ar"/>
              </w:rPr>
              <w:t>织或</w:t>
            </w:r>
          </w:p>
          <w:p>
            <w:pPr>
              <w:widowControl/>
              <w:rPr>
                <w:sz w:val="13"/>
                <w:szCs w:val="13"/>
              </w:rPr>
            </w:pPr>
            <w:r>
              <w:rPr>
                <w:rFonts w:hint="eastAsia"/>
                <w:color w:val="000000"/>
                <w:sz w:val="13"/>
                <w:szCs w:val="13"/>
                <w:lang w:val="en-US" w:bidi="ar"/>
              </w:rPr>
              <w:t>公民</w:t>
            </w:r>
          </w:p>
          <w:p>
            <w:pPr>
              <w:pStyle w:val="9"/>
              <w:spacing w:line="192" w:lineRule="auto"/>
              <w:ind w:left="83" w:right="23"/>
              <w:rPr>
                <w:sz w:val="13"/>
                <w:szCs w:val="13"/>
              </w:rPr>
            </w:pPr>
          </w:p>
        </w:tc>
        <w:tc>
          <w:tcPr>
            <w:tcW w:w="7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1" w:line="206" w:lineRule="auto"/>
              <w:ind w:left="88" w:right="54"/>
              <w:jc w:val="center"/>
              <w:rPr>
                <w:rFonts w:hint="eastAsia" w:eastAsia="宋体"/>
                <w:color w:val="auto"/>
                <w:sz w:val="13"/>
                <w:szCs w:val="13"/>
                <w:lang w:val="en-US" w:eastAsia="zh-CN" w:bidi="ar"/>
              </w:rPr>
            </w:pPr>
            <w:r>
              <w:rPr>
                <w:rFonts w:hint="eastAsia" w:eastAsia="宋体"/>
                <w:color w:val="auto"/>
                <w:sz w:val="13"/>
                <w:szCs w:val="13"/>
                <w:lang w:val="en-US" w:eastAsia="zh-CN" w:bidi="ar"/>
              </w:rPr>
              <w:t>经济运行科</w:t>
            </w:r>
          </w:p>
          <w:p>
            <w:pPr>
              <w:pStyle w:val="9"/>
              <w:spacing w:before="1" w:line="206" w:lineRule="auto"/>
              <w:ind w:left="88" w:right="54"/>
              <w:jc w:val="center"/>
              <w:rPr>
                <w:rFonts w:hint="default" w:eastAsia="宋体"/>
                <w:color w:val="000000"/>
                <w:sz w:val="13"/>
                <w:szCs w:val="13"/>
                <w:lang w:val="en-US" w:eastAsia="zh-CN" w:bidi="ar"/>
              </w:rPr>
            </w:pPr>
            <w:r>
              <w:rPr>
                <w:rFonts w:hint="eastAsia" w:eastAsia="宋体"/>
                <w:color w:val="auto"/>
                <w:sz w:val="13"/>
                <w:szCs w:val="13"/>
                <w:lang w:val="en-US" w:eastAsia="zh-CN" w:bidi="ar"/>
              </w:rPr>
              <w:t>3319070</w:t>
            </w:r>
          </w:p>
        </w:tc>
        <w:tc>
          <w:tcPr>
            <w:tcW w:w="876"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9"/>
              <w:jc w:val="center"/>
              <w:rPr>
                <w:rFonts w:ascii="Times New Roman"/>
                <w:sz w:val="13"/>
                <w:szCs w:val="13"/>
              </w:rPr>
            </w:pPr>
          </w:p>
          <w:p>
            <w:pPr>
              <w:widowControl/>
              <w:jc w:val="center"/>
              <w:rPr>
                <w:sz w:val="13"/>
                <w:szCs w:val="13"/>
              </w:rPr>
            </w:pPr>
            <w:r>
              <w:rPr>
                <w:color w:val="000000"/>
                <w:sz w:val="13"/>
                <w:szCs w:val="13"/>
                <w:lang w:val="en-US" w:bidi="ar"/>
              </w:rPr>
              <w:t>无</w:t>
            </w:r>
          </w:p>
          <w:p>
            <w:pPr>
              <w:pStyle w:val="9"/>
              <w:ind w:left="30"/>
              <w:jc w:val="center"/>
              <w:rPr>
                <w:sz w:val="13"/>
                <w:szCs w:val="13"/>
              </w:rPr>
            </w:pPr>
          </w:p>
        </w:tc>
        <w:tc>
          <w:tcPr>
            <w:tcW w:w="4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米东区发改委（工信局）</w:t>
            </w:r>
          </w:p>
          <w:p>
            <w:pPr>
              <w:pStyle w:val="9"/>
              <w:spacing w:line="192" w:lineRule="auto"/>
              <w:ind w:left="81" w:right="24"/>
              <w:rPr>
                <w:sz w:val="13"/>
                <w:szCs w:val="13"/>
              </w:rPr>
            </w:pPr>
          </w:p>
        </w:tc>
        <w:tc>
          <w:tcPr>
            <w:tcW w:w="3760"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rFonts w:ascii="Times New Roman"/>
                <w:sz w:val="13"/>
                <w:szCs w:val="13"/>
              </w:rPr>
            </w:pPr>
          </w:p>
          <w:p>
            <w:pPr>
              <w:pStyle w:val="9"/>
              <w:rPr>
                <w:rFonts w:ascii="黑体" w:hAnsi="黑体" w:eastAsia="黑体" w:cs="黑体"/>
                <w:b/>
                <w:bCs/>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1.受理阶段责任：一次性告知补齐补正材料，依法受理或不受理 （不予受理应当告知理由）。</w:t>
            </w:r>
          </w:p>
          <w:p>
            <w:pPr>
              <w:widowControl/>
              <w:rPr>
                <w:color w:val="000000"/>
                <w:sz w:val="13"/>
                <w:szCs w:val="13"/>
                <w:lang w:val="en-US" w:bidi="ar"/>
              </w:rPr>
            </w:pPr>
            <w:r>
              <w:rPr>
                <w:rFonts w:hint="eastAsia"/>
                <w:color w:val="000000"/>
                <w:sz w:val="13"/>
                <w:szCs w:val="13"/>
                <w:lang w:val="en-US" w:bidi="ar"/>
              </w:rPr>
              <w:t>2.审查阶段责任：进行审查后，提出办理意见（审查备案申请、可行性研究报告）。</w:t>
            </w:r>
          </w:p>
          <w:p>
            <w:pPr>
              <w:widowControl/>
              <w:rPr>
                <w:color w:val="000000"/>
                <w:sz w:val="13"/>
                <w:szCs w:val="13"/>
                <w:lang w:val="en-US" w:bidi="ar"/>
              </w:rPr>
            </w:pPr>
            <w:r>
              <w:rPr>
                <w:rFonts w:hint="eastAsia"/>
                <w:color w:val="000000"/>
                <w:sz w:val="13"/>
                <w:szCs w:val="13"/>
                <w:lang w:val="en-US" w:bidi="ar"/>
              </w:rPr>
              <w:t xml:space="preserve">3.决定阶段责任：给予备案或者不予备案。（不予备案的应当告知理由）；按时办结；法定告知。 </w:t>
            </w:r>
          </w:p>
          <w:p>
            <w:pPr>
              <w:widowControl/>
              <w:rPr>
                <w:color w:val="000000"/>
                <w:sz w:val="13"/>
                <w:szCs w:val="13"/>
                <w:lang w:val="en-US" w:bidi="ar"/>
              </w:rPr>
            </w:pPr>
            <w:r>
              <w:rPr>
                <w:rFonts w:hint="eastAsia"/>
                <w:color w:val="000000"/>
                <w:sz w:val="13"/>
                <w:szCs w:val="13"/>
                <w:lang w:val="en-US" w:bidi="ar"/>
              </w:rPr>
              <w:t>4.送达阶段责任：制发文书，通知企业。</w:t>
            </w:r>
          </w:p>
          <w:p>
            <w:pPr>
              <w:widowControl/>
              <w:rPr>
                <w:sz w:val="13"/>
                <w:szCs w:val="13"/>
              </w:rPr>
            </w:pPr>
            <w:r>
              <w:rPr>
                <w:rFonts w:hint="eastAsia"/>
                <w:color w:val="000000"/>
                <w:sz w:val="13"/>
                <w:szCs w:val="13"/>
                <w:lang w:val="en-US" w:bidi="ar"/>
              </w:rPr>
              <w:t>5.其他法律法规政策规定应履行的责任。</w:t>
            </w:r>
          </w:p>
        </w:tc>
        <w:tc>
          <w:tcPr>
            <w:tcW w:w="3707"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因不履行或不正确履行行政职责，有下列情形的，行政机关及相关工作人员应承担相应责任：</w:t>
            </w:r>
          </w:p>
          <w:p>
            <w:pPr>
              <w:widowControl/>
              <w:rPr>
                <w:color w:val="000000"/>
                <w:sz w:val="13"/>
                <w:szCs w:val="13"/>
                <w:lang w:val="en-US" w:bidi="ar"/>
              </w:rPr>
            </w:pPr>
            <w:r>
              <w:rPr>
                <w:rFonts w:hint="eastAsia"/>
                <w:color w:val="000000"/>
                <w:sz w:val="13"/>
                <w:szCs w:val="13"/>
                <w:lang w:val="en-US" w:bidi="ar"/>
              </w:rPr>
              <w:t>1、为不符合规定的项目出具备案文件的；</w:t>
            </w:r>
          </w:p>
          <w:p>
            <w:pPr>
              <w:widowControl/>
              <w:rPr>
                <w:color w:val="000000"/>
                <w:sz w:val="13"/>
                <w:szCs w:val="13"/>
                <w:lang w:val="en-US" w:bidi="ar"/>
              </w:rPr>
            </w:pPr>
            <w:r>
              <w:rPr>
                <w:rFonts w:hint="eastAsia"/>
                <w:color w:val="000000"/>
                <w:sz w:val="13"/>
                <w:szCs w:val="13"/>
                <w:lang w:val="en-US" w:bidi="ar"/>
              </w:rPr>
              <w:t>2、未严格执行国家法律法规和本办法的有关规定，变相增减备案事项，拖延备案时限的；</w:t>
            </w:r>
          </w:p>
          <w:p>
            <w:pPr>
              <w:widowControl/>
              <w:rPr>
                <w:color w:val="000000"/>
                <w:sz w:val="13"/>
                <w:szCs w:val="13"/>
                <w:lang w:val="en-US" w:bidi="ar"/>
              </w:rPr>
            </w:pPr>
            <w:r>
              <w:rPr>
                <w:rFonts w:hint="eastAsia"/>
                <w:color w:val="000000"/>
                <w:sz w:val="13"/>
                <w:szCs w:val="13"/>
                <w:lang w:val="en-US" w:bidi="ar"/>
              </w:rPr>
              <w:t>3、受理、审查、办理过程中滥用职权、玩忽职守、徇私舞弊、索贿受贿的；</w:t>
            </w:r>
          </w:p>
          <w:p>
            <w:pPr>
              <w:widowControl/>
              <w:rPr>
                <w:sz w:val="13"/>
                <w:szCs w:val="13"/>
              </w:rPr>
            </w:pPr>
            <w:r>
              <w:rPr>
                <w:rFonts w:hint="eastAsia"/>
                <w:color w:val="000000"/>
                <w:sz w:val="13"/>
                <w:szCs w:val="13"/>
                <w:lang w:val="en-US" w:bidi="ar"/>
              </w:rPr>
              <w:t>4、其他违反法律法规政策规定的行为。</w:t>
            </w:r>
          </w:p>
        </w:tc>
      </w:tr>
    </w:tbl>
    <w:p/>
    <w:p/>
    <w:p/>
    <w:p/>
    <w:p>
      <w:pPr>
        <w:tabs>
          <w:tab w:val="left" w:pos="1382"/>
        </w:tabs>
      </w:pPr>
      <w:r>
        <w:rPr>
          <w:rFonts w:hint="eastAsia"/>
        </w:rPr>
        <w:tab/>
      </w:r>
    </w:p>
    <w:tbl>
      <w:tblPr>
        <w:tblStyle w:val="5"/>
        <w:tblW w:w="14931"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582"/>
        <w:gridCol w:w="541"/>
        <w:gridCol w:w="3053"/>
        <w:gridCol w:w="444"/>
        <w:gridCol w:w="744"/>
        <w:gridCol w:w="876"/>
        <w:gridCol w:w="444"/>
        <w:gridCol w:w="3760"/>
        <w:gridCol w:w="370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444" w:type="dxa"/>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123" w:type="dxa"/>
            <w:gridSpan w:val="2"/>
          </w:tcPr>
          <w:p>
            <w:pPr>
              <w:pStyle w:val="9"/>
              <w:spacing w:before="117"/>
              <w:rPr>
                <w:rFonts w:ascii="黑体" w:eastAsia="黑体"/>
                <w:b/>
                <w:sz w:val="10"/>
                <w:szCs w:val="10"/>
              </w:rPr>
            </w:pPr>
          </w:p>
          <w:p>
            <w:pPr>
              <w:pStyle w:val="9"/>
              <w:spacing w:before="117"/>
              <w:ind w:firstLine="181" w:firstLineChars="100"/>
              <w:rPr>
                <w:rFonts w:ascii="黑体" w:eastAsia="黑体"/>
                <w:b/>
                <w:sz w:val="18"/>
              </w:rPr>
            </w:pPr>
            <w:r>
              <w:rPr>
                <w:rFonts w:hint="eastAsia" w:ascii="黑体" w:eastAsia="黑体"/>
                <w:b/>
                <w:sz w:val="18"/>
              </w:rPr>
              <w:t>职权名称</w:t>
            </w:r>
          </w:p>
        </w:tc>
        <w:tc>
          <w:tcPr>
            <w:tcW w:w="3053" w:type="dxa"/>
          </w:tcPr>
          <w:p>
            <w:pPr>
              <w:pStyle w:val="9"/>
              <w:rPr>
                <w:rFonts w:ascii="Times New Roman"/>
                <w:sz w:val="18"/>
              </w:rPr>
            </w:pPr>
          </w:p>
          <w:p>
            <w:pPr>
              <w:pStyle w:val="9"/>
              <w:spacing w:before="140"/>
              <w:ind w:left="1150" w:right="1120"/>
              <w:jc w:val="center"/>
              <w:rPr>
                <w:rFonts w:ascii="黑体" w:eastAsia="黑体"/>
                <w:b/>
                <w:sz w:val="18"/>
              </w:rPr>
            </w:pPr>
            <w:r>
              <w:rPr>
                <w:rFonts w:hint="eastAsia" w:ascii="黑体" w:eastAsia="黑体"/>
                <w:b/>
                <w:sz w:val="18"/>
              </w:rPr>
              <w:t>实施依据</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44"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76" w:type="dxa"/>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760" w:type="dxa"/>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707" w:type="dxa"/>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311" w:hRule="atLeast"/>
        </w:trPr>
        <w:tc>
          <w:tcPr>
            <w:tcW w:w="336" w:type="dxa"/>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jc w:val="center"/>
              <w:rPr>
                <w:rFonts w:ascii="Times New Roman"/>
                <w:sz w:val="13"/>
                <w:szCs w:val="13"/>
                <w:lang w:val="en-US"/>
              </w:rPr>
            </w:pPr>
          </w:p>
          <w:p>
            <w:pPr>
              <w:pStyle w:val="9"/>
              <w:jc w:val="center"/>
              <w:rPr>
                <w:rFonts w:ascii="Times New Roman"/>
                <w:sz w:val="13"/>
                <w:szCs w:val="13"/>
              </w:rPr>
            </w:pPr>
          </w:p>
          <w:p>
            <w:pPr>
              <w:pStyle w:val="9"/>
              <w:spacing w:before="112"/>
              <w:ind w:left="28"/>
              <w:jc w:val="center"/>
              <w:rPr>
                <w:rFonts w:ascii="Times New Roman"/>
                <w:sz w:val="13"/>
                <w:szCs w:val="13"/>
                <w:lang w:val="en-US"/>
              </w:rPr>
            </w:pPr>
            <w:r>
              <w:rPr>
                <w:rFonts w:hint="eastAsia" w:ascii="Times New Roman"/>
                <w:sz w:val="13"/>
                <w:szCs w:val="13"/>
                <w:lang w:val="en-US"/>
              </w:rPr>
              <w:t>2</w:t>
            </w:r>
          </w:p>
        </w:tc>
        <w:tc>
          <w:tcPr>
            <w:tcW w:w="444" w:type="dxa"/>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rPr>
                <w:sz w:val="13"/>
                <w:szCs w:val="13"/>
              </w:rPr>
            </w:pPr>
            <w:r>
              <w:rPr>
                <w:rFonts w:ascii="TimesNewRomanPSMT" w:hAnsi="TimesNewRomanPSMT" w:eastAsia="TimesNewRomanPSMT" w:cs="TimesNewRomanPSMT"/>
                <w:color w:val="000000"/>
                <w:sz w:val="13"/>
                <w:szCs w:val="13"/>
                <w:lang w:val="en-US" w:bidi="ar"/>
              </w:rPr>
              <w:t xml:space="preserve">65010 </w:t>
            </w:r>
          </w:p>
          <w:p>
            <w:pPr>
              <w:widowControl/>
              <w:rPr>
                <w:sz w:val="13"/>
                <w:szCs w:val="13"/>
              </w:rPr>
            </w:pPr>
            <w:r>
              <w:rPr>
                <w:rFonts w:ascii="TimesNewRomanPSMT" w:hAnsi="TimesNewRomanPSMT" w:eastAsia="TimesNewRomanPSMT" w:cs="TimesNewRomanPSMT"/>
                <w:color w:val="000000"/>
                <w:sz w:val="13"/>
                <w:szCs w:val="13"/>
                <w:lang w:val="en-US" w:bidi="ar"/>
              </w:rPr>
              <w:t xml:space="preserve">0201Q </w:t>
            </w:r>
          </w:p>
          <w:p>
            <w:pPr>
              <w:widowControl/>
              <w:rPr>
                <w:sz w:val="13"/>
                <w:szCs w:val="13"/>
                <w:lang w:val="en-US"/>
              </w:rPr>
            </w:pPr>
            <w:r>
              <w:rPr>
                <w:rFonts w:ascii="TimesNewRomanPSMT" w:hAnsi="TimesNewRomanPSMT" w:eastAsia="TimesNewRomanPSMT" w:cs="TimesNewRomanPSMT"/>
                <w:color w:val="000000"/>
                <w:sz w:val="13"/>
                <w:szCs w:val="13"/>
                <w:lang w:val="en-US" w:bidi="ar"/>
              </w:rPr>
              <w:t>T00</w:t>
            </w:r>
            <w:r>
              <w:rPr>
                <w:rFonts w:hint="eastAsia" w:ascii="TimesNewRomanPSMT" w:hAnsi="TimesNewRomanPSMT" w:eastAsia="TimesNewRomanPSMT" w:cs="TimesNewRomanPSMT"/>
                <w:color w:val="000000"/>
                <w:sz w:val="13"/>
                <w:szCs w:val="13"/>
                <w:lang w:val="en-US" w:bidi="ar"/>
              </w:rPr>
              <w:t>2</w:t>
            </w:r>
          </w:p>
          <w:p>
            <w:pPr>
              <w:widowControl/>
              <w:rPr>
                <w:sz w:val="13"/>
                <w:szCs w:val="13"/>
              </w:rPr>
            </w:pPr>
          </w:p>
          <w:p>
            <w:pPr>
              <w:jc w:val="center"/>
              <w:rPr>
                <w:sz w:val="13"/>
                <w:szCs w:val="13"/>
              </w:rPr>
            </w:pPr>
          </w:p>
        </w:tc>
        <w:tc>
          <w:tcPr>
            <w:tcW w:w="582" w:type="dxa"/>
          </w:tcPr>
          <w:p>
            <w:pPr>
              <w:pStyle w:val="9"/>
              <w:rPr>
                <w:rFonts w:ascii="Times New Roman"/>
                <w:sz w:val="13"/>
                <w:szCs w:val="13"/>
              </w:rPr>
            </w:pPr>
          </w:p>
          <w:p>
            <w:pPr>
              <w:pStyle w:val="9"/>
              <w:jc w:val="center"/>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权限内</w:t>
            </w:r>
          </w:p>
          <w:p>
            <w:pPr>
              <w:pStyle w:val="9"/>
              <w:spacing w:line="192" w:lineRule="auto"/>
              <w:ind w:left="32" w:right="39"/>
              <w:jc w:val="both"/>
              <w:rPr>
                <w:sz w:val="13"/>
                <w:szCs w:val="13"/>
              </w:rPr>
            </w:pPr>
            <w:r>
              <w:rPr>
                <w:rFonts w:hint="eastAsia"/>
                <w:color w:val="000000"/>
                <w:sz w:val="13"/>
                <w:szCs w:val="13"/>
                <w:lang w:val="en-US" w:bidi="ar"/>
              </w:rPr>
              <w:t>企业固定资产投资项目备案</w:t>
            </w:r>
          </w:p>
          <w:p>
            <w:pPr>
              <w:pStyle w:val="9"/>
              <w:spacing w:line="192" w:lineRule="auto"/>
              <w:ind w:left="32" w:right="39"/>
              <w:jc w:val="both"/>
              <w:rPr>
                <w:sz w:val="13"/>
                <w:szCs w:val="13"/>
              </w:rPr>
            </w:pPr>
          </w:p>
        </w:tc>
        <w:tc>
          <w:tcPr>
            <w:tcW w:w="541" w:type="dxa"/>
          </w:tcPr>
          <w:p>
            <w:pPr>
              <w:pStyle w:val="9"/>
              <w:rPr>
                <w:rFonts w:ascii="Times New Roman"/>
                <w:sz w:val="13"/>
                <w:szCs w:val="13"/>
              </w:rPr>
            </w:pPr>
          </w:p>
        </w:tc>
        <w:tc>
          <w:tcPr>
            <w:tcW w:w="3053"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126" w:line="189" w:lineRule="auto"/>
              <w:ind w:left="33" w:right="62"/>
              <w:jc w:val="both"/>
              <w:rPr>
                <w:sz w:val="13"/>
                <w:szCs w:val="13"/>
              </w:rPr>
            </w:pPr>
            <w:r>
              <w:rPr>
                <w:rFonts w:hint="eastAsia"/>
                <w:color w:val="000000"/>
                <w:sz w:val="13"/>
                <w:szCs w:val="13"/>
                <w:lang w:val="en-US" w:bidi="ar"/>
              </w:rPr>
              <w:t>《国务院关于投资体制改革的决定》（国发[2004]20号）(二、转变政府管理职能，确立企业的投资主体地位（一）改革项目审批制度，落实企业投资自主权。彻底改革现行不分投资主体、不分投资来源、不分项目性质，一律按投资规模大小分别由各级政府及有关部门审批的企业投资管理办法。对于企业不使用政府投资建设的项目，一律不再实行审批制，区别不同其概况实行核准制和备案制。其中，政府仅对重大项目和限制类项目从维护社会公共利益角度进行核准，其他项目无论规模大小，均改为备案制。</w:t>
            </w:r>
          </w:p>
        </w:tc>
        <w:tc>
          <w:tcPr>
            <w:tcW w:w="4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企业</w:t>
            </w:r>
          </w:p>
          <w:p>
            <w:pPr>
              <w:widowControl/>
              <w:rPr>
                <w:sz w:val="13"/>
                <w:szCs w:val="13"/>
              </w:rPr>
            </w:pPr>
            <w:r>
              <w:rPr>
                <w:rFonts w:hint="eastAsia"/>
                <w:color w:val="000000"/>
                <w:sz w:val="13"/>
                <w:szCs w:val="13"/>
                <w:lang w:val="en-US" w:bidi="ar"/>
              </w:rPr>
              <w:t>、社</w:t>
            </w:r>
          </w:p>
          <w:p>
            <w:pPr>
              <w:widowControl/>
              <w:rPr>
                <w:sz w:val="13"/>
                <w:szCs w:val="13"/>
              </w:rPr>
            </w:pPr>
            <w:r>
              <w:rPr>
                <w:rFonts w:hint="eastAsia"/>
                <w:color w:val="000000"/>
                <w:sz w:val="13"/>
                <w:szCs w:val="13"/>
                <w:lang w:val="en-US" w:bidi="ar"/>
              </w:rPr>
              <w:t>会组</w:t>
            </w:r>
          </w:p>
          <w:p>
            <w:pPr>
              <w:widowControl/>
              <w:rPr>
                <w:sz w:val="13"/>
                <w:szCs w:val="13"/>
              </w:rPr>
            </w:pPr>
            <w:r>
              <w:rPr>
                <w:rFonts w:hint="eastAsia"/>
                <w:color w:val="000000"/>
                <w:sz w:val="13"/>
                <w:szCs w:val="13"/>
                <w:lang w:val="en-US" w:bidi="ar"/>
              </w:rPr>
              <w:t>织或</w:t>
            </w:r>
          </w:p>
          <w:p>
            <w:pPr>
              <w:widowControl/>
              <w:rPr>
                <w:sz w:val="13"/>
                <w:szCs w:val="13"/>
              </w:rPr>
            </w:pPr>
            <w:r>
              <w:rPr>
                <w:rFonts w:hint="eastAsia"/>
                <w:color w:val="000000"/>
                <w:sz w:val="13"/>
                <w:szCs w:val="13"/>
                <w:lang w:val="en-US" w:bidi="ar"/>
              </w:rPr>
              <w:t>公民</w:t>
            </w:r>
          </w:p>
          <w:p>
            <w:pPr>
              <w:pStyle w:val="9"/>
              <w:spacing w:line="192" w:lineRule="auto"/>
              <w:ind w:left="83" w:right="23"/>
              <w:rPr>
                <w:sz w:val="13"/>
                <w:szCs w:val="13"/>
              </w:rPr>
            </w:pPr>
          </w:p>
        </w:tc>
        <w:tc>
          <w:tcPr>
            <w:tcW w:w="7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jc w:val="center"/>
              <w:rPr>
                <w:sz w:val="13"/>
                <w:szCs w:val="13"/>
              </w:rPr>
            </w:pPr>
            <w:r>
              <w:rPr>
                <w:color w:val="000000"/>
                <w:sz w:val="13"/>
                <w:szCs w:val="13"/>
                <w:lang w:val="en-US" w:bidi="ar"/>
              </w:rPr>
              <w:t>固定资产</w:t>
            </w:r>
          </w:p>
          <w:p>
            <w:pPr>
              <w:widowControl/>
              <w:jc w:val="center"/>
              <w:rPr>
                <w:sz w:val="13"/>
                <w:szCs w:val="13"/>
              </w:rPr>
            </w:pPr>
            <w:r>
              <w:rPr>
                <w:rFonts w:hint="eastAsia"/>
                <w:color w:val="000000"/>
                <w:sz w:val="13"/>
                <w:szCs w:val="13"/>
                <w:lang w:val="en-US" w:bidi="ar"/>
              </w:rPr>
              <w:t>投资科</w:t>
            </w:r>
          </w:p>
          <w:p>
            <w:pPr>
              <w:pStyle w:val="9"/>
              <w:spacing w:before="1" w:line="206" w:lineRule="auto"/>
              <w:ind w:left="88" w:right="54"/>
              <w:jc w:val="center"/>
              <w:rPr>
                <w:rFonts w:ascii="Times New Roman" w:eastAsia="Times New Roman"/>
                <w:sz w:val="13"/>
                <w:szCs w:val="13"/>
                <w:lang w:val="en-US"/>
              </w:rPr>
            </w:pPr>
            <w:r>
              <w:rPr>
                <w:rFonts w:hint="eastAsia" w:ascii="TimesNewRomanPSMT" w:hAnsi="TimesNewRomanPSMT" w:eastAsia="TimesNewRomanPSMT" w:cs="TimesNewRomanPSMT"/>
                <w:color w:val="000000"/>
                <w:sz w:val="13"/>
                <w:szCs w:val="13"/>
                <w:lang w:val="en-US" w:bidi="ar"/>
              </w:rPr>
              <w:t>3101308</w:t>
            </w:r>
          </w:p>
        </w:tc>
        <w:tc>
          <w:tcPr>
            <w:tcW w:w="876"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9"/>
              <w:jc w:val="center"/>
              <w:rPr>
                <w:rFonts w:ascii="Times New Roman"/>
                <w:sz w:val="13"/>
                <w:szCs w:val="13"/>
              </w:rPr>
            </w:pPr>
          </w:p>
          <w:p>
            <w:pPr>
              <w:widowControl/>
              <w:jc w:val="center"/>
              <w:rPr>
                <w:sz w:val="13"/>
                <w:szCs w:val="13"/>
              </w:rPr>
            </w:pPr>
            <w:r>
              <w:rPr>
                <w:color w:val="000000"/>
                <w:sz w:val="13"/>
                <w:szCs w:val="13"/>
                <w:lang w:val="en-US" w:bidi="ar"/>
              </w:rPr>
              <w:t>无</w:t>
            </w:r>
          </w:p>
          <w:p>
            <w:pPr>
              <w:pStyle w:val="9"/>
              <w:ind w:left="30"/>
              <w:jc w:val="center"/>
              <w:rPr>
                <w:sz w:val="13"/>
                <w:szCs w:val="13"/>
              </w:rPr>
            </w:pPr>
          </w:p>
        </w:tc>
        <w:tc>
          <w:tcPr>
            <w:tcW w:w="4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米东区发改委（工信局）</w:t>
            </w:r>
          </w:p>
          <w:p>
            <w:pPr>
              <w:pStyle w:val="9"/>
              <w:spacing w:line="192" w:lineRule="auto"/>
              <w:ind w:left="81" w:right="24"/>
              <w:rPr>
                <w:sz w:val="13"/>
                <w:szCs w:val="13"/>
              </w:rPr>
            </w:pPr>
          </w:p>
        </w:tc>
        <w:tc>
          <w:tcPr>
            <w:tcW w:w="3760"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rFonts w:ascii="Times New Roman"/>
                <w:sz w:val="13"/>
                <w:szCs w:val="13"/>
              </w:rPr>
            </w:pPr>
          </w:p>
          <w:p>
            <w:pPr>
              <w:pStyle w:val="9"/>
              <w:rPr>
                <w:rFonts w:ascii="黑体" w:hAnsi="黑体" w:eastAsia="黑体" w:cs="黑体"/>
                <w:b/>
                <w:bCs/>
                <w:sz w:val="13"/>
                <w:szCs w:val="13"/>
              </w:rPr>
            </w:pPr>
          </w:p>
          <w:p>
            <w:pPr>
              <w:widowControl/>
              <w:rPr>
                <w:rFonts w:ascii="TimesNewRomanPSMT" w:hAnsi="TimesNewRomanPSMT" w:eastAsia="TimesNewRomanPSMT" w:cs="TimesNewRomanPSMT"/>
                <w:color w:val="000000"/>
                <w:sz w:val="13"/>
                <w:szCs w:val="13"/>
                <w:lang w:val="en-US" w:bidi="ar"/>
              </w:rPr>
            </w:pPr>
          </w:p>
          <w:p>
            <w:pPr>
              <w:widowControl/>
              <w:rPr>
                <w:rFonts w:ascii="TimesNewRomanPSMT" w:hAnsi="TimesNewRomanPSMT" w:eastAsia="TimesNewRomanPSMT" w:cs="TimesNewRomanPSMT"/>
                <w:color w:val="000000"/>
                <w:sz w:val="13"/>
                <w:szCs w:val="13"/>
                <w:lang w:val="en-US" w:bidi="ar"/>
              </w:rPr>
            </w:pPr>
          </w:p>
          <w:p>
            <w:pPr>
              <w:widowControl/>
              <w:ind w:firstLine="130" w:firstLineChars="100"/>
              <w:rPr>
                <w:rFonts w:ascii="TimesNewRomanPSMT" w:hAnsi="TimesNewRomanPSMT" w:eastAsia="TimesNewRomanPSMT" w:cs="TimesNewRomanPSMT"/>
                <w:color w:val="000000"/>
                <w:sz w:val="13"/>
                <w:szCs w:val="13"/>
                <w:lang w:val="en-US" w:bidi="ar"/>
              </w:rPr>
            </w:pPr>
          </w:p>
          <w:p>
            <w:pPr>
              <w:widowControl/>
              <w:ind w:firstLine="130" w:firstLineChars="100"/>
              <w:rPr>
                <w:rFonts w:ascii="TimesNewRomanPSMT" w:hAnsi="TimesNewRomanPSMT" w:eastAsia="TimesNewRomanPSMT" w:cs="TimesNewRomanPSMT"/>
                <w:color w:val="000000"/>
                <w:sz w:val="13"/>
                <w:szCs w:val="13"/>
                <w:lang w:val="en-US" w:bidi="ar"/>
              </w:rPr>
            </w:pPr>
          </w:p>
          <w:p>
            <w:pPr>
              <w:widowControl/>
              <w:ind w:firstLine="130" w:firstLineChars="100"/>
              <w:rPr>
                <w:rFonts w:ascii="TimesNewRomanPSMT" w:hAnsi="TimesNewRomanPSMT" w:eastAsia="TimesNewRomanPSMT" w:cs="TimesNewRomanPSMT"/>
                <w:color w:val="000000"/>
                <w:sz w:val="13"/>
                <w:szCs w:val="13"/>
                <w:lang w:val="en-US" w:bidi="ar"/>
              </w:rPr>
            </w:pPr>
          </w:p>
          <w:p>
            <w:pPr>
              <w:pStyle w:val="9"/>
              <w:tabs>
                <w:tab w:val="left" w:pos="219"/>
              </w:tabs>
              <w:spacing w:line="202" w:lineRule="exact"/>
              <w:rPr>
                <w:color w:val="000000"/>
                <w:sz w:val="13"/>
                <w:szCs w:val="13"/>
                <w:lang w:val="en-US" w:bidi="ar"/>
              </w:rPr>
            </w:pPr>
          </w:p>
          <w:p>
            <w:pPr>
              <w:pStyle w:val="9"/>
              <w:tabs>
                <w:tab w:val="left" w:pos="219"/>
              </w:tabs>
              <w:spacing w:line="202" w:lineRule="exact"/>
              <w:rPr>
                <w:color w:val="000000"/>
                <w:sz w:val="13"/>
                <w:szCs w:val="13"/>
                <w:lang w:val="en-US" w:bidi="ar"/>
              </w:rPr>
            </w:pPr>
          </w:p>
          <w:p>
            <w:pPr>
              <w:pStyle w:val="9"/>
              <w:tabs>
                <w:tab w:val="left" w:pos="219"/>
              </w:tabs>
              <w:spacing w:line="202" w:lineRule="exact"/>
              <w:rPr>
                <w:color w:val="000000"/>
                <w:sz w:val="13"/>
                <w:szCs w:val="13"/>
                <w:lang w:val="en-US" w:bidi="ar"/>
              </w:rPr>
            </w:pPr>
            <w:r>
              <w:rPr>
                <w:rFonts w:hint="eastAsia"/>
                <w:color w:val="000000"/>
                <w:sz w:val="13"/>
                <w:szCs w:val="13"/>
                <w:lang w:val="en-US" w:bidi="ar"/>
              </w:rPr>
              <w:t>1.受理责任：公示依法应当提交的材料；一次性告知补正材料；依法受理或不予受理（不予受理应当告知理由）。</w:t>
            </w:r>
          </w:p>
          <w:p>
            <w:pPr>
              <w:pStyle w:val="9"/>
              <w:tabs>
                <w:tab w:val="left" w:pos="219"/>
              </w:tabs>
              <w:spacing w:line="202" w:lineRule="exact"/>
              <w:rPr>
                <w:color w:val="000000"/>
                <w:sz w:val="13"/>
                <w:szCs w:val="13"/>
                <w:lang w:val="en-US" w:bidi="ar"/>
              </w:rPr>
            </w:pPr>
            <w:r>
              <w:rPr>
                <w:rFonts w:hint="eastAsia"/>
                <w:color w:val="000000"/>
                <w:sz w:val="13"/>
                <w:szCs w:val="13"/>
                <w:lang w:val="en-US" w:bidi="ar"/>
              </w:rPr>
              <w:t>2.审查责任：对申请人提交的申请材料进行审查，提出审查意见。</w:t>
            </w:r>
          </w:p>
          <w:p>
            <w:pPr>
              <w:pStyle w:val="9"/>
              <w:tabs>
                <w:tab w:val="left" w:pos="219"/>
              </w:tabs>
              <w:spacing w:line="202" w:lineRule="exact"/>
              <w:rPr>
                <w:color w:val="000000"/>
                <w:sz w:val="13"/>
                <w:szCs w:val="13"/>
                <w:lang w:val="en-US" w:bidi="ar"/>
              </w:rPr>
            </w:pPr>
            <w:r>
              <w:rPr>
                <w:rFonts w:hint="eastAsia"/>
                <w:color w:val="000000"/>
                <w:sz w:val="13"/>
                <w:szCs w:val="13"/>
                <w:lang w:val="en-US" w:bidi="ar"/>
              </w:rPr>
              <w:t>3.决定责任：根据审查意见，在规定期限内作出准予备案或不予备案的决定。</w:t>
            </w:r>
          </w:p>
          <w:p>
            <w:pPr>
              <w:pStyle w:val="9"/>
              <w:tabs>
                <w:tab w:val="left" w:pos="219"/>
              </w:tabs>
              <w:spacing w:line="202" w:lineRule="exact"/>
              <w:rPr>
                <w:color w:val="000000"/>
                <w:sz w:val="13"/>
                <w:szCs w:val="13"/>
                <w:lang w:val="en-US" w:bidi="ar"/>
              </w:rPr>
            </w:pPr>
            <w:r>
              <w:rPr>
                <w:rFonts w:hint="eastAsia"/>
                <w:color w:val="000000"/>
                <w:sz w:val="13"/>
                <w:szCs w:val="13"/>
                <w:lang w:val="en-US" w:bidi="ar"/>
              </w:rPr>
              <w:t>4.送达责任：出具书面材料，并送达申请人确认信息。</w:t>
            </w:r>
          </w:p>
          <w:p>
            <w:pPr>
              <w:pStyle w:val="9"/>
              <w:tabs>
                <w:tab w:val="left" w:pos="219"/>
              </w:tabs>
              <w:spacing w:line="202" w:lineRule="exact"/>
              <w:rPr>
                <w:sz w:val="13"/>
                <w:szCs w:val="13"/>
              </w:rPr>
            </w:pPr>
            <w:r>
              <w:rPr>
                <w:rFonts w:hint="eastAsia"/>
                <w:color w:val="000000"/>
                <w:sz w:val="13"/>
                <w:szCs w:val="13"/>
                <w:lang w:val="en-US" w:bidi="ar"/>
              </w:rPr>
              <w:t>5.其他法律法规规章文件规定应当履行的责任。</w:t>
            </w:r>
          </w:p>
        </w:tc>
        <w:tc>
          <w:tcPr>
            <w:tcW w:w="3707"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pStyle w:val="9"/>
              <w:tabs>
                <w:tab w:val="left" w:pos="219"/>
              </w:tabs>
              <w:spacing w:line="202" w:lineRule="exact"/>
              <w:rPr>
                <w:color w:val="000000"/>
                <w:sz w:val="13"/>
                <w:szCs w:val="13"/>
                <w:lang w:val="en-US" w:bidi="ar"/>
              </w:rPr>
            </w:pPr>
            <w:r>
              <w:rPr>
                <w:rFonts w:hint="eastAsia"/>
                <w:color w:val="000000"/>
                <w:sz w:val="13"/>
                <w:szCs w:val="13"/>
                <w:lang w:val="en-US" w:bidi="ar"/>
              </w:rPr>
              <w:t>因不履行或不正确履行行政职责，有下列情形的备案机关及相关工作人员应承担相应责任：</w:t>
            </w:r>
          </w:p>
          <w:p>
            <w:pPr>
              <w:pStyle w:val="9"/>
              <w:tabs>
                <w:tab w:val="left" w:pos="219"/>
              </w:tabs>
              <w:spacing w:line="202" w:lineRule="exact"/>
              <w:rPr>
                <w:color w:val="000000"/>
                <w:sz w:val="13"/>
                <w:szCs w:val="13"/>
                <w:lang w:val="en-US" w:bidi="ar"/>
              </w:rPr>
            </w:pPr>
            <w:r>
              <w:rPr>
                <w:rFonts w:hint="eastAsia"/>
                <w:color w:val="000000"/>
                <w:sz w:val="13"/>
                <w:szCs w:val="13"/>
                <w:lang w:val="en-US" w:bidi="ar"/>
              </w:rPr>
              <w:t>1.不能一次性告知和说明所需材料的；</w:t>
            </w:r>
          </w:p>
          <w:p>
            <w:pPr>
              <w:pStyle w:val="9"/>
              <w:tabs>
                <w:tab w:val="left" w:pos="219"/>
              </w:tabs>
              <w:spacing w:line="202" w:lineRule="exact"/>
              <w:rPr>
                <w:color w:val="000000"/>
                <w:sz w:val="13"/>
                <w:szCs w:val="13"/>
                <w:lang w:val="en-US" w:bidi="ar"/>
              </w:rPr>
            </w:pPr>
            <w:r>
              <w:rPr>
                <w:rFonts w:hint="eastAsia"/>
                <w:color w:val="000000"/>
                <w:sz w:val="13"/>
                <w:szCs w:val="13"/>
                <w:lang w:val="en-US" w:bidi="ar"/>
              </w:rPr>
              <w:t>2.对符合条件的不予受理且不说明原因和依据的；</w:t>
            </w:r>
          </w:p>
          <w:p>
            <w:pPr>
              <w:pStyle w:val="9"/>
              <w:tabs>
                <w:tab w:val="left" w:pos="219"/>
              </w:tabs>
              <w:spacing w:line="202" w:lineRule="exact"/>
              <w:rPr>
                <w:color w:val="000000"/>
                <w:sz w:val="13"/>
                <w:szCs w:val="13"/>
                <w:lang w:val="en-US" w:bidi="ar"/>
              </w:rPr>
            </w:pPr>
            <w:r>
              <w:rPr>
                <w:rFonts w:hint="eastAsia"/>
                <w:color w:val="000000"/>
                <w:sz w:val="13"/>
                <w:szCs w:val="13"/>
                <w:lang w:val="en-US" w:bidi="ar"/>
              </w:rPr>
              <w:t>3.对不符合条件而予以受理的；</w:t>
            </w:r>
          </w:p>
          <w:p>
            <w:pPr>
              <w:pStyle w:val="9"/>
              <w:tabs>
                <w:tab w:val="left" w:pos="219"/>
              </w:tabs>
              <w:spacing w:line="202" w:lineRule="exact"/>
              <w:rPr>
                <w:color w:val="000000"/>
                <w:sz w:val="13"/>
                <w:szCs w:val="13"/>
                <w:lang w:val="en-US" w:bidi="ar"/>
              </w:rPr>
            </w:pPr>
            <w:r>
              <w:rPr>
                <w:rFonts w:hint="eastAsia"/>
                <w:color w:val="000000"/>
                <w:sz w:val="13"/>
                <w:szCs w:val="13"/>
                <w:lang w:val="en-US" w:bidi="ar"/>
              </w:rPr>
              <w:t>4.对不符合规定条件的申请准予备案的；</w:t>
            </w:r>
          </w:p>
          <w:p>
            <w:pPr>
              <w:pStyle w:val="9"/>
              <w:tabs>
                <w:tab w:val="left" w:pos="219"/>
              </w:tabs>
              <w:spacing w:line="202" w:lineRule="exact"/>
              <w:rPr>
                <w:color w:val="000000"/>
                <w:sz w:val="13"/>
                <w:szCs w:val="13"/>
                <w:lang w:val="en-US" w:bidi="ar"/>
              </w:rPr>
            </w:pPr>
            <w:r>
              <w:rPr>
                <w:rFonts w:hint="eastAsia"/>
                <w:color w:val="000000"/>
                <w:sz w:val="13"/>
                <w:szCs w:val="13"/>
                <w:lang w:val="en-US" w:bidi="ar"/>
              </w:rPr>
              <w:t>5.对符合规定条件的申请不予备案或者未在规定期限内作出准予备案决定的；</w:t>
            </w:r>
          </w:p>
          <w:p>
            <w:pPr>
              <w:pStyle w:val="9"/>
              <w:tabs>
                <w:tab w:val="left" w:pos="219"/>
              </w:tabs>
              <w:spacing w:line="202" w:lineRule="exact"/>
              <w:rPr>
                <w:color w:val="000000"/>
                <w:sz w:val="13"/>
                <w:szCs w:val="13"/>
                <w:lang w:val="en-US" w:bidi="ar"/>
              </w:rPr>
            </w:pPr>
            <w:r>
              <w:rPr>
                <w:rFonts w:hint="eastAsia"/>
                <w:color w:val="000000"/>
                <w:sz w:val="13"/>
                <w:szCs w:val="13"/>
                <w:lang w:val="en-US" w:bidi="ar"/>
              </w:rPr>
              <w:t>6.超越法定职权作出准予备案决定的；</w:t>
            </w:r>
          </w:p>
          <w:p>
            <w:pPr>
              <w:pStyle w:val="9"/>
              <w:tabs>
                <w:tab w:val="left" w:pos="219"/>
              </w:tabs>
              <w:spacing w:line="202" w:lineRule="exact"/>
              <w:rPr>
                <w:sz w:val="13"/>
                <w:szCs w:val="13"/>
              </w:rPr>
            </w:pPr>
            <w:r>
              <w:rPr>
                <w:rFonts w:hint="eastAsia"/>
                <w:color w:val="000000"/>
                <w:sz w:val="13"/>
                <w:szCs w:val="13"/>
                <w:lang w:val="en-US" w:bidi="ar"/>
              </w:rPr>
              <w:t>7.其他违反法律法规规章文件规定的行为。</w:t>
            </w:r>
          </w:p>
        </w:tc>
      </w:tr>
    </w:tbl>
    <w:p/>
    <w:p/>
    <w:p/>
    <w:p/>
    <w:p/>
    <w:p/>
    <w:p/>
    <w:p>
      <w:pPr>
        <w:tabs>
          <w:tab w:val="left" w:pos="6171"/>
        </w:tabs>
        <w:jc w:val="both"/>
        <w:rPr>
          <w:rFonts w:ascii="黑体" w:hAnsi="黑体" w:eastAsia="黑体" w:cs="黑体"/>
          <w:sz w:val="32"/>
          <w:szCs w:val="32"/>
          <w:lang w:val="en-US"/>
        </w:rPr>
      </w:pPr>
    </w:p>
    <w:p>
      <w:pPr>
        <w:tabs>
          <w:tab w:val="left" w:pos="6171"/>
        </w:tabs>
        <w:jc w:val="center"/>
        <w:rPr>
          <w:rFonts w:ascii="黑体" w:hAnsi="黑体" w:eastAsia="黑体" w:cs="黑体"/>
          <w:sz w:val="32"/>
          <w:szCs w:val="32"/>
          <w:lang w:val="en-US"/>
        </w:rPr>
      </w:pPr>
    </w:p>
    <w:p>
      <w:pPr>
        <w:tabs>
          <w:tab w:val="left" w:pos="6171"/>
        </w:tabs>
        <w:jc w:val="center"/>
        <w:rPr>
          <w:rFonts w:ascii="黑体" w:hAnsi="黑体" w:eastAsia="黑体" w:cs="黑体"/>
          <w:sz w:val="32"/>
          <w:szCs w:val="32"/>
          <w:lang w:val="en-US"/>
        </w:rPr>
      </w:pPr>
    </w:p>
    <w:p>
      <w:pPr>
        <w:tabs>
          <w:tab w:val="left" w:pos="6171"/>
        </w:tabs>
        <w:jc w:val="center"/>
        <w:rPr>
          <w:rFonts w:ascii="黑体" w:hAnsi="黑体" w:eastAsia="黑体" w:cs="黑体"/>
          <w:sz w:val="32"/>
          <w:szCs w:val="32"/>
        </w:rPr>
      </w:pPr>
      <w:r>
        <w:rPr>
          <w:rFonts w:hint="eastAsia" w:ascii="黑体" w:hAnsi="黑体" w:eastAsia="黑体" w:cs="黑体"/>
          <w:sz w:val="32"/>
          <w:szCs w:val="32"/>
          <w:lang w:val="en-US"/>
        </w:rPr>
        <w:t>米东区发改委（工信局）行政权力清单和责任清单（行政检查类）</w:t>
      </w:r>
    </w:p>
    <w:p>
      <w:pPr>
        <w:widowControl/>
        <w:jc w:val="center"/>
      </w:pPr>
    </w:p>
    <w:tbl>
      <w:tblPr>
        <w:tblStyle w:val="5"/>
        <w:tblW w:w="14931" w:type="dxa"/>
        <w:tblInd w:w="1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
        <w:gridCol w:w="444"/>
        <w:gridCol w:w="582"/>
        <w:gridCol w:w="541"/>
        <w:gridCol w:w="3053"/>
        <w:gridCol w:w="444"/>
        <w:gridCol w:w="744"/>
        <w:gridCol w:w="876"/>
        <w:gridCol w:w="444"/>
        <w:gridCol w:w="3760"/>
        <w:gridCol w:w="370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0" w:hRule="atLeast"/>
        </w:trPr>
        <w:tc>
          <w:tcPr>
            <w:tcW w:w="336" w:type="dxa"/>
          </w:tcPr>
          <w:p>
            <w:pPr>
              <w:pStyle w:val="9"/>
              <w:spacing w:before="2"/>
              <w:rPr>
                <w:rFonts w:ascii="Times New Roman"/>
                <w:sz w:val="21"/>
              </w:rPr>
            </w:pPr>
          </w:p>
          <w:p>
            <w:pPr>
              <w:pStyle w:val="9"/>
              <w:spacing w:line="230" w:lineRule="auto"/>
              <w:ind w:left="81" w:right="52"/>
              <w:rPr>
                <w:rFonts w:ascii="黑体" w:eastAsia="黑体"/>
                <w:b/>
                <w:sz w:val="18"/>
              </w:rPr>
            </w:pPr>
            <w:r>
              <w:rPr>
                <w:rFonts w:hint="eastAsia" w:ascii="黑体" w:eastAsia="黑体"/>
                <w:b/>
                <w:sz w:val="18"/>
              </w:rPr>
              <w:t>序号</w:t>
            </w:r>
          </w:p>
        </w:tc>
        <w:tc>
          <w:tcPr>
            <w:tcW w:w="444" w:type="dxa"/>
          </w:tcPr>
          <w:p>
            <w:pPr>
              <w:pStyle w:val="9"/>
              <w:spacing w:before="2"/>
              <w:rPr>
                <w:rFonts w:ascii="Times New Roman"/>
                <w:sz w:val="21"/>
              </w:rPr>
            </w:pPr>
          </w:p>
          <w:p>
            <w:pPr>
              <w:pStyle w:val="9"/>
              <w:spacing w:line="230" w:lineRule="auto"/>
              <w:ind w:left="33" w:right="25"/>
              <w:rPr>
                <w:rFonts w:ascii="黑体" w:eastAsia="黑体"/>
                <w:b/>
                <w:sz w:val="18"/>
              </w:rPr>
            </w:pPr>
            <w:r>
              <w:rPr>
                <w:rFonts w:hint="eastAsia" w:ascii="黑体" w:eastAsia="黑体"/>
                <w:b/>
                <w:sz w:val="18"/>
              </w:rPr>
              <w:t>职权编码</w:t>
            </w:r>
          </w:p>
        </w:tc>
        <w:tc>
          <w:tcPr>
            <w:tcW w:w="1123" w:type="dxa"/>
            <w:gridSpan w:val="2"/>
          </w:tcPr>
          <w:p>
            <w:pPr>
              <w:pStyle w:val="9"/>
              <w:spacing w:before="117"/>
              <w:ind w:left="201"/>
              <w:rPr>
                <w:rFonts w:ascii="黑体" w:eastAsia="黑体"/>
                <w:b/>
                <w:sz w:val="10"/>
                <w:szCs w:val="10"/>
              </w:rPr>
            </w:pPr>
          </w:p>
          <w:p>
            <w:pPr>
              <w:pStyle w:val="9"/>
              <w:spacing w:before="117"/>
              <w:ind w:left="201"/>
              <w:rPr>
                <w:rFonts w:ascii="黑体" w:eastAsia="黑体"/>
                <w:b/>
                <w:sz w:val="18"/>
              </w:rPr>
            </w:pPr>
            <w:r>
              <w:rPr>
                <w:rFonts w:hint="eastAsia" w:ascii="黑体" w:eastAsia="黑体"/>
                <w:b/>
                <w:sz w:val="18"/>
              </w:rPr>
              <w:t>职权名称</w:t>
            </w:r>
          </w:p>
        </w:tc>
        <w:tc>
          <w:tcPr>
            <w:tcW w:w="3053" w:type="dxa"/>
          </w:tcPr>
          <w:p>
            <w:pPr>
              <w:pStyle w:val="9"/>
              <w:rPr>
                <w:rFonts w:ascii="Times New Roman"/>
                <w:sz w:val="18"/>
              </w:rPr>
            </w:pPr>
          </w:p>
          <w:p>
            <w:pPr>
              <w:pStyle w:val="9"/>
              <w:spacing w:before="140"/>
              <w:ind w:left="1150" w:right="1120"/>
              <w:jc w:val="center"/>
              <w:rPr>
                <w:rFonts w:ascii="黑体" w:eastAsia="黑体"/>
                <w:b/>
                <w:sz w:val="18"/>
              </w:rPr>
            </w:pPr>
            <w:r>
              <w:rPr>
                <w:rFonts w:hint="eastAsia" w:ascii="黑体" w:eastAsia="黑体"/>
                <w:b/>
                <w:sz w:val="18"/>
              </w:rPr>
              <w:t>实施依据</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实施对象</w:t>
            </w:r>
          </w:p>
        </w:tc>
        <w:tc>
          <w:tcPr>
            <w:tcW w:w="744" w:type="dxa"/>
          </w:tcPr>
          <w:p>
            <w:pPr>
              <w:pStyle w:val="9"/>
              <w:spacing w:before="129" w:line="232" w:lineRule="auto"/>
              <w:ind w:left="102" w:right="73"/>
              <w:jc w:val="both"/>
              <w:rPr>
                <w:rFonts w:ascii="黑体" w:eastAsia="黑体"/>
                <w:b/>
                <w:sz w:val="18"/>
              </w:rPr>
            </w:pPr>
            <w:r>
              <w:rPr>
                <w:rFonts w:hint="eastAsia" w:ascii="黑体" w:eastAsia="黑体"/>
                <w:b/>
                <w:sz w:val="18"/>
              </w:rPr>
              <w:t>承办机构及监督电话</w:t>
            </w:r>
          </w:p>
        </w:tc>
        <w:tc>
          <w:tcPr>
            <w:tcW w:w="876" w:type="dxa"/>
          </w:tcPr>
          <w:p>
            <w:pPr>
              <w:pStyle w:val="9"/>
              <w:spacing w:before="129" w:line="232" w:lineRule="auto"/>
              <w:ind w:left="76" w:right="47"/>
              <w:jc w:val="both"/>
              <w:rPr>
                <w:rFonts w:ascii="黑体" w:eastAsia="黑体"/>
                <w:b/>
                <w:sz w:val="18"/>
              </w:rPr>
            </w:pPr>
            <w:r>
              <w:rPr>
                <w:rFonts w:hint="eastAsia" w:ascii="黑体" w:eastAsia="黑体"/>
                <w:b/>
                <w:sz w:val="18"/>
              </w:rPr>
              <w:t>收费（征收）依据和标准</w:t>
            </w:r>
          </w:p>
        </w:tc>
        <w:tc>
          <w:tcPr>
            <w:tcW w:w="444" w:type="dxa"/>
          </w:tcPr>
          <w:p>
            <w:pPr>
              <w:pStyle w:val="9"/>
              <w:spacing w:before="2"/>
              <w:rPr>
                <w:rFonts w:ascii="Times New Roman"/>
                <w:sz w:val="21"/>
              </w:rPr>
            </w:pPr>
          </w:p>
          <w:p>
            <w:pPr>
              <w:pStyle w:val="9"/>
              <w:spacing w:line="230" w:lineRule="auto"/>
              <w:ind w:left="42" w:right="15"/>
              <w:rPr>
                <w:rFonts w:ascii="黑体" w:eastAsia="黑体"/>
                <w:b/>
                <w:sz w:val="18"/>
              </w:rPr>
            </w:pPr>
            <w:r>
              <w:rPr>
                <w:rFonts w:hint="eastAsia" w:ascii="黑体" w:eastAsia="黑体"/>
                <w:b/>
                <w:sz w:val="18"/>
              </w:rPr>
              <w:t>责任主体</w:t>
            </w:r>
          </w:p>
        </w:tc>
        <w:tc>
          <w:tcPr>
            <w:tcW w:w="3760" w:type="dxa"/>
          </w:tcPr>
          <w:p>
            <w:pPr>
              <w:pStyle w:val="9"/>
              <w:rPr>
                <w:rFonts w:ascii="Times New Roman"/>
                <w:sz w:val="18"/>
              </w:rPr>
            </w:pPr>
          </w:p>
          <w:p>
            <w:pPr>
              <w:pStyle w:val="9"/>
              <w:spacing w:before="140"/>
              <w:ind w:left="1392" w:right="1363"/>
              <w:jc w:val="center"/>
              <w:rPr>
                <w:rFonts w:ascii="黑体" w:eastAsia="黑体"/>
                <w:b/>
                <w:sz w:val="18"/>
              </w:rPr>
            </w:pPr>
            <w:r>
              <w:rPr>
                <w:rFonts w:hint="eastAsia" w:ascii="黑体" w:eastAsia="黑体"/>
                <w:b/>
                <w:sz w:val="18"/>
              </w:rPr>
              <w:t>责任事项</w:t>
            </w:r>
          </w:p>
        </w:tc>
        <w:tc>
          <w:tcPr>
            <w:tcW w:w="3707" w:type="dxa"/>
          </w:tcPr>
          <w:p>
            <w:pPr>
              <w:pStyle w:val="9"/>
              <w:rPr>
                <w:rFonts w:ascii="Times New Roman"/>
                <w:sz w:val="18"/>
              </w:rPr>
            </w:pPr>
          </w:p>
          <w:p>
            <w:pPr>
              <w:pStyle w:val="9"/>
              <w:spacing w:before="140"/>
              <w:ind w:left="1377" w:right="1351"/>
              <w:jc w:val="center"/>
              <w:rPr>
                <w:rFonts w:ascii="黑体" w:eastAsia="黑体"/>
                <w:b/>
                <w:sz w:val="18"/>
              </w:rPr>
            </w:pPr>
            <w:r>
              <w:rPr>
                <w:rFonts w:hint="eastAsia" w:ascii="黑体" w:eastAsia="黑体"/>
                <w:b/>
                <w:sz w:val="18"/>
              </w:rPr>
              <w:t>追责情形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311" w:hRule="atLeast"/>
        </w:trPr>
        <w:tc>
          <w:tcPr>
            <w:tcW w:w="336" w:type="dxa"/>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jc w:val="center"/>
              <w:rPr>
                <w:rFonts w:ascii="Times New Roman"/>
                <w:sz w:val="13"/>
                <w:szCs w:val="13"/>
                <w:lang w:val="en-US"/>
              </w:rPr>
            </w:pPr>
          </w:p>
          <w:p>
            <w:pPr>
              <w:pStyle w:val="9"/>
              <w:jc w:val="center"/>
              <w:rPr>
                <w:rFonts w:ascii="Times New Roman"/>
                <w:sz w:val="13"/>
                <w:szCs w:val="13"/>
              </w:rPr>
            </w:pPr>
          </w:p>
          <w:p>
            <w:pPr>
              <w:pStyle w:val="9"/>
              <w:spacing w:before="112"/>
              <w:ind w:left="28"/>
              <w:jc w:val="center"/>
              <w:rPr>
                <w:rFonts w:ascii="Times New Roman"/>
                <w:sz w:val="13"/>
                <w:szCs w:val="13"/>
                <w:lang w:val="en-US"/>
              </w:rPr>
            </w:pPr>
            <w:r>
              <w:rPr>
                <w:rFonts w:hint="eastAsia" w:ascii="Times New Roman"/>
                <w:sz w:val="13"/>
                <w:szCs w:val="13"/>
                <w:lang w:val="en-US"/>
              </w:rPr>
              <w:t>1</w:t>
            </w:r>
          </w:p>
        </w:tc>
        <w:tc>
          <w:tcPr>
            <w:tcW w:w="444" w:type="dxa"/>
          </w:tcPr>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pStyle w:val="9"/>
              <w:jc w:val="center"/>
              <w:rPr>
                <w:rFonts w:ascii="Times New Roman"/>
                <w:sz w:val="13"/>
                <w:szCs w:val="13"/>
              </w:rPr>
            </w:pPr>
          </w:p>
          <w:p>
            <w:pPr>
              <w:widowControl/>
              <w:rPr>
                <w:color w:val="000000"/>
                <w:sz w:val="13"/>
                <w:szCs w:val="13"/>
                <w:lang w:val="en-US" w:bidi="ar"/>
              </w:rPr>
            </w:pPr>
          </w:p>
          <w:p>
            <w:pPr>
              <w:jc w:val="center"/>
              <w:rPr>
                <w:sz w:val="13"/>
                <w:szCs w:val="13"/>
              </w:rPr>
            </w:pPr>
            <w:r>
              <w:rPr>
                <w:rFonts w:hint="eastAsia"/>
                <w:color w:val="000000"/>
                <w:sz w:val="13"/>
                <w:szCs w:val="13"/>
                <w:lang w:val="en-US" w:bidi="ar"/>
              </w:rPr>
              <w:t>650109403JC001</w:t>
            </w:r>
          </w:p>
        </w:tc>
        <w:tc>
          <w:tcPr>
            <w:tcW w:w="582" w:type="dxa"/>
          </w:tcPr>
          <w:p>
            <w:pPr>
              <w:pStyle w:val="9"/>
              <w:rPr>
                <w:rFonts w:ascii="Times New Roman"/>
                <w:sz w:val="13"/>
                <w:szCs w:val="13"/>
              </w:rPr>
            </w:pPr>
          </w:p>
          <w:p>
            <w:pPr>
              <w:pStyle w:val="9"/>
              <w:jc w:val="center"/>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sz w:val="13"/>
                <w:szCs w:val="13"/>
              </w:rPr>
            </w:pPr>
            <w:r>
              <w:rPr>
                <w:rFonts w:hint="eastAsia"/>
                <w:color w:val="000000"/>
                <w:sz w:val="13"/>
                <w:szCs w:val="13"/>
                <w:lang w:val="en-US" w:bidi="ar"/>
              </w:rPr>
              <w:t>对煤矿事故发生单位落实防范和整改措施的监督检查</w:t>
            </w:r>
          </w:p>
        </w:tc>
        <w:tc>
          <w:tcPr>
            <w:tcW w:w="541" w:type="dxa"/>
          </w:tcPr>
          <w:p>
            <w:pPr>
              <w:pStyle w:val="9"/>
              <w:rPr>
                <w:rFonts w:ascii="Times New Roman"/>
                <w:sz w:val="13"/>
                <w:szCs w:val="13"/>
              </w:rPr>
            </w:pPr>
          </w:p>
        </w:tc>
        <w:tc>
          <w:tcPr>
            <w:tcW w:w="3053"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pStyle w:val="9"/>
              <w:spacing w:before="126" w:line="189" w:lineRule="auto"/>
              <w:ind w:left="33" w:right="62"/>
              <w:jc w:val="both"/>
              <w:rPr>
                <w:color w:val="000000"/>
                <w:sz w:val="13"/>
                <w:szCs w:val="13"/>
                <w:lang w:val="en-US" w:bidi="ar"/>
              </w:rPr>
            </w:pPr>
            <w:r>
              <w:rPr>
                <w:rFonts w:hint="eastAsia"/>
                <w:color w:val="000000"/>
                <w:sz w:val="13"/>
                <w:szCs w:val="13"/>
                <w:lang w:val="en-US" w:bidi="ar"/>
              </w:rPr>
              <w:t>《生产安全事故报告和调查处理条例》（国务院令第493号）（2007年6月1日）</w:t>
            </w:r>
          </w:p>
          <w:p>
            <w:pPr>
              <w:pStyle w:val="9"/>
              <w:spacing w:before="126" w:line="189" w:lineRule="auto"/>
              <w:ind w:left="33" w:right="62"/>
              <w:jc w:val="both"/>
              <w:rPr>
                <w:sz w:val="13"/>
                <w:szCs w:val="13"/>
              </w:rPr>
            </w:pPr>
            <w:r>
              <w:rPr>
                <w:rFonts w:hint="eastAsia"/>
                <w:color w:val="000000"/>
                <w:sz w:val="13"/>
                <w:szCs w:val="13"/>
                <w:lang w:val="en-US" w:bidi="ar"/>
              </w:rPr>
              <w:t>第三十三条：“事故发生单位应当认真吸取事故教训，落实防范和整改措施，防止事故再次发生。防范和整改措施的落实情况应当接受工会和职工的监督。安全生产监督管理部门和负有安全生产监督管理职责的有关部门应当对事故发生单位落实防范和整改措施的情况进行监督检查。”</w:t>
            </w:r>
          </w:p>
        </w:tc>
        <w:tc>
          <w:tcPr>
            <w:tcW w:w="4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sz w:val="13"/>
                <w:szCs w:val="13"/>
              </w:rPr>
            </w:pPr>
            <w:r>
              <w:rPr>
                <w:color w:val="000000"/>
                <w:sz w:val="13"/>
                <w:szCs w:val="13"/>
                <w:lang w:val="en-US" w:bidi="ar"/>
              </w:rPr>
              <w:t>企业</w:t>
            </w:r>
          </w:p>
          <w:p>
            <w:pPr>
              <w:widowControl/>
              <w:rPr>
                <w:sz w:val="13"/>
                <w:szCs w:val="13"/>
              </w:rPr>
            </w:pPr>
            <w:r>
              <w:rPr>
                <w:rFonts w:hint="eastAsia"/>
                <w:color w:val="000000"/>
                <w:sz w:val="13"/>
                <w:szCs w:val="13"/>
                <w:lang w:val="en-US" w:bidi="ar"/>
              </w:rPr>
              <w:t>、社</w:t>
            </w:r>
          </w:p>
          <w:p>
            <w:pPr>
              <w:widowControl/>
              <w:rPr>
                <w:sz w:val="13"/>
                <w:szCs w:val="13"/>
              </w:rPr>
            </w:pPr>
            <w:r>
              <w:rPr>
                <w:rFonts w:hint="eastAsia"/>
                <w:color w:val="000000"/>
                <w:sz w:val="13"/>
                <w:szCs w:val="13"/>
                <w:lang w:val="en-US" w:bidi="ar"/>
              </w:rPr>
              <w:t>会组</w:t>
            </w:r>
          </w:p>
          <w:p>
            <w:pPr>
              <w:widowControl/>
              <w:rPr>
                <w:sz w:val="13"/>
                <w:szCs w:val="13"/>
              </w:rPr>
            </w:pPr>
            <w:r>
              <w:rPr>
                <w:rFonts w:hint="eastAsia"/>
                <w:color w:val="000000"/>
                <w:sz w:val="13"/>
                <w:szCs w:val="13"/>
                <w:lang w:val="en-US" w:bidi="ar"/>
              </w:rPr>
              <w:t>织或</w:t>
            </w:r>
          </w:p>
          <w:p>
            <w:pPr>
              <w:widowControl/>
              <w:rPr>
                <w:sz w:val="13"/>
                <w:szCs w:val="13"/>
              </w:rPr>
            </w:pPr>
            <w:r>
              <w:rPr>
                <w:rFonts w:hint="eastAsia"/>
                <w:color w:val="000000"/>
                <w:sz w:val="13"/>
                <w:szCs w:val="13"/>
                <w:lang w:val="en-US" w:bidi="ar"/>
              </w:rPr>
              <w:t>公民</w:t>
            </w:r>
          </w:p>
          <w:p>
            <w:pPr>
              <w:pStyle w:val="9"/>
              <w:spacing w:line="192" w:lineRule="auto"/>
              <w:ind w:left="83" w:right="23"/>
              <w:rPr>
                <w:sz w:val="13"/>
                <w:szCs w:val="13"/>
              </w:rPr>
            </w:pPr>
          </w:p>
        </w:tc>
        <w:tc>
          <w:tcPr>
            <w:tcW w:w="7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jc w:val="center"/>
              <w:rPr>
                <w:sz w:val="13"/>
                <w:szCs w:val="13"/>
              </w:rPr>
            </w:pPr>
            <w:r>
              <w:rPr>
                <w:color w:val="000000"/>
                <w:sz w:val="13"/>
                <w:szCs w:val="13"/>
                <w:lang w:val="en-US" w:bidi="ar"/>
              </w:rPr>
              <w:t>固定资产</w:t>
            </w:r>
          </w:p>
          <w:p>
            <w:pPr>
              <w:widowControl/>
              <w:jc w:val="center"/>
              <w:rPr>
                <w:sz w:val="13"/>
                <w:szCs w:val="13"/>
              </w:rPr>
            </w:pPr>
            <w:r>
              <w:rPr>
                <w:rFonts w:hint="eastAsia"/>
                <w:color w:val="000000"/>
                <w:sz w:val="13"/>
                <w:szCs w:val="13"/>
                <w:lang w:val="en-US" w:bidi="ar"/>
              </w:rPr>
              <w:t>投资处科</w:t>
            </w:r>
          </w:p>
          <w:p>
            <w:pPr>
              <w:pStyle w:val="9"/>
              <w:spacing w:before="1" w:line="206" w:lineRule="auto"/>
              <w:ind w:left="88" w:right="54"/>
              <w:jc w:val="center"/>
              <w:rPr>
                <w:rFonts w:ascii="Times New Roman" w:eastAsia="Times New Roman"/>
                <w:sz w:val="13"/>
                <w:szCs w:val="13"/>
                <w:lang w:val="en-US"/>
              </w:rPr>
            </w:pPr>
            <w:r>
              <w:rPr>
                <w:rFonts w:hint="eastAsia" w:ascii="TimesNewRomanPSMT" w:hAnsi="TimesNewRomanPSMT" w:eastAsia="TimesNewRomanPSMT" w:cs="TimesNewRomanPSMT"/>
                <w:color w:val="000000"/>
                <w:sz w:val="13"/>
                <w:szCs w:val="13"/>
                <w:lang w:val="en-US" w:bidi="ar"/>
              </w:rPr>
              <w:t>3101308</w:t>
            </w:r>
          </w:p>
        </w:tc>
        <w:tc>
          <w:tcPr>
            <w:tcW w:w="876"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spacing w:before="9"/>
              <w:jc w:val="center"/>
              <w:rPr>
                <w:rFonts w:ascii="Times New Roman"/>
                <w:sz w:val="13"/>
                <w:szCs w:val="13"/>
              </w:rPr>
            </w:pPr>
          </w:p>
          <w:p>
            <w:pPr>
              <w:widowControl/>
              <w:jc w:val="center"/>
              <w:rPr>
                <w:sz w:val="13"/>
                <w:szCs w:val="13"/>
              </w:rPr>
            </w:pPr>
            <w:r>
              <w:rPr>
                <w:color w:val="000000"/>
                <w:sz w:val="13"/>
                <w:szCs w:val="13"/>
                <w:lang w:val="en-US" w:bidi="ar"/>
              </w:rPr>
              <w:t>无</w:t>
            </w:r>
          </w:p>
          <w:p>
            <w:pPr>
              <w:pStyle w:val="9"/>
              <w:ind w:left="30"/>
              <w:jc w:val="center"/>
              <w:rPr>
                <w:sz w:val="13"/>
                <w:szCs w:val="13"/>
              </w:rPr>
            </w:pPr>
          </w:p>
        </w:tc>
        <w:tc>
          <w:tcPr>
            <w:tcW w:w="444"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米东区发改委（工信局）</w:t>
            </w:r>
          </w:p>
          <w:p>
            <w:pPr>
              <w:pStyle w:val="9"/>
              <w:spacing w:line="192" w:lineRule="auto"/>
              <w:ind w:left="81" w:right="24"/>
              <w:rPr>
                <w:sz w:val="13"/>
                <w:szCs w:val="13"/>
              </w:rPr>
            </w:pPr>
          </w:p>
        </w:tc>
        <w:tc>
          <w:tcPr>
            <w:tcW w:w="3760"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rFonts w:ascii="Times New Roman"/>
                <w:sz w:val="13"/>
                <w:szCs w:val="13"/>
              </w:rPr>
            </w:pPr>
          </w:p>
          <w:p>
            <w:pPr>
              <w:pStyle w:val="9"/>
              <w:rPr>
                <w:rFonts w:ascii="黑体" w:hAnsi="黑体" w:eastAsia="黑体" w:cs="黑体"/>
                <w:b/>
                <w:bCs/>
                <w:sz w:val="13"/>
                <w:szCs w:val="13"/>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p>
          <w:p>
            <w:pPr>
              <w:widowControl/>
              <w:rPr>
                <w:color w:val="000000"/>
                <w:sz w:val="13"/>
                <w:szCs w:val="13"/>
                <w:lang w:val="en-US" w:bidi="ar"/>
              </w:rPr>
            </w:pPr>
            <w:r>
              <w:rPr>
                <w:rFonts w:hint="eastAsia"/>
                <w:color w:val="000000"/>
                <w:sz w:val="13"/>
                <w:szCs w:val="13"/>
                <w:lang w:val="en-US" w:bidi="ar"/>
              </w:rPr>
              <w:t>1.通知责任：告知检查的目的、内容、要求和方法等事项。</w:t>
            </w:r>
          </w:p>
          <w:p>
            <w:pPr>
              <w:widowControl/>
              <w:rPr>
                <w:color w:val="000000"/>
                <w:sz w:val="13"/>
                <w:szCs w:val="13"/>
                <w:lang w:val="en-US" w:bidi="ar"/>
              </w:rPr>
            </w:pPr>
            <w:r>
              <w:rPr>
                <w:rFonts w:hint="eastAsia"/>
                <w:color w:val="000000"/>
                <w:sz w:val="13"/>
                <w:szCs w:val="13"/>
                <w:lang w:val="en-US" w:bidi="ar"/>
              </w:rPr>
              <w:t>2.检查审查责任：制定检查审查计划，按照法律法规的规定和程序实施检查审查；现场检查审查人员不得少于两人，并须出示执法身份证件；做好检查审查记录，根据需要应由被检查人签字确认的，应签字确认。</w:t>
            </w:r>
          </w:p>
          <w:p>
            <w:pPr>
              <w:widowControl/>
              <w:rPr>
                <w:color w:val="000000"/>
                <w:sz w:val="13"/>
                <w:szCs w:val="13"/>
                <w:lang w:val="en-US" w:bidi="ar"/>
              </w:rPr>
            </w:pPr>
            <w:r>
              <w:rPr>
                <w:rFonts w:hint="eastAsia"/>
                <w:color w:val="000000"/>
                <w:sz w:val="13"/>
                <w:szCs w:val="13"/>
                <w:lang w:val="en-US" w:bidi="ar"/>
              </w:rPr>
              <w:t>3.处置责任：根据检查审查的结果，提出整改意见，并告知被检查人。</w:t>
            </w:r>
          </w:p>
          <w:p>
            <w:pPr>
              <w:widowControl/>
              <w:rPr>
                <w:color w:val="000000"/>
                <w:sz w:val="13"/>
                <w:szCs w:val="13"/>
                <w:lang w:val="en-US" w:bidi="ar"/>
              </w:rPr>
            </w:pPr>
            <w:r>
              <w:rPr>
                <w:rFonts w:hint="eastAsia"/>
                <w:color w:val="000000"/>
                <w:sz w:val="13"/>
                <w:szCs w:val="13"/>
                <w:lang w:val="en-US" w:bidi="ar"/>
              </w:rPr>
              <w:t>4.监督整改责任：督促被检查人按照法律法规规章及技术规范要求进行整改；拒绝整改或整改后复查仍不合格的予以行政处罚。</w:t>
            </w:r>
          </w:p>
          <w:p>
            <w:pPr>
              <w:widowControl/>
              <w:rPr>
                <w:sz w:val="13"/>
                <w:szCs w:val="13"/>
              </w:rPr>
            </w:pPr>
            <w:r>
              <w:rPr>
                <w:rFonts w:hint="eastAsia"/>
                <w:color w:val="000000"/>
                <w:sz w:val="13"/>
                <w:szCs w:val="13"/>
                <w:lang w:val="en-US" w:bidi="ar"/>
              </w:rPr>
              <w:t>5.其他法律法规规章文件规定应履行的责任。。</w:t>
            </w:r>
          </w:p>
        </w:tc>
        <w:tc>
          <w:tcPr>
            <w:tcW w:w="3707" w:type="dxa"/>
          </w:tcPr>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pStyle w:val="9"/>
              <w:rPr>
                <w:rFonts w:ascii="Times New Roman"/>
                <w:sz w:val="13"/>
                <w:szCs w:val="13"/>
              </w:rPr>
            </w:pPr>
          </w:p>
          <w:p>
            <w:pPr>
              <w:widowControl/>
              <w:rPr>
                <w:color w:val="000000"/>
                <w:sz w:val="13"/>
                <w:szCs w:val="13"/>
                <w:lang w:val="en-US" w:bidi="ar"/>
              </w:rPr>
            </w:pPr>
          </w:p>
          <w:p>
            <w:pPr>
              <w:widowControl/>
              <w:rPr>
                <w:sz w:val="13"/>
                <w:szCs w:val="13"/>
              </w:rPr>
            </w:pPr>
            <w:r>
              <w:rPr>
                <w:rFonts w:hint="eastAsia"/>
                <w:sz w:val="13"/>
                <w:szCs w:val="13"/>
              </w:rPr>
              <w:t>因不履行或不正确履行行政职责，有下列情形的，行政机关及相关工作人员应承担相应责任：</w:t>
            </w:r>
          </w:p>
          <w:p>
            <w:pPr>
              <w:widowControl/>
              <w:rPr>
                <w:sz w:val="13"/>
                <w:szCs w:val="13"/>
              </w:rPr>
            </w:pPr>
            <w:r>
              <w:rPr>
                <w:rFonts w:hint="eastAsia"/>
                <w:sz w:val="13"/>
                <w:szCs w:val="13"/>
              </w:rPr>
              <w:t>1.适用法律、法规、规章错误，造成不良后果的；</w:t>
            </w:r>
          </w:p>
          <w:p>
            <w:pPr>
              <w:widowControl/>
              <w:rPr>
                <w:sz w:val="13"/>
                <w:szCs w:val="13"/>
              </w:rPr>
            </w:pPr>
            <w:r>
              <w:rPr>
                <w:rFonts w:hint="eastAsia"/>
                <w:sz w:val="13"/>
                <w:szCs w:val="13"/>
              </w:rPr>
              <w:t>2.无具体理由、事项、内容实施检查或者不出示执法身份证件实施检查的；</w:t>
            </w:r>
          </w:p>
          <w:p>
            <w:pPr>
              <w:widowControl/>
              <w:rPr>
                <w:sz w:val="13"/>
                <w:szCs w:val="13"/>
              </w:rPr>
            </w:pPr>
            <w:r>
              <w:rPr>
                <w:rFonts w:hint="eastAsia"/>
                <w:sz w:val="13"/>
                <w:szCs w:val="13"/>
              </w:rPr>
              <w:t>3.违反法定程序实施检查的；</w:t>
            </w:r>
          </w:p>
          <w:p>
            <w:pPr>
              <w:widowControl/>
              <w:rPr>
                <w:sz w:val="13"/>
                <w:szCs w:val="13"/>
              </w:rPr>
            </w:pPr>
            <w:r>
              <w:rPr>
                <w:rFonts w:hint="eastAsia"/>
                <w:sz w:val="13"/>
                <w:szCs w:val="13"/>
              </w:rPr>
              <w:t>4.放弃、推诿、拖延、拒绝履行检查职责的；</w:t>
            </w:r>
          </w:p>
          <w:p>
            <w:pPr>
              <w:widowControl/>
              <w:rPr>
                <w:sz w:val="13"/>
                <w:szCs w:val="13"/>
              </w:rPr>
            </w:pPr>
            <w:r>
              <w:rPr>
                <w:rFonts w:hint="eastAsia"/>
                <w:sz w:val="13"/>
                <w:szCs w:val="13"/>
              </w:rPr>
              <w:t>5.超越法定权限或委托权限实施行政行为的；</w:t>
            </w:r>
          </w:p>
          <w:p>
            <w:pPr>
              <w:widowControl/>
              <w:rPr>
                <w:sz w:val="13"/>
                <w:szCs w:val="13"/>
              </w:rPr>
            </w:pPr>
            <w:r>
              <w:rPr>
                <w:rFonts w:hint="eastAsia"/>
                <w:sz w:val="13"/>
                <w:szCs w:val="13"/>
              </w:rPr>
              <w:t>6.对发现的违法行为不制止、不纠正的;</w:t>
            </w:r>
          </w:p>
          <w:p>
            <w:pPr>
              <w:widowControl/>
              <w:rPr>
                <w:sz w:val="13"/>
                <w:szCs w:val="13"/>
              </w:rPr>
            </w:pPr>
            <w:r>
              <w:rPr>
                <w:rFonts w:hint="eastAsia"/>
                <w:sz w:val="13"/>
                <w:szCs w:val="13"/>
              </w:rPr>
              <w:t>7.泄露行政相对人的商业秘密给行政相对人造成损失的；</w:t>
            </w:r>
          </w:p>
          <w:p>
            <w:pPr>
              <w:widowControl/>
              <w:rPr>
                <w:sz w:val="13"/>
                <w:szCs w:val="13"/>
              </w:rPr>
            </w:pPr>
            <w:r>
              <w:rPr>
                <w:rFonts w:hint="eastAsia"/>
                <w:sz w:val="13"/>
                <w:szCs w:val="13"/>
              </w:rPr>
              <w:t xml:space="preserve">8.对于需要按照规定上报或者通报的事项，没有及时上报或者通报的;                  </w:t>
            </w:r>
          </w:p>
          <w:p>
            <w:pPr>
              <w:widowControl/>
              <w:rPr>
                <w:sz w:val="13"/>
                <w:szCs w:val="13"/>
              </w:rPr>
            </w:pPr>
            <w:r>
              <w:rPr>
                <w:rFonts w:hint="eastAsia"/>
                <w:sz w:val="13"/>
                <w:szCs w:val="13"/>
              </w:rPr>
              <w:t>9.其他违反法律法规规章文件规定的行为。</w:t>
            </w:r>
          </w:p>
        </w:tc>
      </w:tr>
    </w:tbl>
    <w:p>
      <w:pPr>
        <w:tabs>
          <w:tab w:val="left" w:pos="6171"/>
        </w:tabs>
      </w:pPr>
    </w:p>
    <w:sectPr>
      <w:pgSz w:w="16840" w:h="11910" w:orient="landscape"/>
      <w:pgMar w:top="1100" w:right="1040" w:bottom="280" w:left="10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6pebnPAAAABQEAAA8AAAAAAAAAAQAg&#10;AAAAIgAAAGRycy9kb3ducmV2LnhtbFBLAQIUABQAAAAIAIdO4kDSauIPpQEAAD8DAAAOAAAAAAAA&#10;AAEAIAAAAB4BAABkcnMvZTJvRG9jLnhtbFBLBQYAAAAABgAGAFkBAAA1BQAAAAA=&#10;">
              <v:fill on="f" focussize="0,0"/>
              <v:stroke on="f"/>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13508"/>
        <w:tab w:val="clear" w:pos="4153"/>
      </w:tabs>
    </w:pP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306ED"/>
    <w:multiLevelType w:val="multilevel"/>
    <w:tmpl w:val="B5E306ED"/>
    <w:lvl w:ilvl="0" w:tentative="0">
      <w:start w:val="1"/>
      <w:numFmt w:val="decimal"/>
      <w:lvlText w:val="%1."/>
      <w:lvlJc w:val="left"/>
      <w:pPr>
        <w:ind w:left="33" w:hanging="113"/>
        <w:jc w:val="left"/>
      </w:pPr>
      <w:rPr>
        <w:rFonts w:hint="default" w:ascii="Times New Roman" w:hAnsi="Times New Roman" w:eastAsia="Times New Roman" w:cs="Times New Roman"/>
        <w:spacing w:val="1"/>
        <w:w w:val="102"/>
        <w:sz w:val="12"/>
        <w:szCs w:val="12"/>
        <w:lang w:val="zh-CN" w:eastAsia="zh-CN" w:bidi="zh-CN"/>
      </w:rPr>
    </w:lvl>
    <w:lvl w:ilvl="1" w:tentative="0">
      <w:start w:val="0"/>
      <w:numFmt w:val="bullet"/>
      <w:lvlText w:val="•"/>
      <w:lvlJc w:val="left"/>
      <w:pPr>
        <w:ind w:left="387" w:hanging="113"/>
      </w:pPr>
      <w:rPr>
        <w:rFonts w:hint="default"/>
        <w:lang w:val="zh-CN" w:eastAsia="zh-CN" w:bidi="zh-CN"/>
      </w:rPr>
    </w:lvl>
    <w:lvl w:ilvl="2" w:tentative="0">
      <w:start w:val="0"/>
      <w:numFmt w:val="bullet"/>
      <w:lvlText w:val="•"/>
      <w:lvlJc w:val="left"/>
      <w:pPr>
        <w:ind w:left="735" w:hanging="113"/>
      </w:pPr>
      <w:rPr>
        <w:rFonts w:hint="default"/>
        <w:lang w:val="zh-CN" w:eastAsia="zh-CN" w:bidi="zh-CN"/>
      </w:rPr>
    </w:lvl>
    <w:lvl w:ilvl="3" w:tentative="0">
      <w:start w:val="0"/>
      <w:numFmt w:val="bullet"/>
      <w:lvlText w:val="•"/>
      <w:lvlJc w:val="left"/>
      <w:pPr>
        <w:ind w:left="1083" w:hanging="113"/>
      </w:pPr>
      <w:rPr>
        <w:rFonts w:hint="default"/>
        <w:lang w:val="zh-CN" w:eastAsia="zh-CN" w:bidi="zh-CN"/>
      </w:rPr>
    </w:lvl>
    <w:lvl w:ilvl="4" w:tentative="0">
      <w:start w:val="0"/>
      <w:numFmt w:val="bullet"/>
      <w:lvlText w:val="•"/>
      <w:lvlJc w:val="left"/>
      <w:pPr>
        <w:ind w:left="1431" w:hanging="113"/>
      </w:pPr>
      <w:rPr>
        <w:rFonts w:hint="default"/>
        <w:lang w:val="zh-CN" w:eastAsia="zh-CN" w:bidi="zh-CN"/>
      </w:rPr>
    </w:lvl>
    <w:lvl w:ilvl="5" w:tentative="0">
      <w:start w:val="0"/>
      <w:numFmt w:val="bullet"/>
      <w:lvlText w:val="•"/>
      <w:lvlJc w:val="left"/>
      <w:pPr>
        <w:ind w:left="1779" w:hanging="113"/>
      </w:pPr>
      <w:rPr>
        <w:rFonts w:hint="default"/>
        <w:lang w:val="zh-CN" w:eastAsia="zh-CN" w:bidi="zh-CN"/>
      </w:rPr>
    </w:lvl>
    <w:lvl w:ilvl="6" w:tentative="0">
      <w:start w:val="0"/>
      <w:numFmt w:val="bullet"/>
      <w:lvlText w:val="•"/>
      <w:lvlJc w:val="left"/>
      <w:pPr>
        <w:ind w:left="2126" w:hanging="113"/>
      </w:pPr>
      <w:rPr>
        <w:rFonts w:hint="default"/>
        <w:lang w:val="zh-CN" w:eastAsia="zh-CN" w:bidi="zh-CN"/>
      </w:rPr>
    </w:lvl>
    <w:lvl w:ilvl="7" w:tentative="0">
      <w:start w:val="0"/>
      <w:numFmt w:val="bullet"/>
      <w:lvlText w:val="•"/>
      <w:lvlJc w:val="left"/>
      <w:pPr>
        <w:ind w:left="2474" w:hanging="113"/>
      </w:pPr>
      <w:rPr>
        <w:rFonts w:hint="default"/>
        <w:lang w:val="zh-CN" w:eastAsia="zh-CN" w:bidi="zh-CN"/>
      </w:rPr>
    </w:lvl>
    <w:lvl w:ilvl="8" w:tentative="0">
      <w:start w:val="0"/>
      <w:numFmt w:val="bullet"/>
      <w:lvlText w:val="•"/>
      <w:lvlJc w:val="left"/>
      <w:pPr>
        <w:ind w:left="2822" w:hanging="113"/>
      </w:pPr>
      <w:rPr>
        <w:rFonts w:hint="default"/>
        <w:lang w:val="zh-CN" w:eastAsia="zh-CN" w:bidi="zh-CN"/>
      </w:rPr>
    </w:lvl>
  </w:abstractNum>
  <w:abstractNum w:abstractNumId="1">
    <w:nsid w:val="BF205925"/>
    <w:multiLevelType w:val="multilevel"/>
    <w:tmpl w:val="BF205925"/>
    <w:lvl w:ilvl="0" w:tentative="0">
      <w:start w:val="1"/>
      <w:numFmt w:val="decimal"/>
      <w:lvlText w:val="%1."/>
      <w:lvlJc w:val="left"/>
      <w:pPr>
        <w:ind w:left="144" w:hanging="112"/>
        <w:jc w:val="left"/>
      </w:pPr>
      <w:rPr>
        <w:rFonts w:hint="default" w:ascii="Times New Roman" w:hAnsi="Times New Roman" w:eastAsia="Times New Roman" w:cs="Times New Roman"/>
        <w:spacing w:val="0"/>
        <w:w w:val="102"/>
        <w:sz w:val="12"/>
        <w:szCs w:val="12"/>
        <w:lang w:val="zh-CN" w:eastAsia="zh-CN" w:bidi="zh-CN"/>
      </w:rPr>
    </w:lvl>
    <w:lvl w:ilvl="1" w:tentative="0">
      <w:start w:val="0"/>
      <w:numFmt w:val="bullet"/>
      <w:lvlText w:val="•"/>
      <w:lvlJc w:val="left"/>
      <w:pPr>
        <w:ind w:left="467" w:hanging="112"/>
      </w:pPr>
      <w:rPr>
        <w:rFonts w:hint="default"/>
        <w:lang w:val="zh-CN" w:eastAsia="zh-CN" w:bidi="zh-CN"/>
      </w:rPr>
    </w:lvl>
    <w:lvl w:ilvl="2" w:tentative="0">
      <w:start w:val="0"/>
      <w:numFmt w:val="bullet"/>
      <w:lvlText w:val="•"/>
      <w:lvlJc w:val="left"/>
      <w:pPr>
        <w:ind w:left="794" w:hanging="112"/>
      </w:pPr>
      <w:rPr>
        <w:rFonts w:hint="default"/>
        <w:lang w:val="zh-CN" w:eastAsia="zh-CN" w:bidi="zh-CN"/>
      </w:rPr>
    </w:lvl>
    <w:lvl w:ilvl="3" w:tentative="0">
      <w:start w:val="0"/>
      <w:numFmt w:val="bullet"/>
      <w:lvlText w:val="•"/>
      <w:lvlJc w:val="left"/>
      <w:pPr>
        <w:ind w:left="1121" w:hanging="112"/>
      </w:pPr>
      <w:rPr>
        <w:rFonts w:hint="default"/>
        <w:lang w:val="zh-CN" w:eastAsia="zh-CN" w:bidi="zh-CN"/>
      </w:rPr>
    </w:lvl>
    <w:lvl w:ilvl="4" w:tentative="0">
      <w:start w:val="0"/>
      <w:numFmt w:val="bullet"/>
      <w:lvlText w:val="•"/>
      <w:lvlJc w:val="left"/>
      <w:pPr>
        <w:ind w:left="1448" w:hanging="112"/>
      </w:pPr>
      <w:rPr>
        <w:rFonts w:hint="default"/>
        <w:lang w:val="zh-CN" w:eastAsia="zh-CN" w:bidi="zh-CN"/>
      </w:rPr>
    </w:lvl>
    <w:lvl w:ilvl="5" w:tentative="0">
      <w:start w:val="0"/>
      <w:numFmt w:val="bullet"/>
      <w:lvlText w:val="•"/>
      <w:lvlJc w:val="left"/>
      <w:pPr>
        <w:ind w:left="1775" w:hanging="112"/>
      </w:pPr>
      <w:rPr>
        <w:rFonts w:hint="default"/>
        <w:lang w:val="zh-CN" w:eastAsia="zh-CN" w:bidi="zh-CN"/>
      </w:rPr>
    </w:lvl>
    <w:lvl w:ilvl="6" w:tentative="0">
      <w:start w:val="0"/>
      <w:numFmt w:val="bullet"/>
      <w:lvlText w:val="•"/>
      <w:lvlJc w:val="left"/>
      <w:pPr>
        <w:ind w:left="2102" w:hanging="112"/>
      </w:pPr>
      <w:rPr>
        <w:rFonts w:hint="default"/>
        <w:lang w:val="zh-CN" w:eastAsia="zh-CN" w:bidi="zh-CN"/>
      </w:rPr>
    </w:lvl>
    <w:lvl w:ilvl="7" w:tentative="0">
      <w:start w:val="0"/>
      <w:numFmt w:val="bullet"/>
      <w:lvlText w:val="•"/>
      <w:lvlJc w:val="left"/>
      <w:pPr>
        <w:ind w:left="2429" w:hanging="112"/>
      </w:pPr>
      <w:rPr>
        <w:rFonts w:hint="default"/>
        <w:lang w:val="zh-CN" w:eastAsia="zh-CN" w:bidi="zh-CN"/>
      </w:rPr>
    </w:lvl>
    <w:lvl w:ilvl="8" w:tentative="0">
      <w:start w:val="0"/>
      <w:numFmt w:val="bullet"/>
      <w:lvlText w:val="•"/>
      <w:lvlJc w:val="left"/>
      <w:pPr>
        <w:ind w:left="2756" w:hanging="112"/>
      </w:pPr>
      <w:rPr>
        <w:rFonts w:hint="default"/>
        <w:lang w:val="zh-CN" w:eastAsia="zh-CN" w:bidi="zh-CN"/>
      </w:rPr>
    </w:lvl>
  </w:abstractNum>
  <w:abstractNum w:abstractNumId="2">
    <w:nsid w:val="03D62ECE"/>
    <w:multiLevelType w:val="multilevel"/>
    <w:tmpl w:val="03D62ECE"/>
    <w:lvl w:ilvl="0" w:tentative="0">
      <w:start w:val="6"/>
      <w:numFmt w:val="decimal"/>
      <w:lvlText w:val="%1."/>
      <w:lvlJc w:val="left"/>
      <w:pPr>
        <w:ind w:left="33" w:hanging="113"/>
        <w:jc w:val="left"/>
      </w:pPr>
      <w:rPr>
        <w:rFonts w:hint="default" w:ascii="Times New Roman" w:hAnsi="Times New Roman" w:eastAsia="Times New Roman" w:cs="Times New Roman"/>
        <w:spacing w:val="1"/>
        <w:w w:val="102"/>
        <w:sz w:val="12"/>
        <w:szCs w:val="12"/>
        <w:lang w:val="zh-CN" w:eastAsia="zh-CN" w:bidi="zh-CN"/>
      </w:rPr>
    </w:lvl>
    <w:lvl w:ilvl="1" w:tentative="0">
      <w:start w:val="0"/>
      <w:numFmt w:val="bullet"/>
      <w:lvlText w:val="•"/>
      <w:lvlJc w:val="left"/>
      <w:pPr>
        <w:ind w:left="387" w:hanging="113"/>
      </w:pPr>
      <w:rPr>
        <w:rFonts w:hint="default"/>
        <w:lang w:val="zh-CN" w:eastAsia="zh-CN" w:bidi="zh-CN"/>
      </w:rPr>
    </w:lvl>
    <w:lvl w:ilvl="2" w:tentative="0">
      <w:start w:val="0"/>
      <w:numFmt w:val="bullet"/>
      <w:lvlText w:val="•"/>
      <w:lvlJc w:val="left"/>
      <w:pPr>
        <w:ind w:left="735" w:hanging="113"/>
      </w:pPr>
      <w:rPr>
        <w:rFonts w:hint="default"/>
        <w:lang w:val="zh-CN" w:eastAsia="zh-CN" w:bidi="zh-CN"/>
      </w:rPr>
    </w:lvl>
    <w:lvl w:ilvl="3" w:tentative="0">
      <w:start w:val="0"/>
      <w:numFmt w:val="bullet"/>
      <w:lvlText w:val="•"/>
      <w:lvlJc w:val="left"/>
      <w:pPr>
        <w:ind w:left="1083" w:hanging="113"/>
      </w:pPr>
      <w:rPr>
        <w:rFonts w:hint="default"/>
        <w:lang w:val="zh-CN" w:eastAsia="zh-CN" w:bidi="zh-CN"/>
      </w:rPr>
    </w:lvl>
    <w:lvl w:ilvl="4" w:tentative="0">
      <w:start w:val="0"/>
      <w:numFmt w:val="bullet"/>
      <w:lvlText w:val="•"/>
      <w:lvlJc w:val="left"/>
      <w:pPr>
        <w:ind w:left="1431" w:hanging="113"/>
      </w:pPr>
      <w:rPr>
        <w:rFonts w:hint="default"/>
        <w:lang w:val="zh-CN" w:eastAsia="zh-CN" w:bidi="zh-CN"/>
      </w:rPr>
    </w:lvl>
    <w:lvl w:ilvl="5" w:tentative="0">
      <w:start w:val="0"/>
      <w:numFmt w:val="bullet"/>
      <w:lvlText w:val="•"/>
      <w:lvlJc w:val="left"/>
      <w:pPr>
        <w:ind w:left="1779" w:hanging="113"/>
      </w:pPr>
      <w:rPr>
        <w:rFonts w:hint="default"/>
        <w:lang w:val="zh-CN" w:eastAsia="zh-CN" w:bidi="zh-CN"/>
      </w:rPr>
    </w:lvl>
    <w:lvl w:ilvl="6" w:tentative="0">
      <w:start w:val="0"/>
      <w:numFmt w:val="bullet"/>
      <w:lvlText w:val="•"/>
      <w:lvlJc w:val="left"/>
      <w:pPr>
        <w:ind w:left="2126" w:hanging="113"/>
      </w:pPr>
      <w:rPr>
        <w:rFonts w:hint="default"/>
        <w:lang w:val="zh-CN" w:eastAsia="zh-CN" w:bidi="zh-CN"/>
      </w:rPr>
    </w:lvl>
    <w:lvl w:ilvl="7" w:tentative="0">
      <w:start w:val="0"/>
      <w:numFmt w:val="bullet"/>
      <w:lvlText w:val="•"/>
      <w:lvlJc w:val="left"/>
      <w:pPr>
        <w:ind w:left="2474" w:hanging="113"/>
      </w:pPr>
      <w:rPr>
        <w:rFonts w:hint="default"/>
        <w:lang w:val="zh-CN" w:eastAsia="zh-CN" w:bidi="zh-CN"/>
      </w:rPr>
    </w:lvl>
    <w:lvl w:ilvl="8" w:tentative="0">
      <w:start w:val="0"/>
      <w:numFmt w:val="bullet"/>
      <w:lvlText w:val="•"/>
      <w:lvlJc w:val="left"/>
      <w:pPr>
        <w:ind w:left="2822" w:hanging="113"/>
      </w:pPr>
      <w:rPr>
        <w:rFonts w:hint="default"/>
        <w:lang w:val="zh-CN" w:eastAsia="zh-CN" w:bidi="zh-CN"/>
      </w:rPr>
    </w:lvl>
  </w:abstractNum>
  <w:abstractNum w:abstractNumId="3">
    <w:nsid w:val="25B654F3"/>
    <w:multiLevelType w:val="multilevel"/>
    <w:tmpl w:val="25B654F3"/>
    <w:lvl w:ilvl="0" w:tentative="0">
      <w:start w:val="1"/>
      <w:numFmt w:val="decimal"/>
      <w:lvlText w:val="%1."/>
      <w:lvlJc w:val="left"/>
      <w:pPr>
        <w:ind w:left="33" w:hanging="111"/>
        <w:jc w:val="left"/>
      </w:pPr>
      <w:rPr>
        <w:rFonts w:hint="default" w:ascii="Times New Roman" w:hAnsi="Times New Roman" w:eastAsia="Times New Roman" w:cs="Times New Roman"/>
        <w:spacing w:val="0"/>
        <w:w w:val="102"/>
        <w:sz w:val="12"/>
        <w:szCs w:val="12"/>
        <w:lang w:val="zh-CN" w:eastAsia="zh-CN" w:bidi="zh-CN"/>
      </w:rPr>
    </w:lvl>
    <w:lvl w:ilvl="1" w:tentative="0">
      <w:start w:val="0"/>
      <w:numFmt w:val="bullet"/>
      <w:lvlText w:val="•"/>
      <w:lvlJc w:val="left"/>
      <w:pPr>
        <w:ind w:left="385" w:hanging="111"/>
      </w:pPr>
      <w:rPr>
        <w:rFonts w:hint="default"/>
        <w:lang w:val="zh-CN" w:eastAsia="zh-CN" w:bidi="zh-CN"/>
      </w:rPr>
    </w:lvl>
    <w:lvl w:ilvl="2" w:tentative="0">
      <w:start w:val="0"/>
      <w:numFmt w:val="bullet"/>
      <w:lvlText w:val="•"/>
      <w:lvlJc w:val="left"/>
      <w:pPr>
        <w:ind w:left="730" w:hanging="111"/>
      </w:pPr>
      <w:rPr>
        <w:rFonts w:hint="default"/>
        <w:lang w:val="zh-CN" w:eastAsia="zh-CN" w:bidi="zh-CN"/>
      </w:rPr>
    </w:lvl>
    <w:lvl w:ilvl="3" w:tentative="0">
      <w:start w:val="0"/>
      <w:numFmt w:val="bullet"/>
      <w:lvlText w:val="•"/>
      <w:lvlJc w:val="left"/>
      <w:pPr>
        <w:ind w:left="1075" w:hanging="111"/>
      </w:pPr>
      <w:rPr>
        <w:rFonts w:hint="default"/>
        <w:lang w:val="zh-CN" w:eastAsia="zh-CN" w:bidi="zh-CN"/>
      </w:rPr>
    </w:lvl>
    <w:lvl w:ilvl="4" w:tentative="0">
      <w:start w:val="0"/>
      <w:numFmt w:val="bullet"/>
      <w:lvlText w:val="•"/>
      <w:lvlJc w:val="left"/>
      <w:pPr>
        <w:ind w:left="1420" w:hanging="111"/>
      </w:pPr>
      <w:rPr>
        <w:rFonts w:hint="default"/>
        <w:lang w:val="zh-CN" w:eastAsia="zh-CN" w:bidi="zh-CN"/>
      </w:rPr>
    </w:lvl>
    <w:lvl w:ilvl="5" w:tentative="0">
      <w:start w:val="0"/>
      <w:numFmt w:val="bullet"/>
      <w:lvlText w:val="•"/>
      <w:lvlJc w:val="left"/>
      <w:pPr>
        <w:ind w:left="1766" w:hanging="111"/>
      </w:pPr>
      <w:rPr>
        <w:rFonts w:hint="default"/>
        <w:lang w:val="zh-CN" w:eastAsia="zh-CN" w:bidi="zh-CN"/>
      </w:rPr>
    </w:lvl>
    <w:lvl w:ilvl="6" w:tentative="0">
      <w:start w:val="0"/>
      <w:numFmt w:val="bullet"/>
      <w:lvlText w:val="•"/>
      <w:lvlJc w:val="left"/>
      <w:pPr>
        <w:ind w:left="2111" w:hanging="111"/>
      </w:pPr>
      <w:rPr>
        <w:rFonts w:hint="default"/>
        <w:lang w:val="zh-CN" w:eastAsia="zh-CN" w:bidi="zh-CN"/>
      </w:rPr>
    </w:lvl>
    <w:lvl w:ilvl="7" w:tentative="0">
      <w:start w:val="0"/>
      <w:numFmt w:val="bullet"/>
      <w:lvlText w:val="•"/>
      <w:lvlJc w:val="left"/>
      <w:pPr>
        <w:ind w:left="2456" w:hanging="111"/>
      </w:pPr>
      <w:rPr>
        <w:rFonts w:hint="default"/>
        <w:lang w:val="zh-CN" w:eastAsia="zh-CN" w:bidi="zh-CN"/>
      </w:rPr>
    </w:lvl>
    <w:lvl w:ilvl="8" w:tentative="0">
      <w:start w:val="0"/>
      <w:numFmt w:val="bullet"/>
      <w:lvlText w:val="•"/>
      <w:lvlJc w:val="left"/>
      <w:pPr>
        <w:ind w:left="2801" w:hanging="111"/>
      </w:pPr>
      <w:rPr>
        <w:rFonts w:hint="default"/>
        <w:lang w:val="zh-CN" w:eastAsia="zh-CN" w:bidi="zh-CN"/>
      </w:rPr>
    </w:lvl>
  </w:abstractNum>
  <w:abstractNum w:abstractNumId="4">
    <w:nsid w:val="59ADCABA"/>
    <w:multiLevelType w:val="multilevel"/>
    <w:tmpl w:val="59ADCABA"/>
    <w:lvl w:ilvl="0" w:tentative="0">
      <w:start w:val="1"/>
      <w:numFmt w:val="decimal"/>
      <w:lvlText w:val="%1."/>
      <w:lvlJc w:val="left"/>
      <w:pPr>
        <w:ind w:left="33" w:hanging="113"/>
        <w:jc w:val="left"/>
      </w:pPr>
      <w:rPr>
        <w:rFonts w:hint="default" w:ascii="Times New Roman" w:hAnsi="Times New Roman" w:eastAsia="Times New Roman" w:cs="Times New Roman"/>
        <w:spacing w:val="1"/>
        <w:w w:val="102"/>
        <w:sz w:val="12"/>
        <w:szCs w:val="12"/>
        <w:lang w:val="zh-CN" w:eastAsia="zh-CN" w:bidi="zh-CN"/>
      </w:rPr>
    </w:lvl>
    <w:lvl w:ilvl="1" w:tentative="0">
      <w:start w:val="0"/>
      <w:numFmt w:val="bullet"/>
      <w:lvlText w:val="•"/>
      <w:lvlJc w:val="left"/>
      <w:pPr>
        <w:ind w:left="383" w:hanging="113"/>
      </w:pPr>
      <w:rPr>
        <w:rFonts w:hint="default"/>
        <w:lang w:val="zh-CN" w:eastAsia="zh-CN" w:bidi="zh-CN"/>
      </w:rPr>
    </w:lvl>
    <w:lvl w:ilvl="2" w:tentative="0">
      <w:start w:val="0"/>
      <w:numFmt w:val="bullet"/>
      <w:lvlText w:val="•"/>
      <w:lvlJc w:val="left"/>
      <w:pPr>
        <w:ind w:left="727" w:hanging="113"/>
      </w:pPr>
      <w:rPr>
        <w:rFonts w:hint="default"/>
        <w:lang w:val="zh-CN" w:eastAsia="zh-CN" w:bidi="zh-CN"/>
      </w:rPr>
    </w:lvl>
    <w:lvl w:ilvl="3" w:tentative="0">
      <w:start w:val="0"/>
      <w:numFmt w:val="bullet"/>
      <w:lvlText w:val="•"/>
      <w:lvlJc w:val="left"/>
      <w:pPr>
        <w:ind w:left="1071" w:hanging="113"/>
      </w:pPr>
      <w:rPr>
        <w:rFonts w:hint="default"/>
        <w:lang w:val="zh-CN" w:eastAsia="zh-CN" w:bidi="zh-CN"/>
      </w:rPr>
    </w:lvl>
    <w:lvl w:ilvl="4" w:tentative="0">
      <w:start w:val="0"/>
      <w:numFmt w:val="bullet"/>
      <w:lvlText w:val="•"/>
      <w:lvlJc w:val="left"/>
      <w:pPr>
        <w:ind w:left="1414" w:hanging="113"/>
      </w:pPr>
      <w:rPr>
        <w:rFonts w:hint="default"/>
        <w:lang w:val="zh-CN" w:eastAsia="zh-CN" w:bidi="zh-CN"/>
      </w:rPr>
    </w:lvl>
    <w:lvl w:ilvl="5" w:tentative="0">
      <w:start w:val="0"/>
      <w:numFmt w:val="bullet"/>
      <w:lvlText w:val="•"/>
      <w:lvlJc w:val="left"/>
      <w:pPr>
        <w:ind w:left="1758" w:hanging="113"/>
      </w:pPr>
      <w:rPr>
        <w:rFonts w:hint="default"/>
        <w:lang w:val="zh-CN" w:eastAsia="zh-CN" w:bidi="zh-CN"/>
      </w:rPr>
    </w:lvl>
    <w:lvl w:ilvl="6" w:tentative="0">
      <w:start w:val="0"/>
      <w:numFmt w:val="bullet"/>
      <w:lvlText w:val="•"/>
      <w:lvlJc w:val="left"/>
      <w:pPr>
        <w:ind w:left="2102" w:hanging="113"/>
      </w:pPr>
      <w:rPr>
        <w:rFonts w:hint="default"/>
        <w:lang w:val="zh-CN" w:eastAsia="zh-CN" w:bidi="zh-CN"/>
      </w:rPr>
    </w:lvl>
    <w:lvl w:ilvl="7" w:tentative="0">
      <w:start w:val="0"/>
      <w:numFmt w:val="bullet"/>
      <w:lvlText w:val="•"/>
      <w:lvlJc w:val="left"/>
      <w:pPr>
        <w:ind w:left="2445" w:hanging="113"/>
      </w:pPr>
      <w:rPr>
        <w:rFonts w:hint="default"/>
        <w:lang w:val="zh-CN" w:eastAsia="zh-CN" w:bidi="zh-CN"/>
      </w:rPr>
    </w:lvl>
    <w:lvl w:ilvl="8" w:tentative="0">
      <w:start w:val="0"/>
      <w:numFmt w:val="bullet"/>
      <w:lvlText w:val="•"/>
      <w:lvlJc w:val="left"/>
      <w:pPr>
        <w:ind w:left="2789" w:hanging="113"/>
      </w:pPr>
      <w:rPr>
        <w:rFonts w:hint="default"/>
        <w:lang w:val="zh-CN" w:eastAsia="zh-CN" w:bidi="zh-CN"/>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378"/>
    <w:rsid w:val="003230F6"/>
    <w:rsid w:val="003330B6"/>
    <w:rsid w:val="00387A12"/>
    <w:rsid w:val="00555467"/>
    <w:rsid w:val="00696378"/>
    <w:rsid w:val="00A833CF"/>
    <w:rsid w:val="00BE6BFC"/>
    <w:rsid w:val="08A7013A"/>
    <w:rsid w:val="0E3F05AC"/>
    <w:rsid w:val="0E791421"/>
    <w:rsid w:val="149724B1"/>
    <w:rsid w:val="15A925F7"/>
    <w:rsid w:val="168D03FE"/>
    <w:rsid w:val="17E32298"/>
    <w:rsid w:val="1B751ADB"/>
    <w:rsid w:val="1EF16DF3"/>
    <w:rsid w:val="27DF4DA7"/>
    <w:rsid w:val="2ABD41FD"/>
    <w:rsid w:val="2C0C255F"/>
    <w:rsid w:val="2CD37E94"/>
    <w:rsid w:val="31734CED"/>
    <w:rsid w:val="32416179"/>
    <w:rsid w:val="32A4419B"/>
    <w:rsid w:val="362F27D7"/>
    <w:rsid w:val="390D04AE"/>
    <w:rsid w:val="403C4623"/>
    <w:rsid w:val="44ED71E5"/>
    <w:rsid w:val="45DC552F"/>
    <w:rsid w:val="46356691"/>
    <w:rsid w:val="48C80802"/>
    <w:rsid w:val="4B961AA2"/>
    <w:rsid w:val="4D9C2FBE"/>
    <w:rsid w:val="4E372851"/>
    <w:rsid w:val="54193B32"/>
    <w:rsid w:val="5DFB2E94"/>
    <w:rsid w:val="5F4531B1"/>
    <w:rsid w:val="60662C1D"/>
    <w:rsid w:val="64AD62AA"/>
    <w:rsid w:val="662D27B7"/>
    <w:rsid w:val="66C870AC"/>
    <w:rsid w:val="6A5852ED"/>
    <w:rsid w:val="6C5A45D9"/>
    <w:rsid w:val="6E735581"/>
    <w:rsid w:val="70F50849"/>
    <w:rsid w:val="72E85A24"/>
    <w:rsid w:val="77595C49"/>
    <w:rsid w:val="7CC018AA"/>
    <w:rsid w:val="7D552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方正仿宋_GBK" w:hAnsi="方正仿宋_GBK" w:eastAsia="方正仿宋_GBK" w:cs="方正仿宋_GBK"/>
      <w:sz w:val="22"/>
      <w:szCs w:val="22"/>
      <w:lang w:val="zh-CN" w:eastAsia="zh-CN" w:bidi="zh-CN"/>
    </w:rPr>
  </w:style>
  <w:style w:type="character" w:default="1" w:styleId="6">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rPr>
      <w:rFonts w:ascii="方正小标宋_GBK" w:hAnsi="方正小标宋_GBK" w:eastAsia="方正小标宋_GBK" w:cs="方正小标宋_GBK"/>
      <w:sz w:val="36"/>
      <w:szCs w:val="36"/>
    </w:rPr>
  </w:style>
  <w:style w:type="paragraph" w:styleId="3">
    <w:name w:val="footer"/>
    <w:basedOn w:val="1"/>
    <w:qFormat/>
    <w:uiPriority w:val="0"/>
    <w:pPr>
      <w:tabs>
        <w:tab w:val="center" w:pos="4153"/>
        <w:tab w:val="right" w:pos="8306"/>
      </w:tabs>
      <w:snapToGrid w:val="0"/>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customStyle="1" w:styleId="7">
    <w:name w:val="Table Normal1"/>
    <w:semiHidden/>
    <w:unhideWhenUsed/>
    <w:qFormat/>
    <w:uiPriority w:val="2"/>
    <w:tblPr>
      <w:tblLayout w:type="fixed"/>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3563</Words>
  <Characters>20314</Characters>
  <Lines>169</Lines>
  <Paragraphs>47</Paragraphs>
  <TotalTime>64</TotalTime>
  <ScaleCrop>false</ScaleCrop>
  <LinksUpToDate>false</LinksUpToDate>
  <CharactersWithSpaces>23830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2019-11-07T08:00:00Z</dcterms:created>
  <dc:creator>Administrator</dc:creator>
  <cp:lastModifiedBy>Administrator</cp:lastModifiedBy>
  <cp:lastPrinted>2020-05-18T04:06:00Z</cp:lastPrinted>
  <dcterms:modified xsi:type="dcterms:W3CDTF">2020-06-03T03:37:43Z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2019-10-04T00:00:00Z</vt:filetime>
  </property>
  <property fmtid="{D5CDD505-2E9C-101B-9397-08002B2CF9AE}" pid="3" name="Creator">
    <vt:lpwstr>WPS 表格</vt:lpwstr>
  </property>
  <property fmtid="{D5CDD505-2E9C-101B-9397-08002B2CF9AE}" pid="4" name="LastSaved">
    <vt:filetime>2019-11-07T00:00:00Z</vt:filetime>
  </property>
  <property fmtid="{D5CDD505-2E9C-101B-9397-08002B2CF9AE}" pid="5" name="KSOProductBuildVer">
    <vt:lpwstr>2052-11.8.2.8621</vt:lpwstr>
  </property>
</Properties>
</file>