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F2D0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A042F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A526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b w:val="0"/>
          <w:bCs/>
          <w:kern w:val="0"/>
          <w:sz w:val="44"/>
          <w:szCs w:val="44"/>
          <w:lang w:eastAsia="zh-CN"/>
        </w:rPr>
        <w:t>米东区</w:t>
      </w:r>
      <w:r>
        <w:rPr>
          <w:rFonts w:hint="default" w:ascii="Times New Roman" w:hAnsi="Times New Roman" w:eastAsia="方正小标宋_GBK" w:cs="Times New Roman"/>
          <w:b w:val="0"/>
          <w:bCs/>
          <w:kern w:val="0"/>
          <w:sz w:val="44"/>
          <w:szCs w:val="44"/>
          <w:lang w:val="en-US" w:eastAsia="zh-CN"/>
        </w:rPr>
        <w:t>发展改革委</w:t>
      </w:r>
      <w:r>
        <w:rPr>
          <w:rFonts w:hint="eastAsia" w:ascii="Times New Roman" w:hAnsi="Times New Roman" w:eastAsia="方正小标宋_GBK" w:cs="Times New Roman"/>
          <w:b w:val="0"/>
          <w:bCs/>
          <w:kern w:val="0"/>
          <w:sz w:val="44"/>
          <w:szCs w:val="44"/>
          <w:lang w:val="en-US" w:eastAsia="zh-CN"/>
        </w:rPr>
        <w:t>（国动办&lt;人防办&gt;、粮食和物资储备局）</w:t>
      </w:r>
      <w:r>
        <w:rPr>
          <w:rFonts w:hint="eastAsia" w:ascii="方正小标宋_GBK" w:hAnsi="方正小标宋_GBK" w:eastAsia="方正小标宋_GBK" w:cs="方正小标宋_GBK"/>
          <w:sz w:val="44"/>
          <w:szCs w:val="44"/>
        </w:rPr>
        <w:t>权责清单（行政处罚类）</w:t>
      </w:r>
    </w:p>
    <w:p w14:paraId="6BB80E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499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1001"/>
        <w:gridCol w:w="917"/>
        <w:gridCol w:w="816"/>
        <w:gridCol w:w="4519"/>
        <w:gridCol w:w="905"/>
        <w:gridCol w:w="790"/>
        <w:gridCol w:w="606"/>
        <w:gridCol w:w="1703"/>
        <w:gridCol w:w="965"/>
        <w:gridCol w:w="1647"/>
        <w:gridCol w:w="1424"/>
        <w:gridCol w:w="1085"/>
        <w:gridCol w:w="2543"/>
        <w:gridCol w:w="527"/>
      </w:tblGrid>
      <w:tr w14:paraId="1070A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118" w:type="pct"/>
            <w:vAlign w:val="center"/>
          </w:tcPr>
          <w:p w14:paraId="5001A2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251" w:type="pct"/>
            <w:vAlign w:val="center"/>
          </w:tcPr>
          <w:p w14:paraId="310A34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230" w:type="pct"/>
            <w:vAlign w:val="center"/>
          </w:tcPr>
          <w:p w14:paraId="506BDD8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204" w:type="pct"/>
            <w:vAlign w:val="center"/>
          </w:tcPr>
          <w:p w14:paraId="66CD16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1134" w:type="pct"/>
            <w:vAlign w:val="center"/>
          </w:tcPr>
          <w:p w14:paraId="7DE93D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227" w:type="pct"/>
            <w:vAlign w:val="center"/>
          </w:tcPr>
          <w:p w14:paraId="7D9740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198" w:type="pct"/>
            <w:vAlign w:val="center"/>
          </w:tcPr>
          <w:p w14:paraId="63B9A7E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579" w:type="pct"/>
            <w:gridSpan w:val="2"/>
            <w:vAlign w:val="center"/>
          </w:tcPr>
          <w:p w14:paraId="6CD637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242" w:type="pct"/>
            <w:vAlign w:val="center"/>
          </w:tcPr>
          <w:p w14:paraId="5011EC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413" w:type="pct"/>
            <w:vAlign w:val="center"/>
          </w:tcPr>
          <w:p w14:paraId="49EF56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357" w:type="pct"/>
            <w:vAlign w:val="center"/>
          </w:tcPr>
          <w:p w14:paraId="4238C0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272" w:type="pct"/>
            <w:vAlign w:val="center"/>
          </w:tcPr>
          <w:p w14:paraId="3323C1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7E5B4B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638" w:type="pct"/>
            <w:vAlign w:val="center"/>
          </w:tcPr>
          <w:p w14:paraId="467F5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132" w:type="pct"/>
            <w:vAlign w:val="center"/>
          </w:tcPr>
          <w:p w14:paraId="67AD660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07D34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118" w:type="pct"/>
            <w:vAlign w:val="center"/>
          </w:tcPr>
          <w:p w14:paraId="09E2B2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1</w:t>
            </w:r>
          </w:p>
        </w:tc>
        <w:tc>
          <w:tcPr>
            <w:tcW w:w="251" w:type="pct"/>
            <w:vAlign w:val="center"/>
          </w:tcPr>
          <w:p w14:paraId="24B10E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对企业未依法将项目信息或者已备案项目信息变更情况告知备案机关，或者向备案机关提供虚假信息的处罚</w:t>
            </w:r>
          </w:p>
        </w:tc>
        <w:tc>
          <w:tcPr>
            <w:tcW w:w="230" w:type="pct"/>
            <w:vAlign w:val="center"/>
          </w:tcPr>
          <w:p w14:paraId="2CD8FA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0DE9DC73">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2AE856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【法规】《企业投资项目核准和备案管理条例》（2016年10月8日国务院第149次常务会议通过，2016年12月14日国务院令第673号公布，自2017年2月1日起施行。）</w:t>
            </w:r>
          </w:p>
          <w:p w14:paraId="6905FF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第十九条：实行备案管理的项目，企业未依照本条例规定将项目信息或者已备案项目的信息变更情况告知备案机关，或者向备案机关提供虚假信息的，由备案机关责令限期改正；逾期不改正的，处2万元以上5万元以下的罚款。</w:t>
            </w:r>
          </w:p>
          <w:p w14:paraId="5C7112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【规章】《企业投资项目核准和备案管理办法》（2017年3月8日国家发展改革委令第2号公布，自2017年4月8日施行。）</w:t>
            </w:r>
          </w:p>
          <w:p w14:paraId="0C1105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第五十七条：实行备案管理的项目，企业未依法将项目信息或者已备案项目信息变更情况告知备案机关，或者向备案机关提供虚假信息的，由备案机关责令限期改正；逾期不改正的，处2万元以上5万元以下的罚款。</w:t>
            </w:r>
          </w:p>
          <w:p w14:paraId="1ED36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【规章】《企业投资项目事中事后监管办法》（2018年1月4日国家发展改革委令第14号公布，自2018年2月4日施行）</w:t>
            </w:r>
          </w:p>
          <w:p w14:paraId="79FA53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第十七条：已开工备案项目未如实、及时报送建设实施基本信息的，备案机关应当责令项目单位予以纠正；拒不纠正的，给予警告。</w:t>
            </w:r>
          </w:p>
          <w:p w14:paraId="0C6CBB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第十八条：项目建设与备案信息不符的，备案机关应当责令限期改正；逾期不改正的，依法处以罚款并列入失信企业名单，向社会公开。</w:t>
            </w:r>
          </w:p>
        </w:tc>
        <w:tc>
          <w:tcPr>
            <w:tcW w:w="227" w:type="pct"/>
            <w:vAlign w:val="center"/>
          </w:tcPr>
          <w:p w14:paraId="0E2910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县市区发展和改革委员会</w:t>
            </w:r>
          </w:p>
        </w:tc>
        <w:tc>
          <w:tcPr>
            <w:tcW w:w="198" w:type="pct"/>
            <w:vAlign w:val="center"/>
          </w:tcPr>
          <w:p w14:paraId="0F4AD5A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p w14:paraId="7B3245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557064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63C732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144C8F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7810F0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772E1F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356CB5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2537D7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74C16A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5691B9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1462EA1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5D289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项目建设管理办公室</w:t>
            </w:r>
          </w:p>
        </w:tc>
        <w:tc>
          <w:tcPr>
            <w:tcW w:w="152" w:type="pct"/>
            <w:vAlign w:val="center"/>
          </w:tcPr>
          <w:p w14:paraId="5AD77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县市区级</w:t>
            </w:r>
          </w:p>
        </w:tc>
        <w:tc>
          <w:tcPr>
            <w:tcW w:w="427" w:type="pct"/>
            <w:vAlign w:val="center"/>
          </w:tcPr>
          <w:p w14:paraId="017461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负责辖区内对企业未依法将项目信息或者已备案项目信息变更情况告知备案机关，或者向备案机关提供虚假信息的处罚</w:t>
            </w:r>
          </w:p>
        </w:tc>
        <w:tc>
          <w:tcPr>
            <w:tcW w:w="242" w:type="pct"/>
            <w:vAlign w:val="center"/>
          </w:tcPr>
          <w:p w14:paraId="7B2799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负责县市区级对企业未依法将项目信息或者已备案项目信息变更情况告知备案机关，或者向备案机关提供虚假信息的处罚</w:t>
            </w:r>
          </w:p>
        </w:tc>
        <w:tc>
          <w:tcPr>
            <w:tcW w:w="413" w:type="pct"/>
            <w:vAlign w:val="center"/>
          </w:tcPr>
          <w:p w14:paraId="1FB578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直接实施责任：</w:t>
            </w:r>
          </w:p>
          <w:p w14:paraId="202BE6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1.全面客观公正调查取据，最少两人进行执法，并应当向当事人或者有关人员出示证件，询问或者检查应当制作笔录。</w:t>
            </w:r>
          </w:p>
          <w:p w14:paraId="4FA184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2.在收集证据时，在证据可能灭失或者以后难以取得的情况下，经行政机关负责人批准，可以先行登记保存，并应当在七日内及时作出处理决定。</w:t>
            </w:r>
          </w:p>
          <w:p w14:paraId="2CA7DD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699074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00C68D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第五章、第六章、第七章。</w:t>
            </w:r>
          </w:p>
        </w:tc>
        <w:tc>
          <w:tcPr>
            <w:tcW w:w="272" w:type="pct"/>
            <w:vAlign w:val="center"/>
          </w:tcPr>
          <w:p w14:paraId="654BC9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648351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5581C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5D5CB0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380EDC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6F1A5C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705404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50A89DA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2182E0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59D2E6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41ACCE4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19949E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0ECE72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50289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118" w:type="pct"/>
            <w:vAlign w:val="center"/>
          </w:tcPr>
          <w:p w14:paraId="73BB10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2</w:t>
            </w:r>
          </w:p>
        </w:tc>
        <w:tc>
          <w:tcPr>
            <w:tcW w:w="251" w:type="pct"/>
            <w:vAlign w:val="center"/>
          </w:tcPr>
          <w:p w14:paraId="7D698AC8">
            <w:pPr>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对企业投资建设产业政策禁止投资建设项目的处罚</w:t>
            </w:r>
          </w:p>
        </w:tc>
        <w:tc>
          <w:tcPr>
            <w:tcW w:w="230" w:type="pct"/>
            <w:vAlign w:val="center"/>
          </w:tcPr>
          <w:p w14:paraId="1DBFB5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527B9AEA">
            <w:pPr>
              <w:keepNext w:val="0"/>
              <w:keepLines w:val="0"/>
              <w:pageBreakBefore w:val="0"/>
              <w:widowControl w:val="0"/>
              <w:numPr>
                <w:ilvl w:val="0"/>
                <w:numId w:val="0"/>
              </w:numPr>
              <w:kinsoku/>
              <w:wordWrap/>
              <w:overflowPunct/>
              <w:topLinePunct w:val="0"/>
              <w:autoSpaceDE/>
              <w:autoSpaceDN/>
              <w:bidi w:val="0"/>
              <w:adjustRightInd/>
              <w:snapToGrid/>
              <w:spacing w:line="480" w:lineRule="auto"/>
              <w:ind w:leftChars="0"/>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2FCEF5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【法规】《企业投资项目核准和备案管理条例》（2016年10月8日国务院第149次常务会议通过，2016年12月14日国务院令第673号公布，自2017年2月1日起施行。）</w:t>
            </w:r>
          </w:p>
          <w:p w14:paraId="6CE16A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二十条：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p w14:paraId="182E6E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【规章】《企业投资项目核准和备案管理办法》（2017年3月8日国家发展改革委令第2号公布，自2017年4月8日施行。）</w:t>
            </w:r>
          </w:p>
          <w:p w14:paraId="385186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十八条：企业投资建设产业政策禁止投资建设项目的，由县级以上人民政府投资主管部门责令停止建设或者责令停产并恢复原状，对企业处项目总投资额5‰以上10‰以下的罚款；对直接负责的主管人员和其他直接责任人员处5万元以上10万元以下的罚款，属于国家工作人员的，依法给予处分。法律、行政法规另有规定的，依照其规定。</w:t>
            </w:r>
          </w:p>
          <w:p w14:paraId="1C8FAFF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【规章】《企业投资项目事中事后监管办法》（2018年1月4日国家发展改革委令第14号公布，自2018年2月4日施行）</w:t>
            </w:r>
          </w:p>
          <w:p w14:paraId="4D0CE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第十一条第二款：对于有关部门依法认定项目建设内容属于产业政策禁止投资建设的，核准机关应当依法责令停止建设或者责令停产并恢复原状，并依法处以罚款。</w:t>
            </w:r>
          </w:p>
          <w:p w14:paraId="48D060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第二十条：对本行政区域内的已开工项目，经有关部门依法认定属于产业政策禁止投资建设的，县级以上发展改革部门应当依法责令停止建设或者责令停产并恢复原状，并依法处以罚款。</w:t>
            </w:r>
          </w:p>
        </w:tc>
        <w:tc>
          <w:tcPr>
            <w:tcW w:w="227" w:type="pct"/>
            <w:vAlign w:val="center"/>
          </w:tcPr>
          <w:p w14:paraId="20BDDB2C">
            <w:pPr>
              <w:jc w:val="center"/>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7B9E66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3ACADE0C">
            <w:pPr>
              <w:jc w:val="center"/>
              <w:rPr>
                <w:rFonts w:hint="eastAsia" w:asciiTheme="minorEastAsia" w:hAnsiTheme="minorEastAsia" w:eastAsiaTheme="minorEastAsia" w:cstheme="minorEastAsia"/>
                <w:sz w:val="24"/>
                <w:szCs w:val="24"/>
                <w:vertAlign w:val="baseline"/>
              </w:rPr>
            </w:pPr>
            <w:r>
              <w:rPr>
                <w:rFonts w:hint="eastAsia" w:asciiTheme="minorEastAsia" w:hAnsiTheme="minorEastAsia" w:cstheme="minorEastAsia"/>
                <w:sz w:val="24"/>
                <w:szCs w:val="24"/>
                <w:vertAlign w:val="baseline"/>
                <w:lang w:val="en-US" w:eastAsia="zh-CN"/>
              </w:rPr>
              <w:t>项目建设管理办公室</w:t>
            </w:r>
          </w:p>
        </w:tc>
        <w:tc>
          <w:tcPr>
            <w:tcW w:w="152" w:type="pct"/>
            <w:vAlign w:val="center"/>
          </w:tcPr>
          <w:p w14:paraId="2121C7AB">
            <w:pPr>
              <w:jc w:val="center"/>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014A5009">
            <w:pPr>
              <w:jc w:val="center"/>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负责辖区内对企业投资建设产业政策禁止投资建设项目的处罚</w:t>
            </w:r>
          </w:p>
        </w:tc>
        <w:tc>
          <w:tcPr>
            <w:tcW w:w="242" w:type="pct"/>
            <w:vAlign w:val="center"/>
          </w:tcPr>
          <w:p w14:paraId="3ED09F59">
            <w:pPr>
              <w:jc w:val="center"/>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对县市区级投资项目履行综合管理职能，负责县市区级对企业投资建设产业政策禁止投资建设项目的处罚</w:t>
            </w:r>
          </w:p>
        </w:tc>
        <w:tc>
          <w:tcPr>
            <w:tcW w:w="413" w:type="pct"/>
            <w:vAlign w:val="center"/>
          </w:tcPr>
          <w:p w14:paraId="56CB0AB6">
            <w:pPr>
              <w:jc w:val="center"/>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059AB5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0634CD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6E224B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668677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78FDFC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29F745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0395F6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354D37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73F04C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49C90A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513C22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474A2E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55547B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5AD707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469926B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3991E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2" w:hRule="atLeast"/>
        </w:trPr>
        <w:tc>
          <w:tcPr>
            <w:tcW w:w="118" w:type="pct"/>
            <w:vAlign w:val="center"/>
          </w:tcPr>
          <w:p w14:paraId="39008F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3</w:t>
            </w:r>
          </w:p>
        </w:tc>
        <w:tc>
          <w:tcPr>
            <w:tcW w:w="251" w:type="pct"/>
            <w:vAlign w:val="center"/>
          </w:tcPr>
          <w:p w14:paraId="4A65107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对石油天然气管道保护不力、危害石油天然气管道安全行为的处罚</w:t>
            </w:r>
          </w:p>
        </w:tc>
        <w:tc>
          <w:tcPr>
            <w:tcW w:w="230" w:type="pct"/>
            <w:vAlign w:val="center"/>
          </w:tcPr>
          <w:p w14:paraId="6E3E76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36513A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66C856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【法律】《中华人民共和国石油天然气管道保护法》（2010年6月25日第十一届全国人民代表大会常务委员会第十五次会议通过，国家主席令第30号公布，自2010年10月1日起施行）</w:t>
            </w:r>
          </w:p>
          <w:p w14:paraId="1FB59C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十条：管道企业有下列行为之一的，由县级以上地方人民政府主管管道保护工作的部门责令限期改正；逾期不改正的，处2万元以上10万元以下的罚款；对直接负责的主管人员和其他直接责任人员给予处分：（一）未依照本法规定对管道进行巡护、检测和维修的；（二）对不符合安全使用条件的管道未及时更新、改造或者停止使用的；（三）未依照本法规定设置、修复或者更新有关管道标志的；（四）未依照本法规定将管道竣工测量图报人民政府主管管道保护工作的部门备案的；（五）未制定本企业管道事故应急预案，或者未将本企业管道事故应急预案报人民政府主管管道保护工作的部门备案的；（六）发生管道事故，未采取有效措施消除或者减轻事故危害的；（七）未对停止运行、封存、报废的管道采取必要的安全防护措施的。</w:t>
            </w:r>
          </w:p>
          <w:p w14:paraId="2E6652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十二条：违反本法第二十九条、第三十条、第三十二条或者第三十三条第一款的规定，实施危害管道安全行为的，由县级以上地方人民政府主管管道保护工作的部门责令停止违法行为；情节较重的，对单位处1万元以上10万元以下的罚款，对个人处200元以上2000元以下的罚款；对违法修建的建筑物、构筑物或者其他设施限期拆除；逾期未拆除的，由县级以上地方人民政府主管管道保护工作的部门组织拆除，所需费用由违法行为人承担。</w:t>
            </w:r>
          </w:p>
          <w:p w14:paraId="7D59E5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十三条：未经依法批准，进行本法第三十三条第二款或者第三十五条规定的施工作业的，由县级以上地方人民政府主管管道保护工作的部门责令停止违法行为；情节较重的，处1万元以上5万元以下的罚款；对违法修建的危害管道安全的建筑物、构筑物或者其他设施限期拆除；逾期未拆除的，由县级以上地方人民政府主管管道保护工作的部门组织拆除，所需费用由违法行为人承担。</w:t>
            </w:r>
          </w:p>
          <w:p w14:paraId="0178C8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十四条：违反本法规定，有下列行为之一的，由县级以上地方人民政府主管管道保护工作的部门责令改正；情节严重的，处200元以上1000元以下的罚款：（一）擅自开启、关闭管道阀门的；（二）移动、毁损、涂改管道标志的；（三）在埋地管道上方巡查便道上行驶重型车辆的；（四）在地面管道线路、架空管道线路和管桥上行走或者放置重物的；（五）阻碍依法进行的管道建设的。</w:t>
            </w:r>
          </w:p>
        </w:tc>
        <w:tc>
          <w:tcPr>
            <w:tcW w:w="227" w:type="pct"/>
            <w:vAlign w:val="center"/>
          </w:tcPr>
          <w:p w14:paraId="3641AB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568EA68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能源监督管理办公室</w:t>
            </w:r>
          </w:p>
        </w:tc>
        <w:tc>
          <w:tcPr>
            <w:tcW w:w="152" w:type="pct"/>
            <w:vAlign w:val="center"/>
          </w:tcPr>
          <w:p w14:paraId="58E039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25F5A1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负责辖区内对石油天然气管道保护不力、危害石油天然气管道安全行为的处罚</w:t>
            </w:r>
          </w:p>
        </w:tc>
        <w:tc>
          <w:tcPr>
            <w:tcW w:w="242" w:type="pct"/>
            <w:vAlign w:val="center"/>
          </w:tcPr>
          <w:p w14:paraId="36C21E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负责辖区内危害管道安全的违法行为的依法查处</w:t>
            </w:r>
          </w:p>
        </w:tc>
        <w:tc>
          <w:tcPr>
            <w:tcW w:w="413" w:type="pct"/>
            <w:vAlign w:val="center"/>
          </w:tcPr>
          <w:p w14:paraId="78E241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3C6B375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25F719A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6FDBEE0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19FEC2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6F6FEA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63402D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3032BD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6D33E7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52D700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34567D6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122A0D2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0D55F4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64046F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583686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3FD332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41E59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0" w:hRule="atLeast"/>
        </w:trPr>
        <w:tc>
          <w:tcPr>
            <w:tcW w:w="118" w:type="pct"/>
            <w:vAlign w:val="center"/>
          </w:tcPr>
          <w:p w14:paraId="31DE30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eastAsia" w:asciiTheme="minorEastAsia" w:hAnsiTheme="minorEastAsia" w:eastAsiaTheme="minorEastAsia" w:cstheme="minorEastAsia"/>
                <w:sz w:val="24"/>
                <w:szCs w:val="24"/>
                <w:vertAlign w:val="baseline"/>
                <w:lang w:val="en-US" w:eastAsia="zh-CN"/>
              </w:rPr>
              <w:t>4</w:t>
            </w:r>
          </w:p>
        </w:tc>
        <w:tc>
          <w:tcPr>
            <w:tcW w:w="251" w:type="pct"/>
            <w:vAlign w:val="center"/>
          </w:tcPr>
          <w:p w14:paraId="15C574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重点用能单位未按照法律规定报送能源利用状况报告或者报告内容不实的、无正当理由拒不落实整改要求或者整改没有达到要求的、未按照规定设立能源管理岗位，聘任能源管理负责人，并报管理节能工作的部门和有关部门备案的处罚</w:t>
            </w:r>
          </w:p>
        </w:tc>
        <w:tc>
          <w:tcPr>
            <w:tcW w:w="230" w:type="pct"/>
            <w:vAlign w:val="center"/>
          </w:tcPr>
          <w:p w14:paraId="5E7CA1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4DD7C6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69C8C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节约能源法》（1997年11月1日第八届全国人民代表大会常务委员会第二十八次会议通过，根据2018年10月26日第十三届全国人民代表大会常务委员会第六次会议《关于修改〈中华人民共和国野生动物保护法〉等十五部法律的决定》第二次修正）</w:t>
            </w:r>
          </w:p>
          <w:p w14:paraId="329D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第八十二条：重点用能单位未按照本法规定报送能源利用状况报告或者报告内容不实的，由管理节能工作的部门责令限期改正；逾期不改正的，处一万元以上五万元以下罚款。</w:t>
            </w:r>
          </w:p>
          <w:p w14:paraId="5145120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第八十三条：重点用能单位无正当理由拒不落实本法第五十四条规定的整改要求或者整改没有达到要求的，由管理节能工作的部门处十万元以上三十万元以下罚款。 </w:t>
            </w:r>
          </w:p>
          <w:p w14:paraId="39FC8A6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第八十四条：重点用能单位未按照本法规定设立能源管理岗位，聘任能源管理负责人，并报管理节能工作的部门和有关部门备案的，由管理节能工作的部门责令改正；拒不改正的，处一万元以上三万元以下罚款。</w:t>
            </w:r>
          </w:p>
        </w:tc>
        <w:tc>
          <w:tcPr>
            <w:tcW w:w="227" w:type="pct"/>
            <w:vAlign w:val="center"/>
          </w:tcPr>
          <w:p w14:paraId="6183D28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01F0D6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能源监督管理办公室</w:t>
            </w:r>
          </w:p>
        </w:tc>
        <w:tc>
          <w:tcPr>
            <w:tcW w:w="152" w:type="pct"/>
            <w:vAlign w:val="center"/>
          </w:tcPr>
          <w:p w14:paraId="4D1F10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3997C6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负责辖区内对重点用能单位未按照法律规定报送能源利用状况报告或者报告内容不实的、无正当理由拒不落实整改要求或者整改没有达到要求的、未按照规定设立能源管理岗位，聘任能源管理负责人，并报管理节能工作的部门和有关部门备案的处罚</w:t>
            </w:r>
          </w:p>
        </w:tc>
        <w:tc>
          <w:tcPr>
            <w:tcW w:w="242" w:type="pct"/>
            <w:vAlign w:val="center"/>
          </w:tcPr>
          <w:p w14:paraId="05E8CA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负责本行政区域内的节能综合监督管理工作</w:t>
            </w:r>
          </w:p>
        </w:tc>
        <w:tc>
          <w:tcPr>
            <w:tcW w:w="413" w:type="pct"/>
            <w:vAlign w:val="center"/>
          </w:tcPr>
          <w:p w14:paraId="5A3A54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7E05EC0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6686C7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473325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068B3B5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5BCF66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0CD300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261CCE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359BAB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394EF2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7CCB21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4DDBD4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353D13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2DA80D6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688452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418331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55E1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50" w:hRule="atLeast"/>
        </w:trPr>
        <w:tc>
          <w:tcPr>
            <w:tcW w:w="118" w:type="pct"/>
            <w:vAlign w:val="center"/>
          </w:tcPr>
          <w:p w14:paraId="7918F5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w:t>
            </w:r>
          </w:p>
        </w:tc>
        <w:tc>
          <w:tcPr>
            <w:tcW w:w="251" w:type="pct"/>
            <w:vAlign w:val="center"/>
          </w:tcPr>
          <w:p w14:paraId="18B8DEB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对无偿向本单位职工提供能源或者对能源消费实行包费制的处罚</w:t>
            </w:r>
          </w:p>
        </w:tc>
        <w:tc>
          <w:tcPr>
            <w:tcW w:w="230" w:type="pct"/>
            <w:vAlign w:val="center"/>
          </w:tcPr>
          <w:p w14:paraId="24A011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24C6B5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0298B7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节约能源法》（1997年11月1日第八届全国人民代表大会常务委员会第二十八次会议通过，根据2018年10月26日第十三届全国人民代表大会常务委员会第六次会议《关于修改〈中华人民共和国野生动物保护法〉等十五部法律的决定》第二次修正）</w:t>
            </w:r>
          </w:p>
          <w:p w14:paraId="750544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第七十七条：违反本法规定，无偿向本单位职工提供能源或者对能源消费实行包费制的，由管理节能工作的部门责令限期改正；逾期不改正的，处五万元以上二十万元以下罚款。</w:t>
            </w:r>
          </w:p>
        </w:tc>
        <w:tc>
          <w:tcPr>
            <w:tcW w:w="227" w:type="pct"/>
            <w:vAlign w:val="center"/>
          </w:tcPr>
          <w:p w14:paraId="07E674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20B565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能源监督管理办公室</w:t>
            </w:r>
          </w:p>
        </w:tc>
        <w:tc>
          <w:tcPr>
            <w:tcW w:w="152" w:type="pct"/>
            <w:vAlign w:val="center"/>
          </w:tcPr>
          <w:p w14:paraId="032B88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3E6E1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负责辖区内对无偿向本单位职工提供能源或者对能源消费实行包费制的处罚</w:t>
            </w:r>
          </w:p>
        </w:tc>
        <w:tc>
          <w:tcPr>
            <w:tcW w:w="242" w:type="pct"/>
            <w:vAlign w:val="center"/>
          </w:tcPr>
          <w:p w14:paraId="48D04C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负责本行政区域内的节能综合监督管理工作</w:t>
            </w:r>
          </w:p>
        </w:tc>
        <w:tc>
          <w:tcPr>
            <w:tcW w:w="413" w:type="pct"/>
            <w:vAlign w:val="center"/>
          </w:tcPr>
          <w:p w14:paraId="5B6A75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6A6045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1B514E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485AEE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4EA843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56D30C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371B11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58DDD2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53D69F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5FE3F9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68DCD0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7235065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332E4E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2392E9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18502D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214347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4B278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0" w:hRule="atLeast"/>
        </w:trPr>
        <w:tc>
          <w:tcPr>
            <w:tcW w:w="118" w:type="pct"/>
            <w:vAlign w:val="center"/>
          </w:tcPr>
          <w:p w14:paraId="414F5C8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w:t>
            </w:r>
          </w:p>
        </w:tc>
        <w:tc>
          <w:tcPr>
            <w:tcW w:w="251" w:type="pct"/>
            <w:vAlign w:val="center"/>
          </w:tcPr>
          <w:p w14:paraId="64D36D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对从事节能咨询、设计、评估、检测、审计、认证等服务的机构提供虚假信息的处罚</w:t>
            </w:r>
          </w:p>
        </w:tc>
        <w:tc>
          <w:tcPr>
            <w:tcW w:w="230" w:type="pct"/>
            <w:vAlign w:val="center"/>
          </w:tcPr>
          <w:p w14:paraId="28F98F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1DCDB9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7A2E51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【法律】《中华人民共和国节约能源法》</w:t>
            </w:r>
            <w:r>
              <w:rPr>
                <w:rFonts w:hint="eastAsia" w:asciiTheme="minorEastAsia" w:hAnsiTheme="minorEastAsia" w:cstheme="minorEastAsia"/>
                <w:sz w:val="24"/>
                <w:szCs w:val="24"/>
                <w:vertAlign w:val="baseline"/>
                <w:lang w:val="en-US" w:eastAsia="zh-CN"/>
              </w:rPr>
              <w:t>(</w:t>
            </w:r>
            <w:r>
              <w:rPr>
                <w:rFonts w:hint="eastAsia" w:asciiTheme="minorEastAsia" w:hAnsiTheme="minorEastAsia" w:eastAsiaTheme="minorEastAsia" w:cstheme="minorEastAsia"/>
                <w:sz w:val="24"/>
                <w:szCs w:val="24"/>
                <w:vertAlign w:val="baseline"/>
              </w:rPr>
              <w:t>1997年11月1日第八届全国人民代表大会常务委员会第二十八次会议通过，根据2018年10月26日第十三届全国人民代表大会常务委员会第六次会议《关于修改〈中华人民共和国野生动物保护法〉等十五部法律的决定》第二次修正）</w:t>
            </w:r>
          </w:p>
          <w:p w14:paraId="6EA5D8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第七十六条：从事节能咨询、设计、评估、检测、审计、认证等服务的机构提供虚假信息的，由管理节能工作的部门责令改正，没收违法所得，并处五万元以上十万元以下罚款。  </w:t>
            </w:r>
          </w:p>
        </w:tc>
        <w:tc>
          <w:tcPr>
            <w:tcW w:w="227" w:type="pct"/>
            <w:vAlign w:val="center"/>
          </w:tcPr>
          <w:p w14:paraId="6CB0A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6D8087D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能源监督管理办公室</w:t>
            </w:r>
          </w:p>
        </w:tc>
        <w:tc>
          <w:tcPr>
            <w:tcW w:w="152" w:type="pct"/>
            <w:vAlign w:val="center"/>
          </w:tcPr>
          <w:p w14:paraId="02FE6C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0CB1CE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负责辖区内对从事节能咨询、设计、评估、检测、审计、认证等服务的机构提供虚假信息的处罚</w:t>
            </w:r>
          </w:p>
        </w:tc>
        <w:tc>
          <w:tcPr>
            <w:tcW w:w="242" w:type="pct"/>
            <w:vAlign w:val="center"/>
          </w:tcPr>
          <w:p w14:paraId="497A53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负责本行政区域内的节能综合监督管理工作</w:t>
            </w:r>
          </w:p>
        </w:tc>
        <w:tc>
          <w:tcPr>
            <w:tcW w:w="413" w:type="pct"/>
            <w:vAlign w:val="center"/>
          </w:tcPr>
          <w:p w14:paraId="3D9256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1D4BA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211C8EB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7DF055D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7D723D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6F112E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4D45D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17DCF7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607FBC5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10BCD0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42C35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2F2234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115A47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1D3559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5D13A63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344E565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r w14:paraId="28162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118" w:type="pct"/>
            <w:vAlign w:val="center"/>
          </w:tcPr>
          <w:p w14:paraId="7D3FED0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7</w:t>
            </w:r>
          </w:p>
        </w:tc>
        <w:tc>
          <w:tcPr>
            <w:tcW w:w="251" w:type="pct"/>
            <w:vAlign w:val="center"/>
          </w:tcPr>
          <w:p w14:paraId="01FF01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对使用国家明令淘汰的用能设备或者生产工艺的处罚</w:t>
            </w:r>
          </w:p>
        </w:tc>
        <w:tc>
          <w:tcPr>
            <w:tcW w:w="230" w:type="pct"/>
            <w:vAlign w:val="center"/>
          </w:tcPr>
          <w:p w14:paraId="19F6A9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c>
          <w:tcPr>
            <w:tcW w:w="204" w:type="pct"/>
            <w:vAlign w:val="center"/>
          </w:tcPr>
          <w:p w14:paraId="484CE0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行政处罚</w:t>
            </w:r>
          </w:p>
        </w:tc>
        <w:tc>
          <w:tcPr>
            <w:tcW w:w="1134" w:type="pct"/>
            <w:vAlign w:val="center"/>
          </w:tcPr>
          <w:p w14:paraId="606C55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节约能源法》（1997年11月1日第八届全国人民代表大会常务委员会第二十八次会议通过，根据2018年10月26日第十三届全国人民代表大会常务委员会第六次会议《关于修改〈中华人民共和国野生动物保护法〉等十五部法律的决定》第二次修正）</w:t>
            </w:r>
          </w:p>
          <w:p w14:paraId="6697E2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七十一条：使用国家明令淘汰的用能设备或者生产工艺的，由管理节能工作的部门责令停止使用，没收国家明令淘汰的用能设备；情节严重的，可以由管理节能工作的部门提出意见，报请本级人民政府按照国务院规定的权限责令停业整顿或者关闭。</w:t>
            </w:r>
          </w:p>
          <w:p w14:paraId="2993FE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【法规】《新疆维吾尔自治区实施〈中华人民共和国节约能源法〉办法》（2013年新疆维吾尔自治区人民代表大会常务委员会公告第4号）</w:t>
            </w:r>
          </w:p>
          <w:p w14:paraId="5ACD94A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四十一条第二款：违反本办法第十六条第二款规定，使用国家和自治区明令淘汰的用能设备和生产工艺的，由县级以上人民政府节能主管部门责令停止使用，没收明令淘汰的用能设备；情节严重的，报请本级人民政府按照国务院规定的权限责令停业整顿或者关闭。 </w:t>
            </w:r>
          </w:p>
          <w:p w14:paraId="2A0CC0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四十一条第三款：违反本办法第十六条第三款规定，转让、出租或者出借国家和自治区明令淘汰的用能产品、设备、生产工艺给他人使用的，由县级以上人民政府节能主管部门和有关部门按职责分工，责令停止违法行为，没收转让、出租或者出借的用能产品、设备、生产工艺，处该用能产品、设备、生产工艺价值金额或者年租金以下的罚款；有违法所得的，并处没收违法所得；情节严重的，由工商行政管理部门吊销营业执照。</w:t>
            </w:r>
          </w:p>
        </w:tc>
        <w:tc>
          <w:tcPr>
            <w:tcW w:w="227" w:type="pct"/>
            <w:vAlign w:val="center"/>
          </w:tcPr>
          <w:p w14:paraId="6A2D74B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县市区发展和改革委员会</w:t>
            </w:r>
          </w:p>
        </w:tc>
        <w:tc>
          <w:tcPr>
            <w:tcW w:w="198" w:type="pct"/>
            <w:vAlign w:val="center"/>
          </w:tcPr>
          <w:p w14:paraId="26ADAF9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能源监督管理办公室</w:t>
            </w:r>
          </w:p>
        </w:tc>
        <w:tc>
          <w:tcPr>
            <w:tcW w:w="152" w:type="pct"/>
            <w:vAlign w:val="center"/>
          </w:tcPr>
          <w:p w14:paraId="7C3813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县市区级</w:t>
            </w:r>
          </w:p>
        </w:tc>
        <w:tc>
          <w:tcPr>
            <w:tcW w:w="427" w:type="pct"/>
            <w:vAlign w:val="center"/>
          </w:tcPr>
          <w:p w14:paraId="5DCD83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负责辖区内对使用国家明令淘汰的用能设备或者生产工艺的处罚</w:t>
            </w:r>
          </w:p>
        </w:tc>
        <w:tc>
          <w:tcPr>
            <w:tcW w:w="242" w:type="pct"/>
            <w:vAlign w:val="center"/>
          </w:tcPr>
          <w:p w14:paraId="26C536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负责本行政区域内的节能综合监督管理工作</w:t>
            </w:r>
          </w:p>
        </w:tc>
        <w:tc>
          <w:tcPr>
            <w:tcW w:w="413" w:type="pct"/>
            <w:vAlign w:val="center"/>
          </w:tcPr>
          <w:p w14:paraId="2BBA57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eastAsiaTheme="minorEastAsia" w:cstheme="minorEastAsia"/>
                <w:sz w:val="24"/>
                <w:szCs w:val="24"/>
                <w:vertAlign w:val="baseline"/>
                <w:lang w:val="en-US" w:eastAsia="zh-CN"/>
              </w:rPr>
            </w:pPr>
            <w:r>
              <w:rPr>
                <w:rFonts w:hint="default" w:asciiTheme="minorEastAsia" w:hAnsiTheme="minorEastAsia" w:eastAsiaTheme="minorEastAsia" w:cstheme="minorEastAsia"/>
                <w:sz w:val="24"/>
                <w:szCs w:val="24"/>
                <w:vertAlign w:val="baseline"/>
                <w:lang w:val="en-US" w:eastAsia="zh-CN"/>
              </w:rPr>
              <w:t>直接实施责任：</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1.全面客观公正调查取据，最少两人进行执法，并应当向当事人或者有关人员出示证件，询问或者检查应当制作笔录。</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2.在收集证据时，在证据可能灭失或者以后难以取得的情况下，经行政机关负责人批准，可以先行登记保存，并应当在七日内及时作出处理决定。</w:t>
            </w:r>
            <w:r>
              <w:rPr>
                <w:rFonts w:hint="default" w:asciiTheme="minorEastAsia" w:hAnsiTheme="minorEastAsia" w:eastAsiaTheme="minorEastAsia" w:cstheme="minorEastAsia"/>
                <w:sz w:val="24"/>
                <w:szCs w:val="24"/>
                <w:vertAlign w:val="baseline"/>
                <w:lang w:val="en-US" w:eastAsia="zh-CN"/>
              </w:rPr>
              <w:br w:type="textWrapping"/>
            </w:r>
            <w:r>
              <w:rPr>
                <w:rFonts w:hint="default" w:asciiTheme="minorEastAsia" w:hAnsiTheme="minorEastAsia" w:eastAsiaTheme="minorEastAsia" w:cstheme="minorEastAsia"/>
                <w:sz w:val="24"/>
                <w:szCs w:val="24"/>
                <w:vertAlign w:val="baseline"/>
                <w:lang w:val="en-US" w:eastAsia="zh-CN"/>
              </w:rPr>
              <w:t>3.执法人员与当事人有直接利害关系的，应当回避，给予行政处罚应当制作带有作出处罚单位公章的行政处罚决定书，在宣告后当场交付，当事人不在场的应当在七日内送达当事人</w:t>
            </w:r>
          </w:p>
        </w:tc>
        <w:tc>
          <w:tcPr>
            <w:tcW w:w="357" w:type="pct"/>
            <w:vAlign w:val="center"/>
          </w:tcPr>
          <w:p w14:paraId="494794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【法律】《中华人民共和国行政处罚法》（1996年3月17日第八届全国人民代表大会第四次会议通过，2021年1月22日第十三届全国人民代表大会常务委员会第二十五次会议修订，自2021年7月15日施行）</w:t>
            </w:r>
          </w:p>
          <w:p w14:paraId="78F2A0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 xml:space="preserve">     第五章、第六章、第七章。</w:t>
            </w:r>
          </w:p>
        </w:tc>
        <w:tc>
          <w:tcPr>
            <w:tcW w:w="272" w:type="pct"/>
            <w:vAlign w:val="center"/>
          </w:tcPr>
          <w:p w14:paraId="15639F0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1.具体承办人；</w:t>
            </w:r>
          </w:p>
          <w:p w14:paraId="5E0FDA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2.内设机构负责人；</w:t>
            </w:r>
          </w:p>
          <w:p w14:paraId="5F6917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3.单位法定代表人或分管领导。</w:t>
            </w:r>
          </w:p>
        </w:tc>
        <w:tc>
          <w:tcPr>
            <w:tcW w:w="638" w:type="pct"/>
            <w:vAlign w:val="center"/>
          </w:tcPr>
          <w:p w14:paraId="2D5F06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因不履行或不正确履行行政职责，有下列情形的，行政机关及相关工作人员应承担相应责任：</w:t>
            </w:r>
          </w:p>
          <w:p w14:paraId="46E66AE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1.不具备行政执法资格实施行政处罚的；</w:t>
            </w:r>
          </w:p>
          <w:p w14:paraId="741E27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2.没有法律和事实依据实施行政处罚的；</w:t>
            </w:r>
          </w:p>
          <w:p w14:paraId="4A70FDB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3.违反规定设立处罚种类或者改变处罚幅度的；</w:t>
            </w:r>
          </w:p>
          <w:p w14:paraId="231E4A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4.违反法定程序进行处罚的；</w:t>
            </w:r>
          </w:p>
          <w:p w14:paraId="10A454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5.应当依法移交司法机关追究刑事责任而不移交的；</w:t>
            </w:r>
          </w:p>
          <w:p w14:paraId="636D6B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6.因处罚不当给当事人造成损失的；</w:t>
            </w:r>
          </w:p>
          <w:p w14:paraId="1BE995A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7.执法人员玩忽职守，对应当予以制止和处罚的违法行为不予制止、处罚的；</w:t>
            </w:r>
          </w:p>
          <w:p w14:paraId="2E8972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r>
              <w:rPr>
                <w:rFonts w:hint="eastAsia" w:asciiTheme="minorEastAsia" w:hAnsiTheme="minorEastAsia" w:eastAsiaTheme="minorEastAsia" w:cstheme="minorEastAsia"/>
                <w:sz w:val="24"/>
                <w:szCs w:val="24"/>
                <w:vertAlign w:val="baseline"/>
              </w:rPr>
              <w:t>8.其他违反法律法规规章文件规定的行为。</w:t>
            </w:r>
          </w:p>
        </w:tc>
        <w:tc>
          <w:tcPr>
            <w:tcW w:w="132" w:type="pct"/>
            <w:vAlign w:val="center"/>
          </w:tcPr>
          <w:p w14:paraId="501407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rPr>
            </w:pPr>
          </w:p>
        </w:tc>
      </w:tr>
    </w:tbl>
    <w:p w14:paraId="29A5E1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64951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83FC5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13778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860B5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83ECD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854D1E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7A4B5F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32289EA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E067F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b w:val="0"/>
          <w:bCs/>
          <w:kern w:val="0"/>
          <w:sz w:val="44"/>
          <w:szCs w:val="44"/>
          <w:lang w:eastAsia="zh-CN"/>
        </w:rPr>
        <w:t>米东区</w:t>
      </w:r>
      <w:r>
        <w:rPr>
          <w:rFonts w:hint="default" w:ascii="Times New Roman" w:hAnsi="Times New Roman" w:eastAsia="方正小标宋_GBK" w:cs="Times New Roman"/>
          <w:b w:val="0"/>
          <w:bCs/>
          <w:kern w:val="0"/>
          <w:sz w:val="44"/>
          <w:szCs w:val="44"/>
          <w:lang w:val="en-US" w:eastAsia="zh-CN"/>
        </w:rPr>
        <w:t>发展改革委</w:t>
      </w:r>
      <w:r>
        <w:rPr>
          <w:rFonts w:hint="eastAsia" w:ascii="Times New Roman" w:hAnsi="Times New Roman" w:eastAsia="方正小标宋_GBK" w:cs="Times New Roman"/>
          <w:b w:val="0"/>
          <w:bCs/>
          <w:kern w:val="0"/>
          <w:sz w:val="44"/>
          <w:szCs w:val="44"/>
          <w:lang w:val="en-US" w:eastAsia="zh-CN"/>
        </w:rPr>
        <w:t>（国动办&lt;人防办&gt;、粮食和物资储备局）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p w14:paraId="708B29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588"/>
        <w:gridCol w:w="1066"/>
        <w:gridCol w:w="784"/>
        <w:gridCol w:w="821"/>
        <w:gridCol w:w="1145"/>
        <w:gridCol w:w="1267"/>
        <w:gridCol w:w="1283"/>
        <w:gridCol w:w="2117"/>
        <w:gridCol w:w="1098"/>
        <w:gridCol w:w="2325"/>
        <w:gridCol w:w="780"/>
      </w:tblGrid>
      <w:tr w14:paraId="04E85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51641F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A15ED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457E77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714525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588" w:type="dxa"/>
            <w:vAlign w:val="center"/>
          </w:tcPr>
          <w:p w14:paraId="60B08F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1066" w:type="dxa"/>
            <w:vAlign w:val="center"/>
          </w:tcPr>
          <w:p w14:paraId="3860BC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784" w:type="dxa"/>
            <w:vAlign w:val="center"/>
          </w:tcPr>
          <w:p w14:paraId="0B70DAA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966" w:type="dxa"/>
            <w:gridSpan w:val="2"/>
            <w:vAlign w:val="center"/>
          </w:tcPr>
          <w:p w14:paraId="318455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267" w:type="dxa"/>
            <w:vAlign w:val="center"/>
          </w:tcPr>
          <w:p w14:paraId="294CB9C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283" w:type="dxa"/>
            <w:vAlign w:val="center"/>
          </w:tcPr>
          <w:p w14:paraId="3B231F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117" w:type="dxa"/>
            <w:vAlign w:val="center"/>
          </w:tcPr>
          <w:p w14:paraId="5B4D5F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3C37A6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32F93F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3AF1006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2221B4D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4E3D4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6DF2B32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1</w:t>
            </w:r>
          </w:p>
        </w:tc>
        <w:tc>
          <w:tcPr>
            <w:tcW w:w="1361" w:type="dxa"/>
            <w:vAlign w:val="center"/>
          </w:tcPr>
          <w:p w14:paraId="58999D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对不符合强制性节能标准的固定资产投资项目采取的强制措施</w:t>
            </w:r>
          </w:p>
        </w:tc>
        <w:tc>
          <w:tcPr>
            <w:tcW w:w="891" w:type="dxa"/>
            <w:vAlign w:val="center"/>
          </w:tcPr>
          <w:p w14:paraId="47C1C0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855" w:type="dxa"/>
            <w:vAlign w:val="center"/>
          </w:tcPr>
          <w:p w14:paraId="4C5FBA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行政强制</w:t>
            </w:r>
          </w:p>
        </w:tc>
        <w:tc>
          <w:tcPr>
            <w:tcW w:w="3588" w:type="dxa"/>
            <w:vAlign w:val="center"/>
          </w:tcPr>
          <w:p w14:paraId="4B90DF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节约能源法》（1997年11月1日第八届全国人民代表大会常务委员会第二十八次会议通过，根据2018年10月26日第十三届全国人民代表大会常务委员会第六次会议《关于修改〈中华人民共和国野生动物保护法〉等十五部法律的决定》第二次修正）</w:t>
            </w:r>
          </w:p>
          <w:p w14:paraId="3A5458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六十八条第二款：固定资产投资项目建设单位开工建设不符合强制性节能标准的项目或者将该项目投入生产、使用的，由管理节能工作的部门责令停止建设或者停止生产、使用，限期改造；不能改造或者逾期不改造的生产性项目，由管理节能工作的部门报请本级人民政府按照国务院规定的权限责令关闭。</w:t>
            </w:r>
          </w:p>
          <w:p w14:paraId="4AB6CD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w:t>
            </w:r>
          </w:p>
        </w:tc>
        <w:tc>
          <w:tcPr>
            <w:tcW w:w="1066" w:type="dxa"/>
            <w:vAlign w:val="center"/>
          </w:tcPr>
          <w:p w14:paraId="3512C2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w:t>
            </w:r>
          </w:p>
        </w:tc>
        <w:tc>
          <w:tcPr>
            <w:tcW w:w="784" w:type="dxa"/>
            <w:vAlign w:val="center"/>
          </w:tcPr>
          <w:p w14:paraId="77CBB4C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能源监督管理办公室</w:t>
            </w:r>
          </w:p>
        </w:tc>
        <w:tc>
          <w:tcPr>
            <w:tcW w:w="821" w:type="dxa"/>
            <w:vAlign w:val="center"/>
          </w:tcPr>
          <w:p w14:paraId="7710B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县市区级</w:t>
            </w:r>
          </w:p>
        </w:tc>
        <w:tc>
          <w:tcPr>
            <w:tcW w:w="1145" w:type="dxa"/>
            <w:vAlign w:val="center"/>
          </w:tcPr>
          <w:p w14:paraId="396D5E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负责辖区内对不符合强制性节能标准的固定资产投资项目采取的强制措施</w:t>
            </w:r>
          </w:p>
        </w:tc>
        <w:tc>
          <w:tcPr>
            <w:tcW w:w="1267" w:type="dxa"/>
            <w:vAlign w:val="center"/>
          </w:tcPr>
          <w:p w14:paraId="76E20C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县（市、区）人民政府发展和改革部门负责本行政区域内的节能综合监督管理工作</w:t>
            </w:r>
          </w:p>
        </w:tc>
        <w:tc>
          <w:tcPr>
            <w:tcW w:w="1283" w:type="dxa"/>
            <w:vAlign w:val="center"/>
          </w:tcPr>
          <w:p w14:paraId="1A6B6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1244EF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1.规范完善行政强制执法标准、程序等具体规定。</w:t>
            </w:r>
          </w:p>
          <w:p w14:paraId="4DB168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2.依法依规实施行政强制执法行为，履行行政强制执法责任。</w:t>
            </w:r>
          </w:p>
          <w:p w14:paraId="5C804B0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3.监督责任。建立健全监督制度，对执法行为进行监督,对未经批准和许可，擅自从事相关活动的，依法采取措施予以制止。</w:t>
            </w:r>
          </w:p>
        </w:tc>
        <w:tc>
          <w:tcPr>
            <w:tcW w:w="2117" w:type="dxa"/>
            <w:vAlign w:val="center"/>
          </w:tcPr>
          <w:p w14:paraId="403CC1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【法律】《中华人民共和国行政强制法》（2011年6月30日第十一届全国人民代表大会常务委员会第二十一次会议通过，自2012年1月1日起施行）</w:t>
            </w:r>
          </w:p>
          <w:p w14:paraId="0345A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第三十四条、第三十五条、第三十六条、第三十七条、第三十八条</w:t>
            </w:r>
          </w:p>
        </w:tc>
        <w:tc>
          <w:tcPr>
            <w:tcW w:w="1098" w:type="dxa"/>
            <w:vAlign w:val="center"/>
          </w:tcPr>
          <w:p w14:paraId="753048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500B17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508058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325" w:type="dxa"/>
            <w:vAlign w:val="center"/>
          </w:tcPr>
          <w:p w14:paraId="48D359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因不履行或不正确履行行政职责，有下列情形的，行政机关及相关工作人员应承担相应的责任：      </w:t>
            </w:r>
          </w:p>
          <w:p w14:paraId="1C340E0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1.利用行政强制权为单位或者个人谋取利益的；</w:t>
            </w:r>
          </w:p>
          <w:p w14:paraId="6800DD6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2.扩大查封、扣押、冻结范围的；</w:t>
            </w:r>
          </w:p>
          <w:p w14:paraId="3C30F93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3.使用或者损毁查封、扣押场所、设施或者财物的；</w:t>
            </w:r>
          </w:p>
          <w:p w14:paraId="1447E7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4.在查封、扣押法定期间不作出处理决定或者未依法及时解除查封、扣押的；</w:t>
            </w:r>
          </w:p>
          <w:p w14:paraId="6E03AD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5.将查封、扣押的财物或者划拨的存款、汇款以及拍卖和依法处理所得的款项，截留、私分或者变相私分的；</w:t>
            </w:r>
          </w:p>
          <w:p w14:paraId="47A190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6.利用职务上的便利，将查封、扣押的场所、设施或者财物据为己有的；</w:t>
            </w:r>
          </w:p>
          <w:p w14:paraId="47D65F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7.其他违反法律法规规章文件规定的行为。</w:t>
            </w:r>
          </w:p>
        </w:tc>
        <w:tc>
          <w:tcPr>
            <w:tcW w:w="780" w:type="dxa"/>
            <w:vAlign w:val="center"/>
          </w:tcPr>
          <w:p w14:paraId="699F03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bl>
    <w:p w14:paraId="154D212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F86873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CB8D79">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C47111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4DB3543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127F95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6AF909B0">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-4</w:t>
      </w:r>
    </w:p>
    <w:p w14:paraId="425BFEC5">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4637A2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b w:val="0"/>
          <w:bCs/>
          <w:kern w:val="0"/>
          <w:sz w:val="44"/>
          <w:szCs w:val="44"/>
          <w:lang w:eastAsia="zh-CN"/>
        </w:rPr>
        <w:t>米东区</w:t>
      </w:r>
      <w:r>
        <w:rPr>
          <w:rFonts w:hint="default" w:ascii="Times New Roman" w:hAnsi="Times New Roman" w:eastAsia="方正小标宋_GBK" w:cs="Times New Roman"/>
          <w:b w:val="0"/>
          <w:bCs/>
          <w:kern w:val="0"/>
          <w:sz w:val="44"/>
          <w:szCs w:val="44"/>
          <w:lang w:val="en-US" w:eastAsia="zh-CN"/>
        </w:rPr>
        <w:t>发展改革委</w:t>
      </w:r>
      <w:r>
        <w:rPr>
          <w:rFonts w:hint="eastAsia" w:ascii="Times New Roman" w:hAnsi="Times New Roman" w:eastAsia="方正小标宋_GBK" w:cs="Times New Roman"/>
          <w:b w:val="0"/>
          <w:bCs/>
          <w:kern w:val="0"/>
          <w:sz w:val="44"/>
          <w:szCs w:val="44"/>
          <w:lang w:val="en-US" w:eastAsia="zh-CN"/>
        </w:rPr>
        <w:t>（国动办&lt;人防办&gt;、粮食和物资储备局）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p w14:paraId="763444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9"/>
        <w:gridCol w:w="950"/>
        <w:gridCol w:w="916"/>
        <w:gridCol w:w="817"/>
        <w:gridCol w:w="4544"/>
        <w:gridCol w:w="918"/>
        <w:gridCol w:w="821"/>
        <w:gridCol w:w="605"/>
        <w:gridCol w:w="1079"/>
        <w:gridCol w:w="1000"/>
        <w:gridCol w:w="2016"/>
        <w:gridCol w:w="2317"/>
        <w:gridCol w:w="1067"/>
        <w:gridCol w:w="2000"/>
        <w:gridCol w:w="536"/>
      </w:tblGrid>
      <w:tr w14:paraId="55CA7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9" w:type="dxa"/>
            <w:vAlign w:val="center"/>
          </w:tcPr>
          <w:p w14:paraId="34620B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950" w:type="dxa"/>
            <w:vAlign w:val="center"/>
          </w:tcPr>
          <w:p w14:paraId="0A04A8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916" w:type="dxa"/>
            <w:vAlign w:val="center"/>
          </w:tcPr>
          <w:p w14:paraId="7D8814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17" w:type="dxa"/>
            <w:vAlign w:val="center"/>
          </w:tcPr>
          <w:p w14:paraId="5104BA0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4544" w:type="dxa"/>
            <w:vAlign w:val="center"/>
          </w:tcPr>
          <w:p w14:paraId="3F57E4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42DD93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821" w:type="dxa"/>
            <w:vAlign w:val="center"/>
          </w:tcPr>
          <w:p w14:paraId="2026B1B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1684" w:type="dxa"/>
            <w:gridSpan w:val="2"/>
            <w:vAlign w:val="center"/>
          </w:tcPr>
          <w:p w14:paraId="0C223B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1000" w:type="dxa"/>
            <w:vAlign w:val="center"/>
          </w:tcPr>
          <w:p w14:paraId="5C92613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2016" w:type="dxa"/>
            <w:vAlign w:val="center"/>
          </w:tcPr>
          <w:p w14:paraId="6B2E92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2317" w:type="dxa"/>
            <w:vAlign w:val="center"/>
          </w:tcPr>
          <w:p w14:paraId="7E3509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67" w:type="dxa"/>
            <w:vAlign w:val="center"/>
          </w:tcPr>
          <w:p w14:paraId="2915F1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077BA06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000" w:type="dxa"/>
            <w:vAlign w:val="center"/>
          </w:tcPr>
          <w:p w14:paraId="2C3DFEB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536" w:type="dxa"/>
            <w:vAlign w:val="center"/>
          </w:tcPr>
          <w:p w14:paraId="465F75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5AD20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589" w:type="dxa"/>
            <w:vAlign w:val="center"/>
          </w:tcPr>
          <w:p w14:paraId="4AC2E0D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1</w:t>
            </w:r>
          </w:p>
        </w:tc>
        <w:tc>
          <w:tcPr>
            <w:tcW w:w="950" w:type="dxa"/>
            <w:vAlign w:val="center"/>
          </w:tcPr>
          <w:p w14:paraId="789B9F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对核准、备案的企业、事业单位、社会团体等投资建设的固定资产投资项目实施情况进行监督检查</w:t>
            </w:r>
          </w:p>
        </w:tc>
        <w:tc>
          <w:tcPr>
            <w:tcW w:w="916" w:type="dxa"/>
            <w:vAlign w:val="center"/>
          </w:tcPr>
          <w:p w14:paraId="0E269ED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817" w:type="dxa"/>
            <w:vAlign w:val="center"/>
          </w:tcPr>
          <w:p w14:paraId="6DA5EC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行政检查</w:t>
            </w:r>
          </w:p>
        </w:tc>
        <w:tc>
          <w:tcPr>
            <w:tcW w:w="4544" w:type="dxa"/>
            <w:vAlign w:val="center"/>
          </w:tcPr>
          <w:p w14:paraId="349AC9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【法规】《企业投资项目核准和备案管理条例》（2016年10月8日国务院第149次常务会议通过，2016年12月14日国务院令第673号公布，自2017年2月1日起施行）</w:t>
            </w:r>
          </w:p>
          <w:p w14:paraId="1C1F24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六条：核准机关、备案机关以及依法对项目负有监督管理职责的其他有关部门应当加强事中事后监管，按照谁审批谁监管、谁主管谁监管的原则，落实监管责任，采取在线监测、现场核查等方式，加强对项目实施的监督检查。</w:t>
            </w:r>
          </w:p>
          <w:p w14:paraId="2C1E3D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【规章】《企业投资项目核准和备案管理办法》（2017年3月8日国家发展改革委令第2号公布，自2017年4月8日施行）</w:t>
            </w:r>
          </w:p>
          <w:p w14:paraId="0AC2CE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四十六条：项目核准和备案机关、行业管理、城乡规划（建设）、国家安全、国土（海洋）资源、环境保护、节能审查、金融监管、安全生产监管、审计等部门，应当按照谁审批谁监管、谁主管谁监管的原则，落实监管责任，采取在线监测、现场核查等方式，加强对项目事中事后监管。</w:t>
            </w:r>
          </w:p>
          <w:p w14:paraId="2864013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【规章】《企业投资项目事中事后监管办法》（2018年1月4日国家发展改革委令第14号公布，自2018年2月4日施行）</w:t>
            </w:r>
          </w:p>
          <w:p w14:paraId="415707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第八条：核准机关对其核准的项目，应当在项目开工后至少开展一次现场核查。</w:t>
            </w:r>
          </w:p>
          <w:p w14:paraId="055002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第二十一条：各级发展改革部门对项目的现场核查，可以自行开展，也可以发挥工程咨询单位等机构的专业优势，以委托第三方机构的方式开展。</w:t>
            </w:r>
          </w:p>
          <w:p w14:paraId="3583F2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委托第三方机构开展现场核查的，应当建立核查机构名录，制订核查工作规范，加强对核查工作的指导和监督。委托第三方机构开展现场核查的经费由委托方承担。</w:t>
            </w:r>
          </w:p>
          <w:p w14:paraId="546EF1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第二十二条：各级发展改革部门应当依托在线平台，运用大数据、互联网、移动计算等信息技术手段，加强对各类信息的分析研判，提高发现问题线索的能力。</w:t>
            </w:r>
          </w:p>
        </w:tc>
        <w:tc>
          <w:tcPr>
            <w:tcW w:w="918" w:type="dxa"/>
            <w:vAlign w:val="center"/>
          </w:tcPr>
          <w:p w14:paraId="6BCC5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县市区发展和改革委员会</w:t>
            </w:r>
          </w:p>
        </w:tc>
        <w:tc>
          <w:tcPr>
            <w:tcW w:w="821" w:type="dxa"/>
            <w:vAlign w:val="center"/>
          </w:tcPr>
          <w:p w14:paraId="564FA1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5964D1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项目建设管理办公室</w:t>
            </w:r>
          </w:p>
        </w:tc>
        <w:tc>
          <w:tcPr>
            <w:tcW w:w="605" w:type="dxa"/>
            <w:vAlign w:val="center"/>
          </w:tcPr>
          <w:p w14:paraId="2687DC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县市区级</w:t>
            </w:r>
          </w:p>
        </w:tc>
        <w:tc>
          <w:tcPr>
            <w:tcW w:w="1079" w:type="dxa"/>
            <w:vAlign w:val="center"/>
          </w:tcPr>
          <w:p w14:paraId="2C16F67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负责辖区内对备案的企业、事业单位、社会团体等投资建设的固定资产投资项目实施情况进行监督检查</w:t>
            </w:r>
          </w:p>
        </w:tc>
        <w:tc>
          <w:tcPr>
            <w:tcW w:w="1000" w:type="dxa"/>
            <w:vAlign w:val="center"/>
          </w:tcPr>
          <w:p w14:paraId="54259B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县（市区）人民政府投资主管部门对县（市区）级投资项目履行综合管理职能</w:t>
            </w:r>
          </w:p>
        </w:tc>
        <w:tc>
          <w:tcPr>
            <w:tcW w:w="2016" w:type="dxa"/>
            <w:vAlign w:val="center"/>
          </w:tcPr>
          <w:p w14:paraId="267FFC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直接实施责任：</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1.通过投资在线审批监管平台进行在线监测，如需现场检查的出具检查通知书。</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2.需至少两名执法人员，携带执法证件，告知检查事项、被检查单位</w:t>
            </w:r>
            <w:r>
              <w:rPr>
                <w:rFonts w:hint="eastAsia" w:asciiTheme="minorEastAsia" w:hAnsiTheme="minorEastAsia" w:cstheme="minorEastAsia"/>
                <w:sz w:val="24"/>
                <w:szCs w:val="24"/>
                <w:vertAlign w:val="baseline"/>
                <w:lang w:val="en-US" w:eastAsia="zh-CN"/>
              </w:rPr>
              <w:t>享有的权利</w:t>
            </w:r>
            <w:r>
              <w:rPr>
                <w:rFonts w:hint="default" w:asciiTheme="minorEastAsia" w:hAnsiTheme="minorEastAsia" w:cstheme="minorEastAsia"/>
                <w:sz w:val="24"/>
                <w:szCs w:val="24"/>
                <w:vertAlign w:val="baseline"/>
                <w:lang w:val="en-US" w:eastAsia="zh-CN"/>
              </w:rPr>
              <w:t>和应该履行的义务；填写检查笔录，依法作出处理决定，对应该给予行政处罚的，依据行政处罚的程序执行。</w:t>
            </w:r>
            <w:r>
              <w:rPr>
                <w:rFonts w:hint="default" w:asciiTheme="minorEastAsia" w:hAnsiTheme="minorEastAsia" w:cstheme="minorEastAsia"/>
                <w:sz w:val="24"/>
                <w:szCs w:val="24"/>
                <w:vertAlign w:val="baseline"/>
                <w:lang w:val="en-US" w:eastAsia="zh-CN"/>
              </w:rPr>
              <w:br w:type="textWrapping"/>
            </w:r>
            <w:r>
              <w:rPr>
                <w:rFonts w:hint="eastAsia" w:asciiTheme="minorEastAsia" w:hAnsiTheme="minorEastAsia" w:cstheme="minorEastAsia"/>
                <w:sz w:val="24"/>
                <w:szCs w:val="24"/>
                <w:vertAlign w:val="baseline"/>
                <w:lang w:val="en-US" w:eastAsia="zh-CN"/>
              </w:rPr>
              <w:t>3</w:t>
            </w:r>
            <w:r>
              <w:rPr>
                <w:rFonts w:hint="default" w:asciiTheme="minorEastAsia" w:hAnsiTheme="minorEastAsia" w:cstheme="minorEastAsia"/>
                <w:sz w:val="24"/>
                <w:szCs w:val="24"/>
                <w:vertAlign w:val="baseline"/>
                <w:lang w:val="en-US" w:eastAsia="zh-CN"/>
              </w:rPr>
              <w:t>.依据法律、法规和规章的规定，对违法行为（违法事实）及安全隐患逐条处理，处理应采用书面形式，向被检查单位下达处理决定书或者复查意见书。发现不属于本部门处理的违法行为，报告本单位负责人，建议移送有权机关处理，及时将检查资料归档，跟踪检查落实情况。其他法律法规规章文件规定应履行的责任。</w:t>
            </w:r>
          </w:p>
        </w:tc>
        <w:tc>
          <w:tcPr>
            <w:tcW w:w="2317" w:type="dxa"/>
            <w:vAlign w:val="center"/>
          </w:tcPr>
          <w:p w14:paraId="22195C7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【法规】《企业投资项目核准和备案管理条例》（2016年10月8日国务院第149次常务会议通过，2016年12月14日国务院令第673号公布，自2017年2月1日起施行）</w:t>
            </w:r>
          </w:p>
          <w:p w14:paraId="1331C5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六条：核准机关、备案机关以及依法对项目负有监督管理职责的其他有关部门应当加强事中事后监管，按照谁审批谁监管、谁主管谁监管的原则，落实监管责任，采取在线监测、现场核查等方式，加强对项目实施的监督检查。</w:t>
            </w:r>
          </w:p>
          <w:p w14:paraId="73C6BD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【规章】《企业投资项目核准和备案管理办法》（2017年3月8日国家发展改革委令第2号公布，自2017年4月8日施行）</w:t>
            </w:r>
          </w:p>
          <w:p w14:paraId="421482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四十六条：项目核准和备案机关、行业管理、城乡规划（建设）、国家安全、国土（海洋）资源、环境保护、节能审查、金融监管、安全生产监管、审计等部门，应当按照谁审批谁监管、谁主管谁监管的原则，落实监管责任，采取在线监测、现场核查等方式，加强对项目事中事后监管。</w:t>
            </w:r>
          </w:p>
        </w:tc>
        <w:tc>
          <w:tcPr>
            <w:tcW w:w="1067" w:type="dxa"/>
            <w:vAlign w:val="center"/>
          </w:tcPr>
          <w:p w14:paraId="4DF569F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0CDAC5D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4CB368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000" w:type="dxa"/>
            <w:vAlign w:val="center"/>
          </w:tcPr>
          <w:p w14:paraId="3B0634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73619D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1.在监督检查中发现违法违规行为，不依法及时处理的；</w:t>
            </w:r>
          </w:p>
          <w:p w14:paraId="4FDCCA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2.对项目负有监督管理职责的部门的工作人员有前款规定以外的滥用职权、玩忽职守、徇私舞弊行为的，依法给予处分；构成犯罪的，依照刑法有关规定追究刑事责任；</w:t>
            </w:r>
          </w:p>
          <w:p w14:paraId="0511A6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3.其他违反法律法规规章文件规定的行为。</w:t>
            </w:r>
          </w:p>
        </w:tc>
        <w:tc>
          <w:tcPr>
            <w:tcW w:w="536" w:type="dxa"/>
            <w:vAlign w:val="center"/>
          </w:tcPr>
          <w:p w14:paraId="4FA096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r w14:paraId="149D4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0" w:hRule="atLeast"/>
        </w:trPr>
        <w:tc>
          <w:tcPr>
            <w:tcW w:w="589" w:type="dxa"/>
            <w:vAlign w:val="center"/>
          </w:tcPr>
          <w:p w14:paraId="2D0F9C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2</w:t>
            </w:r>
          </w:p>
        </w:tc>
        <w:tc>
          <w:tcPr>
            <w:tcW w:w="950" w:type="dxa"/>
            <w:vAlign w:val="center"/>
          </w:tcPr>
          <w:p w14:paraId="2DDD55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职责范围内，对节能法律、法规和节能标准执行情况的监督检查</w:t>
            </w:r>
          </w:p>
        </w:tc>
        <w:tc>
          <w:tcPr>
            <w:tcW w:w="916" w:type="dxa"/>
            <w:vAlign w:val="center"/>
          </w:tcPr>
          <w:p w14:paraId="7A560F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817" w:type="dxa"/>
            <w:vAlign w:val="center"/>
          </w:tcPr>
          <w:p w14:paraId="29CA8E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行政检查</w:t>
            </w:r>
          </w:p>
        </w:tc>
        <w:tc>
          <w:tcPr>
            <w:tcW w:w="4544" w:type="dxa"/>
            <w:vAlign w:val="center"/>
          </w:tcPr>
          <w:p w14:paraId="271C27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【法律】《中华人民共和国节约能源法》（1997年11月1日第八届全国人民代表大会常务委员会第二十八次会议通过，根据2018年10月26日第十三届全国人民代表大会常务委员会第六次会议第二次修正）</w:t>
            </w:r>
          </w:p>
          <w:p w14:paraId="55BBB82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第十二条：县级以上人民政府管理节能工作的部门和有关部门应当在各自的职责范围内，加强对节能法律、法规和节能标准执行情况的监督检查，依法查处违法用能行为。</w:t>
            </w:r>
          </w:p>
          <w:p w14:paraId="3C3A5B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【法规】《新疆维吾尔自治区实施〈中华人民共和国节约能源法〉办法》（2013年11月28日新疆维吾尔自治区第十二届人民代表大会常务委员会第五次会议通过）</w:t>
            </w:r>
          </w:p>
          <w:p w14:paraId="65D480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第七条第一款：县级以上人民政府发展和改革行政主管部门（以下简称节能主管部门）负责本行政区域内的节能综合监督管理工作。</w:t>
            </w:r>
          </w:p>
          <w:p w14:paraId="37557E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第十三条：县级以上人民政府节能主管部门和有关部门应当在各自职责范围内，加强对节能法律、法规和节能标准执行情况的监督检查，依法查处违法用能行为。</w:t>
            </w:r>
          </w:p>
          <w:p w14:paraId="5692F8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开展节能监督检查，不得收取费用，不得就同一检查事项重复进行检查。</w:t>
            </w:r>
          </w:p>
        </w:tc>
        <w:tc>
          <w:tcPr>
            <w:tcW w:w="918" w:type="dxa"/>
            <w:vAlign w:val="center"/>
          </w:tcPr>
          <w:p w14:paraId="0AC867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县市区发展和改革委员会</w:t>
            </w:r>
          </w:p>
        </w:tc>
        <w:tc>
          <w:tcPr>
            <w:tcW w:w="821" w:type="dxa"/>
            <w:vAlign w:val="center"/>
          </w:tcPr>
          <w:p w14:paraId="585790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能源监督管理办公室</w:t>
            </w:r>
          </w:p>
        </w:tc>
        <w:tc>
          <w:tcPr>
            <w:tcW w:w="605" w:type="dxa"/>
            <w:vAlign w:val="center"/>
          </w:tcPr>
          <w:p w14:paraId="1E3523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县市区级</w:t>
            </w:r>
          </w:p>
        </w:tc>
        <w:tc>
          <w:tcPr>
            <w:tcW w:w="1079" w:type="dxa"/>
            <w:vAlign w:val="center"/>
          </w:tcPr>
          <w:p w14:paraId="4CE275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负责辖区内职责范围内，对节能法律、法规和节能标准执行情况的监督检查</w:t>
            </w:r>
          </w:p>
        </w:tc>
        <w:tc>
          <w:tcPr>
            <w:tcW w:w="1000" w:type="dxa"/>
            <w:vAlign w:val="center"/>
          </w:tcPr>
          <w:p w14:paraId="61F02D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县（市、区）人民政府发展和改革部门负责本行政区域内的节能综合监督管理工作</w:t>
            </w:r>
          </w:p>
        </w:tc>
        <w:tc>
          <w:tcPr>
            <w:tcW w:w="2016" w:type="dxa"/>
            <w:vAlign w:val="center"/>
          </w:tcPr>
          <w:p w14:paraId="7E0E322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直接实施责任：</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1.制定年度检查执法工作计划。出具检查通知书。</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2.两名以上（含两名）执法人员，出示执法证件，告知检查事项、被检查单位</w:t>
            </w:r>
            <w:r>
              <w:rPr>
                <w:rFonts w:hint="eastAsia" w:asciiTheme="minorEastAsia" w:hAnsiTheme="minorEastAsia" w:cstheme="minorEastAsia"/>
                <w:sz w:val="24"/>
                <w:szCs w:val="24"/>
                <w:vertAlign w:val="baseline"/>
                <w:lang w:val="en-US" w:eastAsia="zh-CN"/>
              </w:rPr>
              <w:t>享有的权利</w:t>
            </w:r>
            <w:r>
              <w:rPr>
                <w:rFonts w:hint="default" w:asciiTheme="minorEastAsia" w:hAnsiTheme="minorEastAsia" w:cstheme="minorEastAsia"/>
                <w:sz w:val="24"/>
                <w:szCs w:val="24"/>
                <w:vertAlign w:val="baseline"/>
                <w:lang w:val="en-US" w:eastAsia="zh-CN"/>
              </w:rPr>
              <w:t>和应该履行的义务；填写检查笔录，依法作出处理决定，对应该给予行政处罚的，依据行政处罚的程序执行。依据法律、法规和规章的规定，对违法行为（违法事实）及安全隐患逐条处理，处理应采用书面形式，向被检查单位下达处理决定书或者复查意见书。发现不属于本部门处理的违法行为，报告本单位负责人，建议移送有权机关处理。及时将检查资料归档，跟踪检查落实情况。</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3.其他法律法规规章文件规定应履行的责任。</w:t>
            </w:r>
          </w:p>
        </w:tc>
        <w:tc>
          <w:tcPr>
            <w:tcW w:w="2317" w:type="dxa"/>
            <w:vAlign w:val="center"/>
          </w:tcPr>
          <w:p w14:paraId="3EAC90E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【法律】《中华人民共和国节约能源法》（2007年10月28日国家主席令第77号）   </w:t>
            </w:r>
          </w:p>
          <w:p w14:paraId="001428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第十二条：县级以上人民政府管理节能工作的部门和有关部门应当在各自的职责范围内，加强对节能法律、法规和节能标准执行情况的监督检查，依法查处违法用能行为。</w:t>
            </w:r>
          </w:p>
          <w:p w14:paraId="2712352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【法规】《新疆维吾尔自治区实施〈中华人民共和国节约能源法〉办法》（2013年11月28日新疆维吾尔自治区第十二届人民代表大会常务委员会第五次会议通过）</w:t>
            </w:r>
          </w:p>
          <w:p w14:paraId="0FAED7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第十三条：县级以上人民政府节能主管部门和有关部门应当在各自职责范围内，加强对节能法律、法规和节能标准执行情况的监督检查，依法查处违法用能行为。</w:t>
            </w:r>
          </w:p>
          <w:p w14:paraId="41E721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开展节能监督检查，不得收取费用，不得就同一检查事项重复进行检查。</w:t>
            </w:r>
          </w:p>
        </w:tc>
        <w:tc>
          <w:tcPr>
            <w:tcW w:w="1067" w:type="dxa"/>
            <w:vAlign w:val="center"/>
          </w:tcPr>
          <w:p w14:paraId="06E2B9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588FC0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28F5550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000" w:type="dxa"/>
            <w:vAlign w:val="center"/>
          </w:tcPr>
          <w:p w14:paraId="759F113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34B5067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1.在监督检查中发现违法违规行为，不依法及时处理的；</w:t>
            </w:r>
          </w:p>
          <w:p w14:paraId="40A8B68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2.对项目负有监督管理职责的部门的工作人员有前款规定以外的滥用职权、玩忽职守、徇私舞弊行为的，依法给予处分；构成犯罪的，依照刑法有关规定追究刑事责任；</w:t>
            </w:r>
          </w:p>
          <w:p w14:paraId="652604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3.其他违反法律法规规章文件规定的行为。</w:t>
            </w:r>
          </w:p>
        </w:tc>
        <w:tc>
          <w:tcPr>
            <w:tcW w:w="536" w:type="dxa"/>
            <w:vAlign w:val="center"/>
          </w:tcPr>
          <w:p w14:paraId="253937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r w14:paraId="4E363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23" w:hRule="atLeast"/>
        </w:trPr>
        <w:tc>
          <w:tcPr>
            <w:tcW w:w="589" w:type="dxa"/>
            <w:vAlign w:val="center"/>
          </w:tcPr>
          <w:p w14:paraId="620332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3</w:t>
            </w:r>
          </w:p>
        </w:tc>
        <w:tc>
          <w:tcPr>
            <w:tcW w:w="950" w:type="dxa"/>
            <w:vAlign w:val="center"/>
          </w:tcPr>
          <w:p w14:paraId="62BF31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对人民防空工程维护管理的监督检查</w:t>
            </w:r>
          </w:p>
        </w:tc>
        <w:tc>
          <w:tcPr>
            <w:tcW w:w="916" w:type="dxa"/>
            <w:vAlign w:val="center"/>
          </w:tcPr>
          <w:p w14:paraId="53B2AF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817" w:type="dxa"/>
            <w:vAlign w:val="center"/>
          </w:tcPr>
          <w:p w14:paraId="65BA05C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行政检查</w:t>
            </w:r>
          </w:p>
        </w:tc>
        <w:tc>
          <w:tcPr>
            <w:tcW w:w="4544" w:type="dxa"/>
            <w:vAlign w:val="center"/>
          </w:tcPr>
          <w:p w14:paraId="5F20DB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人民防空法》（1996年10月29日第八届全国人民代表大会常务委员会第二十二次会议通过，2009年8月27日中华人民共和国主席令第18号《全国人民代表大会常务委员会关于修改部分法律的决定》修正，自公布之日起施行）</w:t>
            </w:r>
          </w:p>
          <w:p w14:paraId="387755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五条：人民防空主管部门对人民防空工程的维护管理进行监督检查。公用的人民防空工程的维护管理由人民防空主管部门负责。有关单位应当按照国家规定对已经修建或者使用的人民防空工程进行维护管理，使其保持良好使用状态。</w:t>
            </w:r>
          </w:p>
        </w:tc>
        <w:tc>
          <w:tcPr>
            <w:tcW w:w="918" w:type="dxa"/>
            <w:vAlign w:val="center"/>
          </w:tcPr>
          <w:p w14:paraId="0DC00B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县市区发展改革委（国防动员办公室&lt;人民防空办公室&gt;、粮食和物资储备局）</w:t>
            </w:r>
          </w:p>
        </w:tc>
        <w:tc>
          <w:tcPr>
            <w:tcW w:w="821" w:type="dxa"/>
            <w:vAlign w:val="center"/>
          </w:tcPr>
          <w:p w14:paraId="07DEBC1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米东区国防动员办公室</w:t>
            </w:r>
          </w:p>
        </w:tc>
        <w:tc>
          <w:tcPr>
            <w:tcW w:w="605" w:type="dxa"/>
            <w:vAlign w:val="center"/>
          </w:tcPr>
          <w:p w14:paraId="27433A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县市区级</w:t>
            </w:r>
          </w:p>
        </w:tc>
        <w:tc>
          <w:tcPr>
            <w:tcW w:w="1079" w:type="dxa"/>
            <w:vAlign w:val="center"/>
          </w:tcPr>
          <w:p w14:paraId="016E4B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辖区人防工程</w:t>
            </w:r>
          </w:p>
        </w:tc>
        <w:tc>
          <w:tcPr>
            <w:tcW w:w="1000" w:type="dxa"/>
            <w:vAlign w:val="center"/>
          </w:tcPr>
          <w:p w14:paraId="108E80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对人防工程的日常监管</w:t>
            </w:r>
          </w:p>
        </w:tc>
        <w:tc>
          <w:tcPr>
            <w:tcW w:w="2016" w:type="dxa"/>
            <w:vAlign w:val="center"/>
          </w:tcPr>
          <w:p w14:paraId="6BDEEC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直接实施责任：</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1.制定年度行政检查工作计划。</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2.制定下发检查通知书。</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3.两名以上（含两名）执法人员，出示执法证件，告知检查事项、被检查单位</w:t>
            </w:r>
            <w:r>
              <w:rPr>
                <w:rFonts w:hint="eastAsia" w:asciiTheme="minorEastAsia" w:hAnsiTheme="minorEastAsia" w:cstheme="minorEastAsia"/>
                <w:sz w:val="24"/>
                <w:szCs w:val="24"/>
                <w:vertAlign w:val="baseline"/>
                <w:lang w:val="en-US" w:eastAsia="zh-CN"/>
              </w:rPr>
              <w:t>享有的权利</w:t>
            </w:r>
            <w:r>
              <w:rPr>
                <w:rFonts w:hint="default" w:asciiTheme="minorEastAsia" w:hAnsiTheme="minorEastAsia" w:cstheme="minorEastAsia"/>
                <w:sz w:val="24"/>
                <w:szCs w:val="24"/>
                <w:vertAlign w:val="baseline"/>
                <w:lang w:val="en-US" w:eastAsia="zh-CN"/>
              </w:rPr>
              <w:t>和应该履行的义务；填写检查登记表；对检查发现的问题依法作出行政执法处理。</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4.依据法律、法规和规章的规定，对违规问题或违法行为逐条处理，发现不属于本部门处理的违法行为，按照规定移送有权机关处理。</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5.跟踪检查问题整改落实情况。</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6.其他法律法规规章文件规定应履行的责任。</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指导监督责任：</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7.对下级机关工作中存在的违规行为予以责令改正。</w:t>
            </w:r>
            <w:r>
              <w:rPr>
                <w:rFonts w:hint="default" w:asciiTheme="minorEastAsia" w:hAnsiTheme="minorEastAsia" w:cstheme="minorEastAsia"/>
                <w:sz w:val="24"/>
                <w:szCs w:val="24"/>
                <w:vertAlign w:val="baseline"/>
                <w:lang w:val="en-US" w:eastAsia="zh-CN"/>
              </w:rPr>
              <w:br w:type="textWrapping"/>
            </w:r>
            <w:r>
              <w:rPr>
                <w:rFonts w:hint="default" w:asciiTheme="minorEastAsia" w:hAnsiTheme="minorEastAsia" w:cstheme="minorEastAsia"/>
                <w:sz w:val="24"/>
                <w:szCs w:val="24"/>
                <w:vertAlign w:val="baseline"/>
                <w:lang w:val="en-US" w:eastAsia="zh-CN"/>
              </w:rPr>
              <w:t>8.指导、监督下级行政机关履行监督检查职责。</w:t>
            </w:r>
          </w:p>
        </w:tc>
        <w:tc>
          <w:tcPr>
            <w:tcW w:w="2317" w:type="dxa"/>
            <w:vAlign w:val="center"/>
          </w:tcPr>
          <w:p w14:paraId="2B7A84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人民防空法》（1996年10月29日第八届全国人民代表大会常务委员会第二十二次会议通过，2009年8月27日中华人民共和国主席令第18号《全国人民代表大会常务委员会关于修改部分法律的决定》修正，自公布之日起施行）</w:t>
            </w:r>
          </w:p>
          <w:p w14:paraId="06D246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五条：人民防空主管部门对人民防空工程的维护管理进行监督检查。公用的人民防空工程的维护管理由人民防空主管部门负责。有关单位应当按照国家规定对已经修建或者使用的人民防空工程进行维护管理，使其保持良好使用状态。</w:t>
            </w:r>
          </w:p>
        </w:tc>
        <w:tc>
          <w:tcPr>
            <w:tcW w:w="1067" w:type="dxa"/>
            <w:vAlign w:val="center"/>
          </w:tcPr>
          <w:p w14:paraId="62E6F5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4A6742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491F30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2000" w:type="dxa"/>
            <w:vAlign w:val="center"/>
          </w:tcPr>
          <w:p w14:paraId="069C61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3A9F263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1.对应当予以行政检查而不予行政检查的；</w:t>
            </w:r>
          </w:p>
          <w:p w14:paraId="7DBB6E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2.没有法律和事实依据实施行政检查的；</w:t>
            </w:r>
          </w:p>
          <w:p w14:paraId="192D58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3.违反法定程序实施行政检查的；</w:t>
            </w:r>
          </w:p>
          <w:p w14:paraId="55EF73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4.擅自扩大行政检查范围的；</w:t>
            </w:r>
          </w:p>
          <w:p w14:paraId="759E3A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5.对行政检查过程中发现的违法行为未按程序作出处理决定的；</w:t>
            </w:r>
          </w:p>
          <w:p w14:paraId="037CA6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6.行政机关及其工作人员利用行政检查为单位或者个人谋取利益的；</w:t>
            </w:r>
          </w:p>
          <w:p w14:paraId="559867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7.因不当实施行政检查，侵害当事人、公民、法人或者其他组织合法权益的；</w:t>
            </w:r>
          </w:p>
          <w:p w14:paraId="7FDAE1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8.在实施行政检查过程中发生腐败行为的；</w:t>
            </w:r>
          </w:p>
          <w:p w14:paraId="31AA98F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9.在实施行政检查时玩忽职守、滥用职权的；</w:t>
            </w:r>
          </w:p>
          <w:p w14:paraId="2290F3F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10.其他违反法律法规规章文件规定的行为</w:t>
            </w:r>
          </w:p>
        </w:tc>
        <w:tc>
          <w:tcPr>
            <w:tcW w:w="536" w:type="dxa"/>
            <w:vAlign w:val="center"/>
          </w:tcPr>
          <w:p w14:paraId="20748EE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bl>
    <w:p w14:paraId="42D45A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11C46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80FDF0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7C2DB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AE4233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5A958DFB">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594333EB">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-5</w:t>
      </w:r>
    </w:p>
    <w:p w14:paraId="34BFBF18">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方正小标宋_GBK" w:hAnsi="方正小标宋_GBK" w:eastAsia="方正小标宋_GBK" w:cs="方正小标宋_GBK"/>
          <w:sz w:val="44"/>
          <w:szCs w:val="44"/>
          <w:lang w:val="en-US" w:eastAsia="zh-CN"/>
        </w:rPr>
      </w:pPr>
    </w:p>
    <w:p w14:paraId="322FDC5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b w:val="0"/>
          <w:bCs/>
          <w:kern w:val="0"/>
          <w:sz w:val="44"/>
          <w:szCs w:val="44"/>
          <w:lang w:eastAsia="zh-CN"/>
        </w:rPr>
        <w:t>米东区</w:t>
      </w:r>
      <w:r>
        <w:rPr>
          <w:rFonts w:hint="default" w:ascii="Times New Roman" w:hAnsi="Times New Roman" w:eastAsia="方正小标宋_GBK" w:cs="Times New Roman"/>
          <w:b w:val="0"/>
          <w:bCs/>
          <w:kern w:val="0"/>
          <w:sz w:val="44"/>
          <w:szCs w:val="44"/>
          <w:lang w:val="en-US" w:eastAsia="zh-CN"/>
        </w:rPr>
        <w:t>发展改革委</w:t>
      </w:r>
      <w:r>
        <w:rPr>
          <w:rFonts w:hint="eastAsia" w:ascii="Times New Roman" w:hAnsi="Times New Roman" w:eastAsia="方正小标宋_GBK" w:cs="Times New Roman"/>
          <w:b w:val="0"/>
          <w:bCs/>
          <w:kern w:val="0"/>
          <w:sz w:val="44"/>
          <w:szCs w:val="44"/>
          <w:lang w:val="en-US" w:eastAsia="zh-CN"/>
        </w:rPr>
        <w:t>（国动办&lt;人防办&gt;、粮食和物资储备局）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p w14:paraId="15588A8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4"/>
        <w:gridCol w:w="1361"/>
        <w:gridCol w:w="891"/>
        <w:gridCol w:w="855"/>
        <w:gridCol w:w="3915"/>
        <w:gridCol w:w="918"/>
        <w:gridCol w:w="915"/>
        <w:gridCol w:w="511"/>
        <w:gridCol w:w="1720"/>
        <w:gridCol w:w="979"/>
        <w:gridCol w:w="1185"/>
        <w:gridCol w:w="1928"/>
        <w:gridCol w:w="1098"/>
        <w:gridCol w:w="2325"/>
        <w:gridCol w:w="780"/>
      </w:tblGrid>
      <w:tr w14:paraId="69277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94" w:type="dxa"/>
            <w:vAlign w:val="center"/>
          </w:tcPr>
          <w:p w14:paraId="02FC53B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序号</w:t>
            </w:r>
          </w:p>
        </w:tc>
        <w:tc>
          <w:tcPr>
            <w:tcW w:w="1361" w:type="dxa"/>
            <w:vAlign w:val="center"/>
          </w:tcPr>
          <w:p w14:paraId="740B256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事项名称</w:t>
            </w:r>
          </w:p>
        </w:tc>
        <w:tc>
          <w:tcPr>
            <w:tcW w:w="891" w:type="dxa"/>
            <w:vAlign w:val="center"/>
          </w:tcPr>
          <w:p w14:paraId="508DC0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lang w:eastAsia="zh-CN"/>
              </w:rPr>
            </w:pPr>
            <w:r>
              <w:rPr>
                <w:rFonts w:hint="eastAsia" w:ascii="方正仿宋_GBK" w:hAnsi="方正仿宋_GBK" w:eastAsia="方正仿宋_GBK" w:cs="方正仿宋_GBK"/>
                <w:b/>
                <w:bCs/>
                <w:sz w:val="28"/>
                <w:szCs w:val="28"/>
                <w:vertAlign w:val="baseline"/>
                <w:lang w:eastAsia="zh-CN"/>
              </w:rPr>
              <w:t>子项名称</w:t>
            </w:r>
          </w:p>
        </w:tc>
        <w:tc>
          <w:tcPr>
            <w:tcW w:w="855" w:type="dxa"/>
            <w:vAlign w:val="center"/>
          </w:tcPr>
          <w:p w14:paraId="50D0DBD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权力类型</w:t>
            </w:r>
          </w:p>
        </w:tc>
        <w:tc>
          <w:tcPr>
            <w:tcW w:w="3915" w:type="dxa"/>
            <w:vAlign w:val="center"/>
          </w:tcPr>
          <w:p w14:paraId="291187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实施依据</w:t>
            </w:r>
          </w:p>
        </w:tc>
        <w:tc>
          <w:tcPr>
            <w:tcW w:w="918" w:type="dxa"/>
            <w:vAlign w:val="center"/>
          </w:tcPr>
          <w:p w14:paraId="16518B5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行使主体</w:t>
            </w:r>
          </w:p>
        </w:tc>
        <w:tc>
          <w:tcPr>
            <w:tcW w:w="915" w:type="dxa"/>
            <w:vAlign w:val="center"/>
          </w:tcPr>
          <w:p w14:paraId="65EEA7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承办机构</w:t>
            </w:r>
          </w:p>
        </w:tc>
        <w:tc>
          <w:tcPr>
            <w:tcW w:w="2231" w:type="dxa"/>
            <w:gridSpan w:val="2"/>
            <w:vAlign w:val="center"/>
          </w:tcPr>
          <w:p w14:paraId="42AB729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实施层级及权限</w:t>
            </w:r>
          </w:p>
        </w:tc>
        <w:tc>
          <w:tcPr>
            <w:tcW w:w="979" w:type="dxa"/>
            <w:vAlign w:val="center"/>
          </w:tcPr>
          <w:p w14:paraId="4F372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部门职责</w:t>
            </w:r>
          </w:p>
        </w:tc>
        <w:tc>
          <w:tcPr>
            <w:tcW w:w="1185" w:type="dxa"/>
            <w:vAlign w:val="center"/>
          </w:tcPr>
          <w:p w14:paraId="7DBF492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责任事项内容</w:t>
            </w:r>
          </w:p>
        </w:tc>
        <w:tc>
          <w:tcPr>
            <w:tcW w:w="1928" w:type="dxa"/>
            <w:vAlign w:val="center"/>
          </w:tcPr>
          <w:p w14:paraId="57B6D5A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责任事项依据</w:t>
            </w:r>
          </w:p>
        </w:tc>
        <w:tc>
          <w:tcPr>
            <w:tcW w:w="1098" w:type="dxa"/>
            <w:vAlign w:val="center"/>
          </w:tcPr>
          <w:p w14:paraId="435C21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追责对</w:t>
            </w:r>
          </w:p>
          <w:p w14:paraId="6C392A2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象范围</w:t>
            </w:r>
          </w:p>
        </w:tc>
        <w:tc>
          <w:tcPr>
            <w:tcW w:w="2325" w:type="dxa"/>
            <w:vAlign w:val="center"/>
          </w:tcPr>
          <w:p w14:paraId="6FBFF5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追责情形</w:t>
            </w:r>
          </w:p>
        </w:tc>
        <w:tc>
          <w:tcPr>
            <w:tcW w:w="780" w:type="dxa"/>
            <w:vAlign w:val="center"/>
          </w:tcPr>
          <w:p w14:paraId="6E9512C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28"/>
                <w:szCs w:val="28"/>
                <w:vertAlign w:val="baseline"/>
              </w:rPr>
            </w:pPr>
            <w:r>
              <w:rPr>
                <w:rFonts w:hint="eastAsia" w:ascii="方正仿宋_GBK" w:hAnsi="方正仿宋_GBK" w:eastAsia="方正仿宋_GBK" w:cs="方正仿宋_GBK"/>
                <w:b/>
                <w:bCs/>
                <w:sz w:val="28"/>
                <w:szCs w:val="28"/>
                <w:vertAlign w:val="baseline"/>
              </w:rPr>
              <w:t>备注</w:t>
            </w:r>
          </w:p>
        </w:tc>
      </w:tr>
      <w:tr w14:paraId="1F34E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94" w:type="dxa"/>
            <w:vAlign w:val="center"/>
          </w:tcPr>
          <w:p w14:paraId="0180DB9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1</w:t>
            </w:r>
          </w:p>
        </w:tc>
        <w:tc>
          <w:tcPr>
            <w:tcW w:w="1361" w:type="dxa"/>
            <w:vAlign w:val="center"/>
          </w:tcPr>
          <w:p w14:paraId="36ED58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对在循环经济管理、科学技术研究、产品开发、示范和推广工作中做出显著成绩的单位和个人的表彰奖励</w:t>
            </w:r>
          </w:p>
        </w:tc>
        <w:tc>
          <w:tcPr>
            <w:tcW w:w="891" w:type="dxa"/>
            <w:vAlign w:val="center"/>
          </w:tcPr>
          <w:p w14:paraId="68A596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855" w:type="dxa"/>
            <w:vAlign w:val="center"/>
          </w:tcPr>
          <w:p w14:paraId="7C2779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行政奖励</w:t>
            </w:r>
          </w:p>
        </w:tc>
        <w:tc>
          <w:tcPr>
            <w:tcW w:w="3915" w:type="dxa"/>
            <w:vAlign w:val="center"/>
          </w:tcPr>
          <w:p w14:paraId="5FC869C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循环经济促进法》（2008年8月29日第十一届全国人民代表大会常务委员会第四次会议通过，根据2018年10月26日第十三届全国人民代表大会常务委员会第六次会议《关于修改〈中华人民共和国野生动物保护法〉等十五部法律的决定》修正）</w:t>
            </w:r>
          </w:p>
          <w:p w14:paraId="773B45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第四十八条：县级以上人民政府及其有关部门应当对在循环经济管理、科学技术研究、产品开发、示范和推广工作中做出显著成绩的单位和个人给予表彰和奖励。</w:t>
            </w:r>
          </w:p>
        </w:tc>
        <w:tc>
          <w:tcPr>
            <w:tcW w:w="918" w:type="dxa"/>
            <w:vAlign w:val="center"/>
          </w:tcPr>
          <w:p w14:paraId="00062A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w:t>
            </w:r>
          </w:p>
        </w:tc>
        <w:tc>
          <w:tcPr>
            <w:tcW w:w="915" w:type="dxa"/>
            <w:vAlign w:val="center"/>
          </w:tcPr>
          <w:p w14:paraId="263A1F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资源节约与环境保护办公室</w:t>
            </w:r>
          </w:p>
        </w:tc>
        <w:tc>
          <w:tcPr>
            <w:tcW w:w="511" w:type="dxa"/>
            <w:vAlign w:val="center"/>
          </w:tcPr>
          <w:p w14:paraId="192E0A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县市区级</w:t>
            </w:r>
          </w:p>
        </w:tc>
        <w:tc>
          <w:tcPr>
            <w:tcW w:w="1720" w:type="dxa"/>
            <w:vAlign w:val="center"/>
          </w:tcPr>
          <w:p w14:paraId="1E4510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负责辖区内对在循环经济管理、科学技术研究、产品开发、示范和推广工作中做出显著成绩的单位和个人的表彰奖励</w:t>
            </w:r>
          </w:p>
        </w:tc>
        <w:tc>
          <w:tcPr>
            <w:tcW w:w="979" w:type="dxa"/>
            <w:vAlign w:val="center"/>
          </w:tcPr>
          <w:p w14:paraId="61CA7A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负责县市区级对在循环经济管理、科学技术研究、产品开发、示范和推广工作中做出显著成绩的单位和个人的表彰奖励</w:t>
            </w:r>
          </w:p>
        </w:tc>
        <w:tc>
          <w:tcPr>
            <w:tcW w:w="1185" w:type="dxa"/>
            <w:vAlign w:val="center"/>
          </w:tcPr>
          <w:p w14:paraId="0E4C0A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2080549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1.对建议奖励依法进行核查。</w:t>
            </w:r>
          </w:p>
          <w:p w14:paraId="768FB9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2.经核查属于依法给予奖励的，提出奖励方案，经分管领导组织有关部门会议讨论后报负责人批准。</w:t>
            </w:r>
          </w:p>
          <w:p w14:paraId="25946E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3.通知举报人领款，为举报人保密。</w:t>
            </w:r>
          </w:p>
          <w:p w14:paraId="6D9F1A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4.其他法律法规规章文件规定应履行的责任。</w:t>
            </w:r>
          </w:p>
          <w:p w14:paraId="5DA368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1928" w:type="dxa"/>
            <w:vAlign w:val="center"/>
          </w:tcPr>
          <w:p w14:paraId="7F0A7B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循环经济促进法》（2008年8月29日第十一届全国人民代表大会常务委员会第四次会议通过，根据2018年10月26日第十三届全国人民代表大会常务委员会第六次会议《关于修改〈中华人民共和国野生动物保护法〉等十五部法律的决定》修正）</w:t>
            </w:r>
          </w:p>
          <w:p w14:paraId="0BD9E8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第四十八条：县级以上人民政府及其有关部门应当对在循环经济管理、科学技术研究、产品开发、示范和推广工作中做出显著成绩的单位和个人给予表彰和奖励。</w:t>
            </w:r>
          </w:p>
        </w:tc>
        <w:tc>
          <w:tcPr>
            <w:tcW w:w="1098" w:type="dxa"/>
            <w:vAlign w:val="center"/>
          </w:tcPr>
          <w:p w14:paraId="235E9B9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5E5EE45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3A6BA6C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325" w:type="dxa"/>
            <w:vAlign w:val="center"/>
          </w:tcPr>
          <w:p w14:paraId="72446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5C9BEDE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1.玩忽职守，贻误工作的；</w:t>
            </w:r>
          </w:p>
          <w:p w14:paraId="0D2C056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2.拒绝执行上级依法作出的决定和命令的；</w:t>
            </w:r>
          </w:p>
          <w:p w14:paraId="71D97A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3.弄虚作假，误导、欺骗领导和公众的；</w:t>
            </w:r>
          </w:p>
          <w:p w14:paraId="2CAFA7D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4.滥用职权，侵害公民、法人或者其他组织的合法权益的；</w:t>
            </w:r>
          </w:p>
          <w:p w14:paraId="2E6044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5.行政权力行使过程中失职、渎职的；</w:t>
            </w:r>
          </w:p>
          <w:p w14:paraId="14A90D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6.行使职权过程中出现腐败行为的；</w:t>
            </w:r>
          </w:p>
          <w:p w14:paraId="13CDCB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7.其他违反法律法规规章文件规定的行为。</w:t>
            </w:r>
          </w:p>
        </w:tc>
        <w:tc>
          <w:tcPr>
            <w:tcW w:w="780" w:type="dxa"/>
            <w:vAlign w:val="center"/>
          </w:tcPr>
          <w:p w14:paraId="4BFA102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bl>
    <w:p w14:paraId="67224A8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97B78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2AAE0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441A1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B5CD6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79C3E5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_GBK" w:hAnsi="方正小标宋_GBK" w:eastAsia="方正小标宋_GBK" w:cs="方正小标宋_GBK"/>
          <w:sz w:val="44"/>
          <w:szCs w:val="44"/>
          <w:lang w:val="en-US" w:eastAsia="zh-CN"/>
        </w:rPr>
      </w:pPr>
    </w:p>
    <w:p w14:paraId="376358DF">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28EC9AA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-6</w:t>
      </w:r>
    </w:p>
    <w:p w14:paraId="3CB6AC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2A444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default" w:ascii="Times New Roman" w:hAnsi="Times New Roman" w:eastAsia="方正小标宋_GBK" w:cs="Times New Roman"/>
          <w:b w:val="0"/>
          <w:bCs/>
          <w:kern w:val="0"/>
          <w:sz w:val="44"/>
          <w:szCs w:val="44"/>
          <w:lang w:eastAsia="zh-CN"/>
        </w:rPr>
        <w:t>米东区</w:t>
      </w:r>
      <w:r>
        <w:rPr>
          <w:rFonts w:hint="default" w:ascii="Times New Roman" w:hAnsi="Times New Roman" w:eastAsia="方正小标宋_GBK" w:cs="Times New Roman"/>
          <w:b w:val="0"/>
          <w:bCs/>
          <w:kern w:val="0"/>
          <w:sz w:val="44"/>
          <w:szCs w:val="44"/>
          <w:lang w:val="en-US" w:eastAsia="zh-CN"/>
        </w:rPr>
        <w:t>发展改革委</w:t>
      </w:r>
      <w:r>
        <w:rPr>
          <w:rFonts w:hint="eastAsia" w:ascii="Times New Roman" w:hAnsi="Times New Roman" w:eastAsia="方正小标宋_GBK" w:cs="Times New Roman"/>
          <w:b w:val="0"/>
          <w:bCs/>
          <w:kern w:val="0"/>
          <w:sz w:val="44"/>
          <w:szCs w:val="44"/>
          <w:lang w:val="en-US" w:eastAsia="zh-CN"/>
        </w:rPr>
        <w:t>（国动办&lt;人防办&gt;、粮食和物资储备局）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类）</w:t>
      </w:r>
    </w:p>
    <w:p w14:paraId="680653C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733"/>
        <w:gridCol w:w="534"/>
        <w:gridCol w:w="900"/>
        <w:gridCol w:w="4650"/>
        <w:gridCol w:w="1116"/>
        <w:gridCol w:w="567"/>
        <w:gridCol w:w="667"/>
        <w:gridCol w:w="816"/>
        <w:gridCol w:w="1300"/>
        <w:gridCol w:w="1784"/>
        <w:gridCol w:w="2633"/>
        <w:gridCol w:w="1033"/>
        <w:gridCol w:w="2040"/>
        <w:gridCol w:w="780"/>
      </w:tblGrid>
      <w:tr w14:paraId="15D53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622" w:type="dxa"/>
            <w:vAlign w:val="center"/>
          </w:tcPr>
          <w:p w14:paraId="677CFBA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序号</w:t>
            </w:r>
          </w:p>
        </w:tc>
        <w:tc>
          <w:tcPr>
            <w:tcW w:w="733" w:type="dxa"/>
            <w:vAlign w:val="center"/>
          </w:tcPr>
          <w:p w14:paraId="7F0BF3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事项名称</w:t>
            </w:r>
          </w:p>
        </w:tc>
        <w:tc>
          <w:tcPr>
            <w:tcW w:w="534" w:type="dxa"/>
            <w:vAlign w:val="center"/>
          </w:tcPr>
          <w:p w14:paraId="5028874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lang w:eastAsia="zh-CN"/>
              </w:rPr>
            </w:pPr>
            <w:r>
              <w:rPr>
                <w:rFonts w:hint="eastAsia" w:ascii="方正仿宋_GBK" w:hAnsi="方正仿宋_GBK" w:eastAsia="方正仿宋_GBK" w:cs="方正仿宋_GBK"/>
                <w:b/>
                <w:bCs/>
                <w:sz w:val="24"/>
                <w:szCs w:val="24"/>
                <w:vertAlign w:val="baseline"/>
                <w:lang w:eastAsia="zh-CN"/>
              </w:rPr>
              <w:t>子项名称</w:t>
            </w:r>
          </w:p>
        </w:tc>
        <w:tc>
          <w:tcPr>
            <w:tcW w:w="900" w:type="dxa"/>
            <w:vAlign w:val="center"/>
          </w:tcPr>
          <w:p w14:paraId="6B19AD8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权力类型</w:t>
            </w:r>
          </w:p>
        </w:tc>
        <w:tc>
          <w:tcPr>
            <w:tcW w:w="4650" w:type="dxa"/>
            <w:vAlign w:val="center"/>
          </w:tcPr>
          <w:p w14:paraId="11B0583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实施依据</w:t>
            </w:r>
          </w:p>
        </w:tc>
        <w:tc>
          <w:tcPr>
            <w:tcW w:w="1116" w:type="dxa"/>
            <w:vAlign w:val="center"/>
          </w:tcPr>
          <w:p w14:paraId="27A3CBD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行使主体</w:t>
            </w:r>
          </w:p>
        </w:tc>
        <w:tc>
          <w:tcPr>
            <w:tcW w:w="567" w:type="dxa"/>
            <w:vAlign w:val="center"/>
          </w:tcPr>
          <w:p w14:paraId="4ADD93A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承办机构</w:t>
            </w:r>
          </w:p>
        </w:tc>
        <w:tc>
          <w:tcPr>
            <w:tcW w:w="1483" w:type="dxa"/>
            <w:gridSpan w:val="2"/>
            <w:vAlign w:val="center"/>
          </w:tcPr>
          <w:p w14:paraId="1E0C97F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实施层级及权限</w:t>
            </w:r>
          </w:p>
        </w:tc>
        <w:tc>
          <w:tcPr>
            <w:tcW w:w="1300" w:type="dxa"/>
            <w:vAlign w:val="center"/>
          </w:tcPr>
          <w:p w14:paraId="2B4029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部门职责</w:t>
            </w:r>
          </w:p>
        </w:tc>
        <w:tc>
          <w:tcPr>
            <w:tcW w:w="1784" w:type="dxa"/>
            <w:vAlign w:val="center"/>
          </w:tcPr>
          <w:p w14:paraId="0AEC2FB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责任事项内容</w:t>
            </w:r>
          </w:p>
        </w:tc>
        <w:tc>
          <w:tcPr>
            <w:tcW w:w="2633" w:type="dxa"/>
            <w:vAlign w:val="center"/>
          </w:tcPr>
          <w:p w14:paraId="0129A158">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责任事项依据</w:t>
            </w:r>
          </w:p>
        </w:tc>
        <w:tc>
          <w:tcPr>
            <w:tcW w:w="1033" w:type="dxa"/>
            <w:vAlign w:val="center"/>
          </w:tcPr>
          <w:p w14:paraId="49563BA1">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追责对</w:t>
            </w:r>
          </w:p>
          <w:p w14:paraId="131AC55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象范围</w:t>
            </w:r>
          </w:p>
        </w:tc>
        <w:tc>
          <w:tcPr>
            <w:tcW w:w="2040" w:type="dxa"/>
            <w:vAlign w:val="center"/>
          </w:tcPr>
          <w:p w14:paraId="09469CA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追责情形</w:t>
            </w:r>
          </w:p>
        </w:tc>
        <w:tc>
          <w:tcPr>
            <w:tcW w:w="780" w:type="dxa"/>
            <w:vAlign w:val="center"/>
          </w:tcPr>
          <w:p w14:paraId="751C838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方正仿宋_GBK" w:hAnsi="方正仿宋_GBK" w:eastAsia="方正仿宋_GBK" w:cs="方正仿宋_GBK"/>
                <w:b/>
                <w:bCs/>
                <w:sz w:val="24"/>
                <w:szCs w:val="24"/>
                <w:vertAlign w:val="baseline"/>
              </w:rPr>
            </w:pPr>
            <w:r>
              <w:rPr>
                <w:rFonts w:hint="eastAsia" w:ascii="方正仿宋_GBK" w:hAnsi="方正仿宋_GBK" w:eastAsia="方正仿宋_GBK" w:cs="方正仿宋_GBK"/>
                <w:b/>
                <w:bCs/>
                <w:sz w:val="24"/>
                <w:szCs w:val="24"/>
                <w:vertAlign w:val="baseline"/>
              </w:rPr>
              <w:t>备注</w:t>
            </w:r>
          </w:p>
        </w:tc>
      </w:tr>
      <w:tr w14:paraId="27862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22" w:type="dxa"/>
            <w:vAlign w:val="center"/>
          </w:tcPr>
          <w:p w14:paraId="09B213E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1</w:t>
            </w:r>
          </w:p>
        </w:tc>
        <w:tc>
          <w:tcPr>
            <w:tcW w:w="733" w:type="dxa"/>
            <w:vAlign w:val="center"/>
          </w:tcPr>
          <w:p w14:paraId="594B6AC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权限内企业投资项目备案</w:t>
            </w:r>
          </w:p>
        </w:tc>
        <w:tc>
          <w:tcPr>
            <w:tcW w:w="534" w:type="dxa"/>
            <w:vAlign w:val="center"/>
          </w:tcPr>
          <w:p w14:paraId="6D715B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900" w:type="dxa"/>
            <w:vAlign w:val="center"/>
          </w:tcPr>
          <w:p w14:paraId="1F077D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其他行政权力</w:t>
            </w:r>
          </w:p>
        </w:tc>
        <w:tc>
          <w:tcPr>
            <w:tcW w:w="4650" w:type="dxa"/>
            <w:vAlign w:val="center"/>
          </w:tcPr>
          <w:p w14:paraId="67F1DB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【法规】《企业投资项目核准和备案管理条例》（2016年10月8日国务院第149次常务会议通过，2016年12月14日国务院令第673号公布，自2017年2月1日起施行）</w:t>
            </w:r>
          </w:p>
          <w:p w14:paraId="23E92F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第三条第二款：对前款规定以外的项目，实行备案管理。除国务院另有规定的，实行备案管理的项目按照属地原则备案，备案机关及其权限由省、自治区、直辖市和计划单列市人民政府规定。</w:t>
            </w:r>
          </w:p>
          <w:p w14:paraId="30AD6D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【规章】《企业投资项目核准和备案管理办法》（2017年3月8日国家发展改革委令第2号公布，自2017年4月8日施行）</w:t>
            </w:r>
          </w:p>
          <w:p w14:paraId="10A06F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第六条：除国务院另有规定外，实行备案管理的项目按照属地原则备案。</w:t>
            </w:r>
          </w:p>
          <w:p w14:paraId="4B9F2FA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各省级政府负责制定本行政区域内的项目备案管理办法，明确备案机关及其权限。</w:t>
            </w:r>
          </w:p>
          <w:p w14:paraId="11A9DC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【规范性文件】《国务院关于投资体制改革的决定》（国发〔2004〕20号）</w:t>
            </w:r>
          </w:p>
          <w:p w14:paraId="325E84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第二项第（三）小项：健全备案制。对于《目录》以外的企业投资项目，实行备案制，除国家另有规定外，由企业按照属地原则向地方政府投资主管部门备案。备案制的具体实施办法由省级人民政府自行制定。</w:t>
            </w:r>
          </w:p>
          <w:p w14:paraId="2D05762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【规范性文件】《国家发展改革委关于实行企业投资项目备案制指导意见的通知》（发改投资〔2004〕2656号）</w:t>
            </w:r>
          </w:p>
          <w:p w14:paraId="52E2A0D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项：各级地方政府投资主管部门在办理备案时要严格执行。环境保护、国土资源、城市规划、建设管理、银行等部门（机构）应按照职能分工，对投资主管部门予以备案的项目依法独立进行审查和办理相关手续，对投资主管部门不予以备案的项目以及应备案而未备案的项目，不应办理相关手续。</w:t>
            </w:r>
          </w:p>
          <w:p w14:paraId="2D32EA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【规范性文件】《新疆维吾尔自治区政府核准的投资项目目录（2017年本）》（新政发〔2017〕106号）全文适用。    </w:t>
            </w:r>
          </w:p>
        </w:tc>
        <w:tc>
          <w:tcPr>
            <w:tcW w:w="1116" w:type="dxa"/>
            <w:vAlign w:val="center"/>
          </w:tcPr>
          <w:p w14:paraId="6DEFB5C3">
            <w:pPr>
              <w:keepNext w:val="0"/>
              <w:keepLines w:val="0"/>
              <w:pageBreakBefore w:val="0"/>
              <w:widowControl w:val="0"/>
              <w:tabs>
                <w:tab w:val="left" w:pos="515"/>
              </w:tabs>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w:t>
            </w:r>
          </w:p>
        </w:tc>
        <w:tc>
          <w:tcPr>
            <w:tcW w:w="567" w:type="dxa"/>
            <w:vAlign w:val="center"/>
          </w:tcPr>
          <w:p w14:paraId="6F5832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eastAsiaTheme="minorEastAsia" w:cstheme="minorEastAsia"/>
                <w:sz w:val="24"/>
                <w:szCs w:val="24"/>
                <w:vertAlign w:val="baseline"/>
                <w:lang w:val="en-US" w:eastAsia="zh-CN"/>
              </w:rPr>
            </w:pPr>
          </w:p>
          <w:p w14:paraId="2B5BE1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项目建设管理办公室</w:t>
            </w:r>
          </w:p>
        </w:tc>
        <w:tc>
          <w:tcPr>
            <w:tcW w:w="667" w:type="dxa"/>
            <w:vAlign w:val="center"/>
          </w:tcPr>
          <w:p w14:paraId="2D03301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县市区级</w:t>
            </w:r>
          </w:p>
        </w:tc>
        <w:tc>
          <w:tcPr>
            <w:tcW w:w="816" w:type="dxa"/>
            <w:vAlign w:val="center"/>
          </w:tcPr>
          <w:p w14:paraId="3BBCBAA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负责辖区内权限内企业投资项目备案</w:t>
            </w:r>
          </w:p>
        </w:tc>
        <w:tc>
          <w:tcPr>
            <w:tcW w:w="1300" w:type="dxa"/>
            <w:vAlign w:val="center"/>
          </w:tcPr>
          <w:p w14:paraId="4A0C471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对县（市、区）级投资项目履行综合管理职能，负责县市区级权限内企业投资项目备案</w:t>
            </w:r>
          </w:p>
        </w:tc>
        <w:tc>
          <w:tcPr>
            <w:tcW w:w="1784" w:type="dxa"/>
            <w:vAlign w:val="center"/>
          </w:tcPr>
          <w:p w14:paraId="309A68C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55F773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1.规范完善备案标准、程序等具体规定；主动公示依据、条件、数量、程序、期限以及需要提交的全部材料的目录和申请书示范文本等，便于申请人阅取。</w:t>
            </w:r>
          </w:p>
          <w:p w14:paraId="0866E1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依法依规实施备案程序，备案机关对符合备案条件的项目予以备案，办理《新疆维吾尔自治区企业投资项目备案证明》（以下简称备案证）。对不符合备案条件不予备案的项目，出具通知书。已备案项目信息发生较大变更的，企业应当及时告知备案机关。备案机关应根据项目调整的具体情况，出具确认意见。备案机关采取在线监测、现场核查等方式，加强对项目实施的监督检查。</w:t>
            </w:r>
          </w:p>
        </w:tc>
        <w:tc>
          <w:tcPr>
            <w:tcW w:w="2633" w:type="dxa"/>
            <w:vAlign w:val="center"/>
          </w:tcPr>
          <w:p w14:paraId="23D961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【法规】《企业投资项目核准和备案管理条例》（2016年12月14日国务院令第673号公布）</w:t>
            </w:r>
          </w:p>
          <w:p w14:paraId="5BA5158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第十三条第三款：备案机关收到本条第一款规定的全部信息即为备案；企业告知的信息不齐全的，备案机关应当指导企业补正。</w:t>
            </w:r>
          </w:p>
          <w:p w14:paraId="4CE3B99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第十五条：备案机关发现已备案项目属于产业政策禁止投资建设或者实行核准管理的，应当及时告知企业予以纠正或者依法办理核准手续，并通知有关部门。</w:t>
            </w:r>
          </w:p>
          <w:p w14:paraId="3F02CA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十六条第一款：核准机关、备案机关以及依法对项目负有监督管理职责的其他有关部门应当加强事中事后监管，按照谁审批谁监管、谁主管谁监管的原则，落实监管责任，采取在线监测、现场核查等方式，加强对项目实施的监督检查。</w:t>
            </w:r>
          </w:p>
          <w:p w14:paraId="1D67508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第二十一条：核准机关、备案机关及其工作人员在项目核准、备案工作中玩忽职守、滥用职权、徇私舞弊的，对负有责任的领导人员和直接责任人员依法给予处分；构成犯罪的，依法追究刑事责任。</w:t>
            </w:r>
          </w:p>
        </w:tc>
        <w:tc>
          <w:tcPr>
            <w:tcW w:w="1033" w:type="dxa"/>
            <w:vAlign w:val="center"/>
          </w:tcPr>
          <w:p w14:paraId="180EF96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1BF2624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2C3E526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040" w:type="dxa"/>
            <w:vAlign w:val="center"/>
          </w:tcPr>
          <w:p w14:paraId="666EB1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51585A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1.玩忽职守，贻误工作的；</w:t>
            </w:r>
          </w:p>
          <w:p w14:paraId="448F3CB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2.拒绝执行上级依法作出的决定和命令的；</w:t>
            </w:r>
          </w:p>
          <w:p w14:paraId="5CF44C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3.弄虚作假，误导、欺骗领导和公众的；</w:t>
            </w:r>
          </w:p>
          <w:p w14:paraId="1414B93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4.滥用职权，侵害公民、法人或者其他组织的合法权益的；</w:t>
            </w:r>
          </w:p>
          <w:p w14:paraId="31C6B10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5.行政权力行使过程中失职、渎职的；</w:t>
            </w:r>
          </w:p>
          <w:p w14:paraId="72E874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6.行使职权过程中出现腐败行为的；</w:t>
            </w:r>
          </w:p>
          <w:p w14:paraId="13105F8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7.其他违反法律法规规章文件规定的行为。</w:t>
            </w:r>
          </w:p>
        </w:tc>
        <w:tc>
          <w:tcPr>
            <w:tcW w:w="780" w:type="dxa"/>
            <w:vAlign w:val="center"/>
          </w:tcPr>
          <w:p w14:paraId="1C4191C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r w14:paraId="29880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3" w:hRule="atLeast"/>
        </w:trPr>
        <w:tc>
          <w:tcPr>
            <w:tcW w:w="622" w:type="dxa"/>
            <w:vAlign w:val="center"/>
          </w:tcPr>
          <w:p w14:paraId="5E3B5D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2</w:t>
            </w:r>
          </w:p>
        </w:tc>
        <w:tc>
          <w:tcPr>
            <w:tcW w:w="733" w:type="dxa"/>
            <w:vAlign w:val="center"/>
          </w:tcPr>
          <w:p w14:paraId="5E9EC25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石油天然气管道竣工测量图备案</w:t>
            </w:r>
          </w:p>
        </w:tc>
        <w:tc>
          <w:tcPr>
            <w:tcW w:w="534" w:type="dxa"/>
            <w:vAlign w:val="center"/>
          </w:tcPr>
          <w:p w14:paraId="6DB243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900" w:type="dxa"/>
            <w:vAlign w:val="center"/>
          </w:tcPr>
          <w:p w14:paraId="2234961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其他行政权力</w:t>
            </w:r>
          </w:p>
        </w:tc>
        <w:tc>
          <w:tcPr>
            <w:tcW w:w="4650" w:type="dxa"/>
            <w:vAlign w:val="center"/>
          </w:tcPr>
          <w:p w14:paraId="0646A28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【法律】《中华人民共和国石油天然气管道保护法》（2010年6月25日第十一届全国人民代表大会常务委员会第十五次会议通过，国家主席令第30号公布，自2010年10月1日起施行）</w:t>
            </w:r>
          </w:p>
          <w:p w14:paraId="32E46B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十条：管道企业应当自管道竣工验收合格之日起六十日内，将竣工测量图报管道所在地县级以上地方人民政府主管管道保护工作的部门备案；县级以上地方人民政府主管管道保护工作的部门应当将管道企业报送的管道竣工测量图分送本级人民政府规划、建设、国土资源、铁路、交通、水利、公安、安全生产监督管理等部门和有关军事机关。</w:t>
            </w:r>
          </w:p>
        </w:tc>
        <w:tc>
          <w:tcPr>
            <w:tcW w:w="1116" w:type="dxa"/>
            <w:vAlign w:val="center"/>
          </w:tcPr>
          <w:p w14:paraId="2D471D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w:t>
            </w:r>
          </w:p>
        </w:tc>
        <w:tc>
          <w:tcPr>
            <w:tcW w:w="567" w:type="dxa"/>
            <w:vAlign w:val="center"/>
          </w:tcPr>
          <w:p w14:paraId="3554FEB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能源监督管理办公室</w:t>
            </w:r>
          </w:p>
        </w:tc>
        <w:tc>
          <w:tcPr>
            <w:tcW w:w="667" w:type="dxa"/>
            <w:vAlign w:val="center"/>
          </w:tcPr>
          <w:p w14:paraId="4B8F57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县市区级</w:t>
            </w:r>
          </w:p>
        </w:tc>
        <w:tc>
          <w:tcPr>
            <w:tcW w:w="816" w:type="dxa"/>
            <w:vAlign w:val="center"/>
          </w:tcPr>
          <w:p w14:paraId="7C8B11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负责辖区内石油天然气管道竣工测量图的备案</w:t>
            </w:r>
          </w:p>
        </w:tc>
        <w:tc>
          <w:tcPr>
            <w:tcW w:w="1300" w:type="dxa"/>
            <w:vAlign w:val="center"/>
          </w:tcPr>
          <w:p w14:paraId="51786DA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管道企业应当自管道竣工验收合格之日起六十日内，将竣工测量图报管道所在地县级以上地方人民政府主管管道保护工作的部门备案</w:t>
            </w:r>
          </w:p>
        </w:tc>
        <w:tc>
          <w:tcPr>
            <w:tcW w:w="1784" w:type="dxa"/>
            <w:vAlign w:val="center"/>
          </w:tcPr>
          <w:p w14:paraId="7E2F744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2C300C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1.规范完善备案标准、程序等具体规定；主动公示依据、条件、数量、程序、期限以及需要提交的全部材料的目录和申请书示范文本等，便于申请人阅取。</w:t>
            </w:r>
          </w:p>
          <w:p w14:paraId="10ACE6B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2.备案机关应在正式受理项目备案材料后十个工作日内办结。对涉及重大事项不能按时办结的，经本级机关负责人批准，可以延长七个工作日，并应及时书面通知项目单位，说明延期理由。</w:t>
            </w:r>
          </w:p>
          <w:p w14:paraId="5158DF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3.备案机关如认为资料不齐全或不符合有关要求，应在收到材料后两个工作日内一次性告知管道企业。</w:t>
            </w:r>
          </w:p>
          <w:p w14:paraId="4F8A13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4.备案机关对符合备案条件的项目予以备案，出具书面备案决定书。对不符合备案条件不予备案的项目，出具通知书。</w:t>
            </w:r>
          </w:p>
          <w:p w14:paraId="7916226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5.备案机关应加强对项目实施的监督检查。</w:t>
            </w:r>
          </w:p>
        </w:tc>
        <w:tc>
          <w:tcPr>
            <w:tcW w:w="2633" w:type="dxa"/>
            <w:vAlign w:val="center"/>
          </w:tcPr>
          <w:p w14:paraId="16C38BF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【法律】《中华人民共和国石油天然气管道保护法》（2010年6月25日第十一届全国人民代表大会常务委员会第十五次会议通过，国家主席令第30号公布，自2010年10月1日起施行）</w:t>
            </w:r>
          </w:p>
          <w:p w14:paraId="7E1123E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    第二十条：管道企业应当自管道竣工验收合格之日起六十日内，将竣工测量图报管道所在地县级以上地方人民政府主管管道保护工作的部门备案；县级以上地方人民政府主管管道保护工作的部门应当将管道企业报送的管道竣工测量图分送本级人民政府规划、建设、国土资源、铁路、交通、水利、公安、安全生产监督管理等部门和有关军事机关</w:t>
            </w:r>
          </w:p>
        </w:tc>
        <w:tc>
          <w:tcPr>
            <w:tcW w:w="1033" w:type="dxa"/>
            <w:vAlign w:val="center"/>
          </w:tcPr>
          <w:p w14:paraId="01BAB4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338D314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0AA6D7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3.单位法定代表人或分管领导。</w:t>
            </w:r>
          </w:p>
        </w:tc>
        <w:tc>
          <w:tcPr>
            <w:tcW w:w="2040" w:type="dxa"/>
            <w:vAlign w:val="center"/>
          </w:tcPr>
          <w:p w14:paraId="05A91DA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 xml:space="preserve">因不履行或不正确履行行政职责，有下列情形的，行政机关及相关工作人员应承担相应的责任：  </w:t>
            </w:r>
          </w:p>
          <w:p w14:paraId="6C9AB5E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1.滥用职权、玩忽职守、徇私舞弊、索贿受贿的；</w:t>
            </w:r>
          </w:p>
          <w:p w14:paraId="35DAC0D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2.违反规定的程序和条件办理项目核准、备案的；</w:t>
            </w:r>
          </w:p>
          <w:p w14:paraId="31141FB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3.其他违反法律法规规章文件规定的行为。</w:t>
            </w:r>
          </w:p>
        </w:tc>
        <w:tc>
          <w:tcPr>
            <w:tcW w:w="780" w:type="dxa"/>
            <w:vAlign w:val="center"/>
          </w:tcPr>
          <w:p w14:paraId="512975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r w14:paraId="40316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22" w:type="dxa"/>
            <w:vAlign w:val="center"/>
          </w:tcPr>
          <w:p w14:paraId="3AF8AFF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3</w:t>
            </w:r>
          </w:p>
        </w:tc>
        <w:tc>
          <w:tcPr>
            <w:tcW w:w="733" w:type="dxa"/>
            <w:vAlign w:val="center"/>
          </w:tcPr>
          <w:p w14:paraId="61260A5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人民防空工程开发利用登记</w:t>
            </w:r>
          </w:p>
        </w:tc>
        <w:tc>
          <w:tcPr>
            <w:tcW w:w="534" w:type="dxa"/>
            <w:vAlign w:val="center"/>
          </w:tcPr>
          <w:p w14:paraId="1565223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900" w:type="dxa"/>
            <w:vAlign w:val="center"/>
          </w:tcPr>
          <w:p w14:paraId="407B77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其他行政权力</w:t>
            </w:r>
          </w:p>
        </w:tc>
        <w:tc>
          <w:tcPr>
            <w:tcW w:w="4650" w:type="dxa"/>
            <w:vAlign w:val="center"/>
          </w:tcPr>
          <w:p w14:paraId="15EBF8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【法规】《新疆维吾尔自治区实施〈中华人民共和国人民防空法〉办法》（2007年9月28日新疆维吾尔自治区第十届人民代表大会常务委员会第三十三次会议通过，自2008年1月1日起施行）</w:t>
            </w:r>
          </w:p>
          <w:p w14:paraId="6679372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二条：人民防空工程除重要的指挥、通信等工程外，在不影响其防空效能的条件下，鼓励平时开发利用，为经济建设和人民生活服务。平时开发利用人民防空工程的，使用者与工程投资者签订租赁合同后5日内，向所在地的县（市、区）人民防空主管部门登记。</w:t>
            </w:r>
          </w:p>
        </w:tc>
        <w:tc>
          <w:tcPr>
            <w:tcW w:w="1116" w:type="dxa"/>
            <w:vAlign w:val="center"/>
          </w:tcPr>
          <w:p w14:paraId="36FBEDE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县市区发展和改革委员会（国防动员保障中心）</w:t>
            </w:r>
          </w:p>
        </w:tc>
        <w:tc>
          <w:tcPr>
            <w:tcW w:w="567" w:type="dxa"/>
            <w:vAlign w:val="center"/>
          </w:tcPr>
          <w:p w14:paraId="7D86EE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国防动员保障中心</w:t>
            </w:r>
          </w:p>
        </w:tc>
        <w:tc>
          <w:tcPr>
            <w:tcW w:w="667" w:type="dxa"/>
            <w:vAlign w:val="center"/>
          </w:tcPr>
          <w:p w14:paraId="634552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县市区级</w:t>
            </w:r>
          </w:p>
        </w:tc>
        <w:tc>
          <w:tcPr>
            <w:tcW w:w="816" w:type="dxa"/>
            <w:vAlign w:val="center"/>
          </w:tcPr>
          <w:p w14:paraId="72F531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对辖区内人防工程进行登记</w:t>
            </w:r>
          </w:p>
        </w:tc>
        <w:tc>
          <w:tcPr>
            <w:tcW w:w="1300" w:type="dxa"/>
            <w:vAlign w:val="center"/>
          </w:tcPr>
          <w:p w14:paraId="435D6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完成人防工程报备工作</w:t>
            </w:r>
          </w:p>
        </w:tc>
        <w:tc>
          <w:tcPr>
            <w:tcW w:w="1784" w:type="dxa"/>
            <w:vAlign w:val="center"/>
          </w:tcPr>
          <w:p w14:paraId="3B28762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07C3010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1.完善本行政区域内人民防空工程开发利用登记工作；</w:t>
            </w:r>
          </w:p>
          <w:p w14:paraId="4FA54E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2.依据人民防空工程平战结合利用标准规范，依法实施人民防空工程开发利用登记；</w:t>
            </w:r>
          </w:p>
          <w:p w14:paraId="472511C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3.对实施人民防空工程开发利用登记过程中发现的问题及时予以纠正。</w:t>
            </w:r>
          </w:p>
        </w:tc>
        <w:tc>
          <w:tcPr>
            <w:tcW w:w="2633" w:type="dxa"/>
            <w:vAlign w:val="center"/>
          </w:tcPr>
          <w:p w14:paraId="1787DB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【法规】《新疆维吾尔自治区实施〈中华人民共和国人民防空法〉办法》（2007年9月28日新疆维吾尔自治区第十届人民代表大会常务委员会第三十三次会议通过，自2008年1月1日起施行）</w:t>
            </w:r>
          </w:p>
          <w:p w14:paraId="040469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二条：人民防空工程除重要的指挥、通信等工程外，在不影响其防空效能的条件下，鼓励平时开发利用，为经济建设和人民生活服务。平时开发利用人民防空工程的，使用者与工程投资者签订租赁合同后5日内，向所在地的县（市、区）人民防空主管部门登记。</w:t>
            </w:r>
          </w:p>
        </w:tc>
        <w:tc>
          <w:tcPr>
            <w:tcW w:w="1033" w:type="dxa"/>
            <w:vAlign w:val="center"/>
          </w:tcPr>
          <w:p w14:paraId="1E21443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431B18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22F28F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2040" w:type="dxa"/>
            <w:vAlign w:val="center"/>
          </w:tcPr>
          <w:p w14:paraId="7B45BC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37CE11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1.玩忽职守，不依法依规受理人防工程平时开发利用登记申请，或变相违规收取费用的；</w:t>
            </w:r>
          </w:p>
          <w:p w14:paraId="4F8B4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2.滥用职权，擅自调整或变更人防工程平时开发利用登记受理条件和标准的；</w:t>
            </w:r>
          </w:p>
          <w:p w14:paraId="383E248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3.徇私舞弊，违规办理人民防空工程开发利用登记的；</w:t>
            </w:r>
          </w:p>
          <w:p w14:paraId="4DAE2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4.其他违反法律法规规章文件规定的行为。</w:t>
            </w:r>
          </w:p>
        </w:tc>
        <w:tc>
          <w:tcPr>
            <w:tcW w:w="780" w:type="dxa"/>
            <w:vAlign w:val="center"/>
          </w:tcPr>
          <w:p w14:paraId="25C2D2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r w14:paraId="1B05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622" w:type="dxa"/>
            <w:vAlign w:val="center"/>
          </w:tcPr>
          <w:p w14:paraId="32A9FD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28"/>
                <w:szCs w:val="28"/>
                <w:vertAlign w:val="baseline"/>
                <w:lang w:val="en-US" w:eastAsia="zh-CN"/>
              </w:rPr>
            </w:pPr>
            <w:r>
              <w:rPr>
                <w:rFonts w:hint="default" w:ascii="Times New Roman" w:hAnsi="Times New Roman" w:eastAsia="方正小标宋_GBK" w:cs="Times New Roman"/>
                <w:sz w:val="28"/>
                <w:szCs w:val="28"/>
                <w:vertAlign w:val="baseline"/>
                <w:lang w:val="en-US" w:eastAsia="zh-CN"/>
              </w:rPr>
              <w:t>4</w:t>
            </w:r>
          </w:p>
        </w:tc>
        <w:tc>
          <w:tcPr>
            <w:tcW w:w="733" w:type="dxa"/>
            <w:vAlign w:val="center"/>
          </w:tcPr>
          <w:p w14:paraId="4BDCD5F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设置人民防空警报设施的建筑物权属发生变更的备案</w:t>
            </w:r>
          </w:p>
        </w:tc>
        <w:tc>
          <w:tcPr>
            <w:tcW w:w="534" w:type="dxa"/>
            <w:vAlign w:val="center"/>
          </w:tcPr>
          <w:p w14:paraId="6528E5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900" w:type="dxa"/>
            <w:vAlign w:val="center"/>
          </w:tcPr>
          <w:p w14:paraId="4CB0B2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其他行政权力</w:t>
            </w:r>
          </w:p>
        </w:tc>
        <w:tc>
          <w:tcPr>
            <w:tcW w:w="4650" w:type="dxa"/>
            <w:vAlign w:val="center"/>
          </w:tcPr>
          <w:p w14:paraId="3CC2B80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【法规】《新疆维吾尔自治区实施〈中华人民共和国人民防空法〉办法》（2007年9月28日新疆维吾尔自治区第十届人民代表大会常务委员会第三十三次会议通过，自2008年1月1日起施行）</w:t>
            </w:r>
          </w:p>
          <w:p w14:paraId="3B40195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八条：在人民防空警报设置点或者规划设置点修建高层建筑物的，应当在该建筑物顶层预留警报设施专用房，由人民防空主管部门安装防空警报设施。设置人民防空警报设施的建筑物权属发生变更的，应当向所在地的县（市、区）人民防空主管部门办理备案手续。</w:t>
            </w:r>
          </w:p>
        </w:tc>
        <w:tc>
          <w:tcPr>
            <w:tcW w:w="1116" w:type="dxa"/>
            <w:vAlign w:val="center"/>
          </w:tcPr>
          <w:p w14:paraId="6DC76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县市区发展和改革委员会（国防动员保障中心）</w:t>
            </w:r>
          </w:p>
        </w:tc>
        <w:tc>
          <w:tcPr>
            <w:tcW w:w="567" w:type="dxa"/>
            <w:vAlign w:val="center"/>
          </w:tcPr>
          <w:p w14:paraId="418ECA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国防动员保障中心</w:t>
            </w:r>
          </w:p>
        </w:tc>
        <w:tc>
          <w:tcPr>
            <w:tcW w:w="667" w:type="dxa"/>
            <w:vAlign w:val="center"/>
          </w:tcPr>
          <w:p w14:paraId="34268FC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县市区级</w:t>
            </w:r>
          </w:p>
        </w:tc>
        <w:tc>
          <w:tcPr>
            <w:tcW w:w="816" w:type="dxa"/>
            <w:vAlign w:val="center"/>
          </w:tcPr>
          <w:p w14:paraId="47FE2F5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对警报站点的日常监管</w:t>
            </w:r>
          </w:p>
        </w:tc>
        <w:tc>
          <w:tcPr>
            <w:tcW w:w="1300" w:type="dxa"/>
            <w:vAlign w:val="center"/>
          </w:tcPr>
          <w:p w14:paraId="5C5DF4F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default" w:asciiTheme="minorEastAsia" w:hAnsiTheme="minorEastAsia" w:cstheme="minorEastAsia"/>
                <w:sz w:val="24"/>
                <w:szCs w:val="24"/>
                <w:vertAlign w:val="baseline"/>
                <w:lang w:val="en-US" w:eastAsia="zh-CN"/>
              </w:rPr>
              <w:t>对警报站点的建设、维护和</w:t>
            </w:r>
            <w:r>
              <w:rPr>
                <w:rFonts w:hint="eastAsia" w:asciiTheme="minorEastAsia" w:hAnsiTheme="minorEastAsia" w:cstheme="minorEastAsia"/>
                <w:sz w:val="24"/>
                <w:szCs w:val="24"/>
                <w:vertAlign w:val="baseline"/>
                <w:lang w:val="en-US" w:eastAsia="zh-CN"/>
              </w:rPr>
              <w:t>巡查</w:t>
            </w:r>
            <w:r>
              <w:rPr>
                <w:rFonts w:hint="default" w:asciiTheme="minorEastAsia" w:hAnsiTheme="minorEastAsia" w:cstheme="minorEastAsia"/>
                <w:sz w:val="24"/>
                <w:szCs w:val="24"/>
                <w:vertAlign w:val="baseline"/>
                <w:lang w:val="en-US" w:eastAsia="zh-CN"/>
              </w:rPr>
              <w:t>工作</w:t>
            </w:r>
          </w:p>
        </w:tc>
        <w:tc>
          <w:tcPr>
            <w:tcW w:w="1784" w:type="dxa"/>
            <w:vAlign w:val="center"/>
          </w:tcPr>
          <w:p w14:paraId="5348E7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直接实施责任：</w:t>
            </w:r>
          </w:p>
          <w:p w14:paraId="088E9C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1.完善本行政区域内设置人民防空警报设施的建筑物权属发生变更的备案工作标准，并进一步规范备案程序和内容；</w:t>
            </w:r>
          </w:p>
          <w:p w14:paraId="25311B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2.依据人民防空警报设施维护管理标准和规范，依法实施设置人民防空警报设施的建筑物权属发生变更的备案。</w:t>
            </w:r>
          </w:p>
        </w:tc>
        <w:tc>
          <w:tcPr>
            <w:tcW w:w="2633" w:type="dxa"/>
            <w:vAlign w:val="center"/>
          </w:tcPr>
          <w:p w14:paraId="44841E6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【法规】《新疆维吾尔自治区实施〈中华人民共和国人民防空法〉办法》（2007年9月28日新疆维吾尔自治区第十届人民代表大会常务委员会第三十三次会议通过，自2008年1月1日起施行）</w:t>
            </w:r>
          </w:p>
          <w:p w14:paraId="60E4EB4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第二十八条：在人民防空警报设置点或者规划设置点修建高层建筑物的，应</w:t>
            </w:r>
            <w:bookmarkStart w:id="0" w:name="_GoBack"/>
            <w:bookmarkEnd w:id="0"/>
            <w:r>
              <w:rPr>
                <w:rFonts w:hint="eastAsia" w:asciiTheme="minorEastAsia" w:hAnsiTheme="minorEastAsia" w:cstheme="minorEastAsia"/>
                <w:sz w:val="24"/>
                <w:szCs w:val="24"/>
                <w:vertAlign w:val="baseline"/>
                <w:lang w:val="en-US" w:eastAsia="zh-CN"/>
              </w:rPr>
              <w:t>当在该建筑物顶层预留警报设施专用房，由人民防空主管部门安装防空警报设施。设置人民防空警报设施的建筑物权属发生变更的，应当向所在地的县（市、区）人民防空主管部门办理备案手续。</w:t>
            </w:r>
          </w:p>
        </w:tc>
        <w:tc>
          <w:tcPr>
            <w:tcW w:w="1033" w:type="dxa"/>
            <w:vAlign w:val="center"/>
          </w:tcPr>
          <w:p w14:paraId="076932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1.具体承办人；</w:t>
            </w:r>
          </w:p>
          <w:p w14:paraId="251E03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2.内设机构负责人。</w:t>
            </w:r>
          </w:p>
          <w:p w14:paraId="694F32F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c>
          <w:tcPr>
            <w:tcW w:w="2040" w:type="dxa"/>
            <w:vAlign w:val="center"/>
          </w:tcPr>
          <w:p w14:paraId="259271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因不履行或不正确履行行政职责，有下列情形的，行政机关及相关工作人员应承担相应的责任：</w:t>
            </w:r>
          </w:p>
          <w:p w14:paraId="6175812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1.玩忽职守，不依法依规受理设置人民防空警报设施的建筑物权属发生变更的备案申请，违规收取备案费用的；</w:t>
            </w:r>
          </w:p>
          <w:p w14:paraId="699A48E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2.滥用职权，擅自调整或变更设置人民防空警报设施的建筑物权属发生变更的备案受理条件和标准的；</w:t>
            </w:r>
          </w:p>
          <w:p w14:paraId="039023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3.徇私舞弊，违规办理设置人民防空警报设施的建筑物权属发生变更备案的；</w:t>
            </w:r>
          </w:p>
          <w:p w14:paraId="6EA1529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r>
              <w:rPr>
                <w:rFonts w:hint="eastAsia" w:asciiTheme="minorEastAsia" w:hAnsiTheme="minorEastAsia" w:cstheme="minorEastAsia"/>
                <w:sz w:val="24"/>
                <w:szCs w:val="24"/>
                <w:vertAlign w:val="baseline"/>
                <w:lang w:val="en-US" w:eastAsia="zh-CN"/>
              </w:rPr>
              <w:t>4.其他违反法律法规规章文件规定的行为。</w:t>
            </w:r>
          </w:p>
        </w:tc>
        <w:tc>
          <w:tcPr>
            <w:tcW w:w="780" w:type="dxa"/>
            <w:vAlign w:val="center"/>
          </w:tcPr>
          <w:p w14:paraId="11477DB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Theme="minorEastAsia" w:hAnsiTheme="minorEastAsia" w:cstheme="minorEastAsia"/>
                <w:sz w:val="24"/>
                <w:szCs w:val="24"/>
                <w:vertAlign w:val="baseline"/>
                <w:lang w:val="en-US" w:eastAsia="zh-CN"/>
              </w:rPr>
            </w:pPr>
          </w:p>
        </w:tc>
      </w:tr>
    </w:tbl>
    <w:p w14:paraId="1A17A0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6E2C2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76BD0DA">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11D05E40">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03CF48D0"/>
    <w:rsid w:val="044863E4"/>
    <w:rsid w:val="0DC00CF9"/>
    <w:rsid w:val="175A1E49"/>
    <w:rsid w:val="1CA93AFA"/>
    <w:rsid w:val="1D816232"/>
    <w:rsid w:val="1EF413AD"/>
    <w:rsid w:val="20052EF5"/>
    <w:rsid w:val="204958FC"/>
    <w:rsid w:val="211854C6"/>
    <w:rsid w:val="215D62F8"/>
    <w:rsid w:val="23602CBD"/>
    <w:rsid w:val="237B1C44"/>
    <w:rsid w:val="251D6CAE"/>
    <w:rsid w:val="26186658"/>
    <w:rsid w:val="2A303102"/>
    <w:rsid w:val="2DAF4B82"/>
    <w:rsid w:val="2F7040F5"/>
    <w:rsid w:val="31416C5C"/>
    <w:rsid w:val="32067F32"/>
    <w:rsid w:val="325255F8"/>
    <w:rsid w:val="33A928CE"/>
    <w:rsid w:val="3716433D"/>
    <w:rsid w:val="37B4116F"/>
    <w:rsid w:val="38E85CE9"/>
    <w:rsid w:val="39965008"/>
    <w:rsid w:val="407F67D3"/>
    <w:rsid w:val="44CC2B6C"/>
    <w:rsid w:val="45011D41"/>
    <w:rsid w:val="46AA0CC6"/>
    <w:rsid w:val="4AED334A"/>
    <w:rsid w:val="4C380D83"/>
    <w:rsid w:val="4E1F7CCD"/>
    <w:rsid w:val="519647E9"/>
    <w:rsid w:val="52E53BF4"/>
    <w:rsid w:val="5A9558D9"/>
    <w:rsid w:val="5DEE5DA8"/>
    <w:rsid w:val="5E3774A1"/>
    <w:rsid w:val="63954645"/>
    <w:rsid w:val="63CC36EB"/>
    <w:rsid w:val="668F2A3A"/>
    <w:rsid w:val="67EC1B5C"/>
    <w:rsid w:val="6D294032"/>
    <w:rsid w:val="72D44DE7"/>
    <w:rsid w:val="72ED761A"/>
    <w:rsid w:val="74B64688"/>
    <w:rsid w:val="79890120"/>
    <w:rsid w:val="7A8B2D57"/>
    <w:rsid w:val="7B691A9A"/>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18303</Words>
  <Characters>18947</Characters>
  <Lines>0</Lines>
  <Paragraphs>0</Paragraphs>
  <TotalTime>44</TotalTime>
  <ScaleCrop>false</ScaleCrop>
  <LinksUpToDate>false</LinksUpToDate>
  <CharactersWithSpaces>19180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2025-10-29T07:58:21Z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18B6A4426C82492FA40045909FC3F60A_13</vt:lpwstr>
  </property>
  <property fmtid="{D5CDD505-2E9C-101B-9397-08002B2CF9AE}" pid="4" name="KSOTemplateDocerSaveRecord">
    <vt:lpwstr>eyJoZGlkIjoiNzAzMTZiOTBhOTBkMDc3MWNhMWMyZjVmMDg2YmMwOTgiLCJ1c2VySWQiOiIxODc2NTQwNiJ9</vt:lpwstr>
  </property>
</Properties>
</file>