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D677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_GBK" w:hAnsi="方正小标宋_GBK" w:eastAsia="方正小标宋_GBK" w:cs="方正小标宋_GBK"/>
          <w:sz w:val="44"/>
          <w:szCs w:val="44"/>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-4</w:t>
      </w:r>
    </w:p>
    <w:p w14:paraId="33DC922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商务局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tbl>
      <w:tblPr>
        <w:tblStyle w:val="3"/>
        <w:tblpPr w:leftFromText="180" w:rightFromText="180" w:vertAnchor="text" w:horzAnchor="page" w:tblpX="1992" w:tblpY="26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375"/>
        <w:gridCol w:w="390"/>
        <w:gridCol w:w="525"/>
        <w:gridCol w:w="3659"/>
        <w:gridCol w:w="435"/>
        <w:gridCol w:w="465"/>
        <w:gridCol w:w="570"/>
        <w:gridCol w:w="615"/>
        <w:gridCol w:w="1650"/>
        <w:gridCol w:w="2010"/>
        <w:gridCol w:w="3780"/>
        <w:gridCol w:w="1155"/>
        <w:gridCol w:w="2715"/>
        <w:gridCol w:w="1155"/>
      </w:tblGrid>
      <w:tr w14:paraId="41BED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357" w:type="dxa"/>
            <w:vAlign w:val="center"/>
          </w:tcPr>
          <w:p w14:paraId="57CF5D5E">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2"/>
                <w:szCs w:val="22"/>
                <w:vertAlign w:val="baseline"/>
                <w:lang w:eastAsia="zh-CN"/>
              </w:rPr>
            </w:pPr>
            <w:r>
              <w:rPr>
                <w:rFonts w:hint="eastAsia" w:ascii="方正仿宋_GBK" w:hAnsi="方正仿宋_GBK" w:eastAsia="方正仿宋_GBK" w:cs="方正仿宋_GBK"/>
                <w:b/>
                <w:bCs/>
                <w:sz w:val="22"/>
                <w:szCs w:val="22"/>
                <w:vertAlign w:val="baseline"/>
                <w:lang w:eastAsia="zh-CN"/>
              </w:rPr>
              <w:t>序号</w:t>
            </w:r>
          </w:p>
        </w:tc>
        <w:tc>
          <w:tcPr>
            <w:tcW w:w="375" w:type="dxa"/>
            <w:vAlign w:val="center"/>
          </w:tcPr>
          <w:p w14:paraId="56E6079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2"/>
                <w:szCs w:val="22"/>
                <w:vertAlign w:val="baseline"/>
                <w:lang w:eastAsia="zh-CN"/>
              </w:rPr>
            </w:pPr>
            <w:r>
              <w:rPr>
                <w:rFonts w:hint="eastAsia" w:ascii="方正仿宋_GBK" w:hAnsi="方正仿宋_GBK" w:eastAsia="方正仿宋_GBK" w:cs="方正仿宋_GBK"/>
                <w:b/>
                <w:bCs/>
                <w:sz w:val="22"/>
                <w:szCs w:val="22"/>
                <w:vertAlign w:val="baseline"/>
                <w:lang w:eastAsia="zh-CN"/>
              </w:rPr>
              <w:t>事项名称</w:t>
            </w:r>
          </w:p>
        </w:tc>
        <w:tc>
          <w:tcPr>
            <w:tcW w:w="390" w:type="dxa"/>
            <w:vAlign w:val="center"/>
          </w:tcPr>
          <w:p w14:paraId="6A6E904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2"/>
                <w:szCs w:val="22"/>
                <w:vertAlign w:val="baseline"/>
                <w:lang w:eastAsia="zh-CN"/>
              </w:rPr>
            </w:pPr>
            <w:r>
              <w:rPr>
                <w:rFonts w:hint="eastAsia" w:ascii="方正仿宋_GBK" w:hAnsi="方正仿宋_GBK" w:eastAsia="方正仿宋_GBK" w:cs="方正仿宋_GBK"/>
                <w:b/>
                <w:bCs/>
                <w:sz w:val="22"/>
                <w:szCs w:val="22"/>
                <w:vertAlign w:val="baseline"/>
                <w:lang w:eastAsia="zh-CN"/>
              </w:rPr>
              <w:t>子项名称</w:t>
            </w:r>
          </w:p>
        </w:tc>
        <w:tc>
          <w:tcPr>
            <w:tcW w:w="525" w:type="dxa"/>
            <w:vAlign w:val="center"/>
          </w:tcPr>
          <w:p w14:paraId="3A2EDC8C">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2"/>
                <w:szCs w:val="22"/>
                <w:vertAlign w:val="baseline"/>
              </w:rPr>
            </w:pPr>
            <w:r>
              <w:rPr>
                <w:rFonts w:hint="eastAsia" w:ascii="方正仿宋_GBK" w:hAnsi="方正仿宋_GBK" w:eastAsia="方正仿宋_GBK" w:cs="方正仿宋_GBK"/>
                <w:b/>
                <w:bCs/>
                <w:sz w:val="22"/>
                <w:szCs w:val="22"/>
                <w:vertAlign w:val="baseline"/>
              </w:rPr>
              <w:t>权力类型</w:t>
            </w:r>
          </w:p>
        </w:tc>
        <w:tc>
          <w:tcPr>
            <w:tcW w:w="3659" w:type="dxa"/>
            <w:vAlign w:val="center"/>
          </w:tcPr>
          <w:p w14:paraId="3305C33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2"/>
                <w:szCs w:val="22"/>
                <w:vertAlign w:val="baseline"/>
              </w:rPr>
            </w:pPr>
            <w:r>
              <w:rPr>
                <w:rFonts w:hint="eastAsia" w:ascii="方正仿宋_GBK" w:hAnsi="方正仿宋_GBK" w:eastAsia="方正仿宋_GBK" w:cs="方正仿宋_GBK"/>
                <w:b/>
                <w:bCs/>
                <w:sz w:val="22"/>
                <w:szCs w:val="22"/>
                <w:vertAlign w:val="baseline"/>
              </w:rPr>
              <w:t>实施依据</w:t>
            </w:r>
          </w:p>
        </w:tc>
        <w:tc>
          <w:tcPr>
            <w:tcW w:w="435" w:type="dxa"/>
            <w:vAlign w:val="center"/>
          </w:tcPr>
          <w:p w14:paraId="5DE32F7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2"/>
                <w:szCs w:val="22"/>
                <w:vertAlign w:val="baseline"/>
              </w:rPr>
            </w:pPr>
            <w:r>
              <w:rPr>
                <w:rFonts w:hint="eastAsia" w:ascii="方正仿宋_GBK" w:hAnsi="方正仿宋_GBK" w:eastAsia="方正仿宋_GBK" w:cs="方正仿宋_GBK"/>
                <w:b/>
                <w:bCs/>
                <w:sz w:val="22"/>
                <w:szCs w:val="22"/>
                <w:vertAlign w:val="baseline"/>
              </w:rPr>
              <w:t>行使主体</w:t>
            </w:r>
          </w:p>
        </w:tc>
        <w:tc>
          <w:tcPr>
            <w:tcW w:w="465" w:type="dxa"/>
            <w:vAlign w:val="center"/>
          </w:tcPr>
          <w:p w14:paraId="38A6E833">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2"/>
                <w:szCs w:val="22"/>
                <w:vertAlign w:val="baseline"/>
              </w:rPr>
            </w:pPr>
            <w:r>
              <w:rPr>
                <w:rFonts w:hint="eastAsia" w:ascii="方正仿宋_GBK" w:hAnsi="方正仿宋_GBK" w:eastAsia="方正仿宋_GBK" w:cs="方正仿宋_GBK"/>
                <w:b/>
                <w:bCs/>
                <w:sz w:val="22"/>
                <w:szCs w:val="22"/>
                <w:vertAlign w:val="baseline"/>
              </w:rPr>
              <w:t>承办机构</w:t>
            </w:r>
          </w:p>
        </w:tc>
        <w:tc>
          <w:tcPr>
            <w:tcW w:w="1185" w:type="dxa"/>
            <w:gridSpan w:val="2"/>
            <w:vAlign w:val="center"/>
          </w:tcPr>
          <w:p w14:paraId="5C87FE3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2"/>
                <w:szCs w:val="22"/>
                <w:vertAlign w:val="baseline"/>
              </w:rPr>
            </w:pPr>
            <w:r>
              <w:rPr>
                <w:rFonts w:hint="eastAsia" w:ascii="方正仿宋_GBK" w:hAnsi="方正仿宋_GBK" w:eastAsia="方正仿宋_GBK" w:cs="方正仿宋_GBK"/>
                <w:b/>
                <w:bCs/>
                <w:sz w:val="22"/>
                <w:szCs w:val="22"/>
                <w:vertAlign w:val="baseline"/>
              </w:rPr>
              <w:t>实施层级及权限</w:t>
            </w:r>
          </w:p>
        </w:tc>
        <w:tc>
          <w:tcPr>
            <w:tcW w:w="1650" w:type="dxa"/>
            <w:vAlign w:val="center"/>
          </w:tcPr>
          <w:p w14:paraId="601F6B9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2"/>
                <w:szCs w:val="22"/>
                <w:vertAlign w:val="baseline"/>
              </w:rPr>
            </w:pPr>
            <w:r>
              <w:rPr>
                <w:rFonts w:hint="eastAsia" w:ascii="方正仿宋_GBK" w:hAnsi="方正仿宋_GBK" w:eastAsia="方正仿宋_GBK" w:cs="方正仿宋_GBK"/>
                <w:b/>
                <w:bCs/>
                <w:sz w:val="22"/>
                <w:szCs w:val="22"/>
                <w:vertAlign w:val="baseline"/>
              </w:rPr>
              <w:t>部门职责</w:t>
            </w:r>
          </w:p>
        </w:tc>
        <w:tc>
          <w:tcPr>
            <w:tcW w:w="2010" w:type="dxa"/>
            <w:vAlign w:val="center"/>
          </w:tcPr>
          <w:p w14:paraId="4BAB641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2"/>
                <w:szCs w:val="22"/>
                <w:vertAlign w:val="baseline"/>
              </w:rPr>
            </w:pPr>
            <w:r>
              <w:rPr>
                <w:rFonts w:hint="eastAsia" w:ascii="方正仿宋_GBK" w:hAnsi="方正仿宋_GBK" w:eastAsia="方正仿宋_GBK" w:cs="方正仿宋_GBK"/>
                <w:b/>
                <w:bCs/>
                <w:sz w:val="22"/>
                <w:szCs w:val="22"/>
                <w:vertAlign w:val="baseline"/>
              </w:rPr>
              <w:t>责任事项内容</w:t>
            </w:r>
          </w:p>
        </w:tc>
        <w:tc>
          <w:tcPr>
            <w:tcW w:w="3780" w:type="dxa"/>
            <w:vAlign w:val="center"/>
          </w:tcPr>
          <w:p w14:paraId="11856BA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2"/>
                <w:szCs w:val="22"/>
                <w:vertAlign w:val="baseline"/>
              </w:rPr>
            </w:pPr>
            <w:r>
              <w:rPr>
                <w:rFonts w:hint="eastAsia" w:ascii="方正仿宋_GBK" w:hAnsi="方正仿宋_GBK" w:eastAsia="方正仿宋_GBK" w:cs="方正仿宋_GBK"/>
                <w:b/>
                <w:bCs/>
                <w:sz w:val="22"/>
                <w:szCs w:val="22"/>
                <w:vertAlign w:val="baseline"/>
              </w:rPr>
              <w:t>责任事项依据</w:t>
            </w:r>
          </w:p>
        </w:tc>
        <w:tc>
          <w:tcPr>
            <w:tcW w:w="1155" w:type="dxa"/>
            <w:vAlign w:val="center"/>
          </w:tcPr>
          <w:p w14:paraId="04AF2FB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2"/>
                <w:szCs w:val="22"/>
                <w:vertAlign w:val="baseline"/>
              </w:rPr>
            </w:pPr>
            <w:r>
              <w:rPr>
                <w:rFonts w:hint="eastAsia" w:ascii="方正仿宋_GBK" w:hAnsi="方正仿宋_GBK" w:eastAsia="方正仿宋_GBK" w:cs="方正仿宋_GBK"/>
                <w:b/>
                <w:bCs/>
                <w:sz w:val="22"/>
                <w:szCs w:val="22"/>
                <w:vertAlign w:val="baseline"/>
              </w:rPr>
              <w:t>追责对</w:t>
            </w:r>
          </w:p>
          <w:p w14:paraId="53AB01D5">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2"/>
                <w:szCs w:val="22"/>
                <w:vertAlign w:val="baseline"/>
              </w:rPr>
            </w:pPr>
            <w:r>
              <w:rPr>
                <w:rFonts w:hint="eastAsia" w:ascii="方正仿宋_GBK" w:hAnsi="方正仿宋_GBK" w:eastAsia="方正仿宋_GBK" w:cs="方正仿宋_GBK"/>
                <w:b/>
                <w:bCs/>
                <w:sz w:val="22"/>
                <w:szCs w:val="22"/>
                <w:vertAlign w:val="baseline"/>
              </w:rPr>
              <w:t>象范围</w:t>
            </w:r>
          </w:p>
        </w:tc>
        <w:tc>
          <w:tcPr>
            <w:tcW w:w="2715" w:type="dxa"/>
            <w:vAlign w:val="center"/>
          </w:tcPr>
          <w:p w14:paraId="1A90EBF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2"/>
                <w:szCs w:val="22"/>
                <w:vertAlign w:val="baseline"/>
              </w:rPr>
            </w:pPr>
            <w:r>
              <w:rPr>
                <w:rFonts w:hint="eastAsia" w:ascii="方正仿宋_GBK" w:hAnsi="方正仿宋_GBK" w:eastAsia="方正仿宋_GBK" w:cs="方正仿宋_GBK"/>
                <w:b/>
                <w:bCs/>
                <w:sz w:val="22"/>
                <w:szCs w:val="22"/>
                <w:vertAlign w:val="baseline"/>
              </w:rPr>
              <w:t>追责情形</w:t>
            </w:r>
          </w:p>
        </w:tc>
        <w:tc>
          <w:tcPr>
            <w:tcW w:w="1155" w:type="dxa"/>
            <w:vAlign w:val="center"/>
          </w:tcPr>
          <w:p w14:paraId="37164122">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2"/>
                <w:szCs w:val="22"/>
                <w:vertAlign w:val="baseline"/>
              </w:rPr>
            </w:pPr>
            <w:r>
              <w:rPr>
                <w:rFonts w:hint="eastAsia" w:ascii="方正仿宋_GBK" w:hAnsi="方正仿宋_GBK" w:eastAsia="方正仿宋_GBK" w:cs="方正仿宋_GBK"/>
                <w:b/>
                <w:bCs/>
                <w:sz w:val="22"/>
                <w:szCs w:val="22"/>
                <w:vertAlign w:val="baseline"/>
              </w:rPr>
              <w:t>备注</w:t>
            </w:r>
          </w:p>
        </w:tc>
      </w:tr>
      <w:tr w14:paraId="2E38A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0" w:hRule="atLeast"/>
        </w:trPr>
        <w:tc>
          <w:tcPr>
            <w:tcW w:w="357" w:type="dxa"/>
            <w:vAlign w:val="center"/>
          </w:tcPr>
          <w:p w14:paraId="44363B36">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方正小标宋_GBK" w:cs="Times New Roman"/>
                <w:sz w:val="18"/>
                <w:szCs w:val="18"/>
                <w:vertAlign w:val="baseline"/>
                <w:lang w:val="en-US" w:eastAsia="zh-CN"/>
              </w:rPr>
            </w:pPr>
            <w:r>
              <w:rPr>
                <w:rFonts w:hint="default" w:ascii="Times New Roman" w:hAnsi="Times New Roman" w:eastAsia="方正小标宋_GBK" w:cs="Times New Roman"/>
                <w:sz w:val="18"/>
                <w:szCs w:val="18"/>
                <w:vertAlign w:val="baseline"/>
                <w:lang w:val="en-US" w:eastAsia="zh-CN"/>
              </w:rPr>
              <w:t>1</w:t>
            </w:r>
          </w:p>
        </w:tc>
        <w:tc>
          <w:tcPr>
            <w:tcW w:w="375" w:type="dxa"/>
            <w:vAlign w:val="center"/>
          </w:tcPr>
          <w:p w14:paraId="13B53B6E">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对报废机动车回收企业的监督</w:t>
            </w:r>
            <w:r>
              <w:rPr>
                <w:rFonts w:hint="eastAsia" w:ascii="方正仿宋_GBK" w:hAnsi="方正仿宋_GBK" w:eastAsia="方正仿宋_GBK" w:cs="方正仿宋_GBK"/>
                <w:sz w:val="18"/>
                <w:szCs w:val="18"/>
                <w:vertAlign w:val="baseline"/>
                <w:lang w:eastAsia="zh-CN"/>
              </w:rPr>
              <w:t>检查</w:t>
            </w:r>
          </w:p>
        </w:tc>
        <w:tc>
          <w:tcPr>
            <w:tcW w:w="390" w:type="dxa"/>
            <w:vAlign w:val="center"/>
          </w:tcPr>
          <w:p w14:paraId="007DE40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p>
        </w:tc>
        <w:tc>
          <w:tcPr>
            <w:tcW w:w="525" w:type="dxa"/>
            <w:vAlign w:val="center"/>
          </w:tcPr>
          <w:p w14:paraId="08A84F5E">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行政检查</w:t>
            </w:r>
          </w:p>
        </w:tc>
        <w:tc>
          <w:tcPr>
            <w:tcW w:w="3659" w:type="dxa"/>
            <w:vAlign w:val="center"/>
          </w:tcPr>
          <w:p w14:paraId="30E9E37C">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【法规】《报废机动车回收管理办法》（2019年4月22日中华人民共和国国务院令第715号发布，自2019年6月1日起施行）</w:t>
            </w:r>
          </w:p>
          <w:p w14:paraId="3CEFB499">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第四条第二款：县级以上地方人民政府负责报废机动车回收管理的部门对本行政区域内报废机动车回收活动实施监督管理。县级以上地方人民政府公安、生态环境、工业和信息化、交通运输、市场监督管理等部门在各自的职责范围内对本行政区域内报废机动车回收活动实施有关的监督管理。</w:t>
            </w:r>
          </w:p>
          <w:p w14:paraId="128425C9">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第十六条第一款：县级以上地方人民政府负责报废机动车回收管理的部门应当加强对报废机动车回收企业的监督检查，建立和完善以随机抽查为重点的日常监督检查制度，公布抽查事项目录，明确抽查的依据、频次、方式、内容和程序，随机抽取被检查企业，随机选派检查人员。抽查情况和查处结果应当及时向社会公布。</w:t>
            </w:r>
          </w:p>
          <w:p w14:paraId="69743E23">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【规章】《报废机动车回收管理办法实施细则》（商务部令2020年第2号，自2020年9月1日起施行）</w:t>
            </w:r>
          </w:p>
          <w:p w14:paraId="75299C4E">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第五条第一款：省级商务主管部门负责实施报废机动车回收拆解企业（以下简称回收拆解企业）资质认定工作。县级以上地方商务主管部门对本行政区域内报废机动车回收拆解活动实施监督管理，促进行业健康有序发展。</w:t>
            </w:r>
          </w:p>
          <w:p w14:paraId="3EF70621">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第三十二条：县级以上地方商务主管部门应当会同相关部门，采取“双随机、一公开”方式，对本行政区域内报废机动车回收拆解活动实施日常监督检查，重点检查以下方面：</w:t>
            </w:r>
          </w:p>
          <w:p w14:paraId="67F43D5B">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（一）回收拆解企业符合资质认定条件情况；</w:t>
            </w:r>
          </w:p>
          <w:p w14:paraId="2C772FB6">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（二）报废机动车回收拆解程序合规情况；</w:t>
            </w:r>
          </w:p>
          <w:p w14:paraId="0740E076">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（三）《资质认定书》使用合规情况；</w:t>
            </w:r>
          </w:p>
          <w:p w14:paraId="72EA8C5E">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（四）出具《报废机动车回收证明》情况；</w:t>
            </w:r>
          </w:p>
          <w:p w14:paraId="35F5B67A">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（五）“五大总成”及其他零部件处置情况。</w:t>
            </w:r>
          </w:p>
          <w:p w14:paraId="78B660B0">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第三十三条：县级以上地方商务主管部门可以会同相关部门采取下列措施进行监督检查：</w:t>
            </w:r>
          </w:p>
          <w:p w14:paraId="431E23CA">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（一）进入从事报废机动车回收拆解活动的有关场所进行检查；</w:t>
            </w:r>
          </w:p>
          <w:p w14:paraId="6B461F5B">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（二）询问与监督检查事项有关的单位和个人，要求其说明情况；</w:t>
            </w:r>
          </w:p>
          <w:p w14:paraId="24AA662C">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（三）查阅、复制有关文件、资料，检查相关数据信息系统及复制相关信息数据；</w:t>
            </w:r>
          </w:p>
          <w:p w14:paraId="2EE888C1">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（四）依据有关法律法规采取的其他措施。</w:t>
            </w:r>
          </w:p>
        </w:tc>
        <w:tc>
          <w:tcPr>
            <w:tcW w:w="435" w:type="dxa"/>
            <w:vAlign w:val="center"/>
          </w:tcPr>
          <w:p w14:paraId="518A3123">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县市区商务主管部门</w:t>
            </w:r>
          </w:p>
        </w:tc>
        <w:tc>
          <w:tcPr>
            <w:tcW w:w="465" w:type="dxa"/>
            <w:vAlign w:val="center"/>
          </w:tcPr>
          <w:p w14:paraId="00F8D91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具体承办业务科室</w:t>
            </w:r>
          </w:p>
        </w:tc>
        <w:tc>
          <w:tcPr>
            <w:tcW w:w="570" w:type="dxa"/>
            <w:vAlign w:val="center"/>
          </w:tcPr>
          <w:p w14:paraId="601D276E">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县市区级</w:t>
            </w:r>
          </w:p>
        </w:tc>
        <w:tc>
          <w:tcPr>
            <w:tcW w:w="615" w:type="dxa"/>
            <w:vAlign w:val="center"/>
          </w:tcPr>
          <w:p w14:paraId="69B61D2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对辖区内报废机动车回收企业的监督管理</w:t>
            </w:r>
          </w:p>
        </w:tc>
        <w:tc>
          <w:tcPr>
            <w:tcW w:w="1650" w:type="dxa"/>
            <w:vAlign w:val="center"/>
          </w:tcPr>
          <w:p w14:paraId="4976F014">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按有关规定对汽车流通（含二手车、报废车）等进行监督管理</w:t>
            </w:r>
          </w:p>
        </w:tc>
        <w:tc>
          <w:tcPr>
            <w:tcW w:w="2010" w:type="dxa"/>
            <w:vAlign w:val="center"/>
          </w:tcPr>
          <w:p w14:paraId="324D8523">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直接实施责任：</w:t>
            </w:r>
          </w:p>
          <w:p w14:paraId="520E2377">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1.制定年度监督检查计划，开展</w:t>
            </w:r>
            <w:r>
              <w:rPr>
                <w:rFonts w:hint="eastAsia" w:ascii="方正仿宋_GBK" w:hAnsi="方正仿宋_GBK" w:eastAsia="方正仿宋_GBK" w:cs="方正仿宋_GBK"/>
                <w:sz w:val="18"/>
                <w:szCs w:val="18"/>
                <w:vertAlign w:val="baseline"/>
                <w:lang w:eastAsia="zh-CN"/>
              </w:rPr>
              <w:t>“双随机、一公开”</w:t>
            </w:r>
            <w:r>
              <w:rPr>
                <w:rFonts w:hint="eastAsia" w:ascii="方正仿宋_GBK" w:hAnsi="方正仿宋_GBK" w:eastAsia="方正仿宋_GBK" w:cs="方正仿宋_GBK"/>
                <w:sz w:val="18"/>
                <w:szCs w:val="18"/>
                <w:vertAlign w:val="baseline"/>
              </w:rPr>
              <w:t>检查，通过实地核查、书面检查等多种方式进行监督检查。</w:t>
            </w:r>
          </w:p>
          <w:p w14:paraId="49D194DE">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2.检查结果及时公布。</w:t>
            </w:r>
          </w:p>
          <w:p w14:paraId="1133A733">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3.加强与相关主管部门的沟通协调，开展联合检查，避免多头执法、执法扰民等现象。</w:t>
            </w:r>
          </w:p>
        </w:tc>
        <w:tc>
          <w:tcPr>
            <w:tcW w:w="3780" w:type="dxa"/>
            <w:vAlign w:val="center"/>
          </w:tcPr>
          <w:p w14:paraId="1C0AD190">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【法律】《中华人民共和国行政处罚法》（1996年3月17日第八届全国人民代表大会第四次会议通过发布施行；2021年1月22日修订）</w:t>
            </w:r>
          </w:p>
          <w:p w14:paraId="264196E3">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第五十四条、第五十五条、第五十七条。</w:t>
            </w:r>
          </w:p>
          <w:p w14:paraId="034092FA">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【法规】《报废机动车回收管理办法》（2019年4月22日中华人民共和国国务院令第715号发布，自2019年6月1日起施行，2001年6月16日国务院公布的《报废汽车回收管理办法》同时废止）</w:t>
            </w:r>
          </w:p>
          <w:p w14:paraId="485967FC">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第十六条：县级以上地方人民政府负责报废机动车回收管理的部门应当加强对报废机动车回收企业的监督检查，建立和完善以随机抽查为重点的日常监督检查制度，公布抽查事项目录，明确抽查的依据、频次、方式、内容和程序，随机抽取被检查企业，随机选派检查人员。抽查情况和查处结果应当及时向社会公布。</w:t>
            </w:r>
          </w:p>
          <w:p w14:paraId="6C499C22">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【规章】《报废机动车回收管理办法实施细则》（商务部令2020年第2号，自2020年9月1日起施行）</w:t>
            </w:r>
          </w:p>
          <w:p w14:paraId="4CA2C5D3">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第五条第一款：省级商务主管部门负责实施报废机动车回收拆解企业（以下简称回收拆解企业）资质认定工作。县级以上地方商务主管部门对本行政区域内报废机动车回收拆解活动实施监督管理，促进行业健康有序发展。</w:t>
            </w:r>
          </w:p>
          <w:p w14:paraId="606858CC">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第三十二条：县级以上地方商务主管部门应当会同相关部门，采取“双随机、一公开”方式，对本行政区域内报废机动车回收拆解活动实施日常监督检查，重点检查以下方面（一）回收拆解企业符合资质认定条件情况；（二）报废机动车回收拆解程序合规情况；（三）《资质认定书》使用合规情况；（四）出具《报废机动车回收证明》情况；（五）“五大总成”及其他零部件处置情况。</w:t>
            </w:r>
          </w:p>
          <w:p w14:paraId="58B0BB92">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第三十三条：县级以上地方商务主管部门可以会同相关部门采取下列措施进行监督检查：（一）进入从事报废机动车回收拆解活动的有关场所进行检查；（二）询问与监督检查事项有关的单位和个人，要求其说明情况；（三）查阅、复制有关文件、资料，检查相关数据信息系统及复制相关信息数据；（四）依据有关法律法规采取的其他措施。</w:t>
            </w:r>
          </w:p>
        </w:tc>
        <w:tc>
          <w:tcPr>
            <w:tcW w:w="1155" w:type="dxa"/>
            <w:vAlign w:val="center"/>
          </w:tcPr>
          <w:p w14:paraId="2F390C8F">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1.具体承办人；</w:t>
            </w:r>
          </w:p>
          <w:p w14:paraId="4714085B">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2.内设机构负责人；</w:t>
            </w:r>
          </w:p>
          <w:p w14:paraId="73B33A52">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3.单位法定代表人或分管领导。</w:t>
            </w:r>
          </w:p>
        </w:tc>
        <w:tc>
          <w:tcPr>
            <w:tcW w:w="2715" w:type="dxa"/>
            <w:vAlign w:val="center"/>
          </w:tcPr>
          <w:p w14:paraId="7F235BF2">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因不履行或不正确履行行政职责，有下列情形的行政机关及相关工作人员应承担相应的责任：</w:t>
            </w:r>
          </w:p>
          <w:p w14:paraId="44C7CBB6">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1.对应当予以行政检查而不予行政检查的；</w:t>
            </w:r>
          </w:p>
          <w:p w14:paraId="7DDDAAD5">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2.没有法律和事实依据实施行政检查的；</w:t>
            </w:r>
          </w:p>
          <w:p w14:paraId="08C887BF">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3.违反法定程序实施行政检查的；</w:t>
            </w:r>
          </w:p>
          <w:p w14:paraId="7921D2AD">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4.擅自扩大行政检查范围的；</w:t>
            </w:r>
          </w:p>
          <w:p w14:paraId="00459920">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5.对行政检查过程中发现的违法行为未按程序作出处理决定的；</w:t>
            </w:r>
          </w:p>
          <w:p w14:paraId="4C09FF24">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6.行政机关及其工作人员利用行政检查为单位或者个人谋取利益的；</w:t>
            </w:r>
          </w:p>
          <w:p w14:paraId="576F4D5D">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7.因不当实施行政检查，侵害当事人、公民、法人或者其他组织合法权益的；</w:t>
            </w:r>
          </w:p>
          <w:p w14:paraId="61F271EA">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8.在实施行政检查过程中发生腐败行为的；</w:t>
            </w:r>
          </w:p>
          <w:p w14:paraId="3DEEB333">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9.在实施行政检查时玩忽职守、滥用职权和其他违反法律法规规章文件规定的行为。</w:t>
            </w:r>
          </w:p>
        </w:tc>
        <w:tc>
          <w:tcPr>
            <w:tcW w:w="1155" w:type="dxa"/>
            <w:vAlign w:val="center"/>
          </w:tcPr>
          <w:p w14:paraId="51A56A73">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8"/>
                <w:szCs w:val="18"/>
                <w:vertAlign w:val="baseline"/>
              </w:rPr>
            </w:pPr>
          </w:p>
        </w:tc>
      </w:tr>
      <w:tr w14:paraId="353E2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57" w:type="dxa"/>
            <w:vAlign w:val="center"/>
          </w:tcPr>
          <w:p w14:paraId="0C7702F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方正仿宋_GBK" w:hAnsi="方正仿宋_GBK" w:eastAsia="方正仿宋_GBK" w:cs="方正仿宋_GBK"/>
                <w:b/>
                <w:bCs/>
                <w:kern w:val="2"/>
                <w:sz w:val="21"/>
                <w:szCs w:val="21"/>
                <w:vertAlign w:val="baseline"/>
                <w:lang w:val="en-US" w:eastAsia="zh-CN" w:bidi="ar-SA"/>
              </w:rPr>
            </w:pPr>
            <w:r>
              <w:rPr>
                <w:rFonts w:hint="eastAsia" w:ascii="方正仿宋_GBK" w:hAnsi="方正仿宋_GBK" w:eastAsia="方正仿宋_GBK" w:cs="方正仿宋_GBK"/>
                <w:b/>
                <w:bCs/>
                <w:sz w:val="21"/>
                <w:szCs w:val="21"/>
                <w:vertAlign w:val="baseline"/>
                <w:lang w:eastAsia="zh-CN"/>
              </w:rPr>
              <w:t>序号</w:t>
            </w:r>
          </w:p>
        </w:tc>
        <w:tc>
          <w:tcPr>
            <w:tcW w:w="375" w:type="dxa"/>
            <w:vAlign w:val="center"/>
          </w:tcPr>
          <w:p w14:paraId="6821E30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仿宋_GBK" w:hAnsi="方正仿宋_GBK" w:eastAsia="方正仿宋_GBK" w:cs="方正仿宋_GBK"/>
                <w:b/>
                <w:bCs/>
                <w:kern w:val="2"/>
                <w:sz w:val="21"/>
                <w:szCs w:val="21"/>
                <w:vertAlign w:val="baseline"/>
                <w:lang w:val="en-US" w:eastAsia="zh-CN" w:bidi="ar-SA"/>
              </w:rPr>
            </w:pPr>
            <w:r>
              <w:rPr>
                <w:rFonts w:hint="eastAsia" w:ascii="方正仿宋_GBK" w:hAnsi="方正仿宋_GBK" w:eastAsia="方正仿宋_GBK" w:cs="方正仿宋_GBK"/>
                <w:b/>
                <w:bCs/>
                <w:sz w:val="21"/>
                <w:szCs w:val="21"/>
                <w:vertAlign w:val="baseline"/>
                <w:lang w:eastAsia="zh-CN"/>
              </w:rPr>
              <w:t>事项名称</w:t>
            </w:r>
          </w:p>
        </w:tc>
        <w:tc>
          <w:tcPr>
            <w:tcW w:w="390" w:type="dxa"/>
            <w:vAlign w:val="center"/>
          </w:tcPr>
          <w:p w14:paraId="28BEF09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仿宋_GBK" w:hAnsi="方正仿宋_GBK" w:eastAsia="方正仿宋_GBK" w:cs="方正仿宋_GBK"/>
                <w:b/>
                <w:bCs/>
                <w:kern w:val="2"/>
                <w:sz w:val="21"/>
                <w:szCs w:val="21"/>
                <w:vertAlign w:val="baseline"/>
                <w:lang w:val="en-US" w:eastAsia="zh-CN" w:bidi="ar-SA"/>
              </w:rPr>
            </w:pPr>
            <w:r>
              <w:rPr>
                <w:rFonts w:hint="eastAsia" w:ascii="方正仿宋_GBK" w:hAnsi="方正仿宋_GBK" w:eastAsia="方正仿宋_GBK" w:cs="方正仿宋_GBK"/>
                <w:b/>
                <w:bCs/>
                <w:sz w:val="21"/>
                <w:szCs w:val="21"/>
                <w:vertAlign w:val="baseline"/>
                <w:lang w:eastAsia="zh-CN"/>
              </w:rPr>
              <w:t>子项名称</w:t>
            </w:r>
          </w:p>
        </w:tc>
        <w:tc>
          <w:tcPr>
            <w:tcW w:w="525" w:type="dxa"/>
            <w:vAlign w:val="center"/>
          </w:tcPr>
          <w:p w14:paraId="6B8A196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仿宋_GBK" w:hAnsi="方正仿宋_GBK" w:eastAsia="方正仿宋_GBK" w:cs="方正仿宋_GBK"/>
                <w:b/>
                <w:bCs/>
                <w:kern w:val="2"/>
                <w:sz w:val="21"/>
                <w:szCs w:val="21"/>
                <w:vertAlign w:val="baseline"/>
                <w:lang w:val="en-US" w:eastAsia="zh-CN" w:bidi="ar-SA"/>
              </w:rPr>
            </w:pPr>
            <w:r>
              <w:rPr>
                <w:rFonts w:hint="eastAsia" w:ascii="方正仿宋_GBK" w:hAnsi="方正仿宋_GBK" w:eastAsia="方正仿宋_GBK" w:cs="方正仿宋_GBK"/>
                <w:b/>
                <w:bCs/>
                <w:sz w:val="21"/>
                <w:szCs w:val="21"/>
                <w:vertAlign w:val="baseline"/>
              </w:rPr>
              <w:t>权力类型</w:t>
            </w:r>
          </w:p>
        </w:tc>
        <w:tc>
          <w:tcPr>
            <w:tcW w:w="3659" w:type="dxa"/>
            <w:vAlign w:val="center"/>
          </w:tcPr>
          <w:p w14:paraId="1E39363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仿宋_GBK" w:hAnsi="方正仿宋_GBK" w:eastAsia="方正仿宋_GBK" w:cs="方正仿宋_GBK"/>
                <w:b/>
                <w:bCs/>
                <w:kern w:val="2"/>
                <w:sz w:val="21"/>
                <w:szCs w:val="21"/>
                <w:vertAlign w:val="baseline"/>
                <w:lang w:val="en-US" w:eastAsia="zh-CN" w:bidi="ar-SA"/>
              </w:rPr>
            </w:pPr>
            <w:r>
              <w:rPr>
                <w:rFonts w:hint="eastAsia" w:ascii="方正仿宋_GBK" w:hAnsi="方正仿宋_GBK" w:eastAsia="方正仿宋_GBK" w:cs="方正仿宋_GBK"/>
                <w:b/>
                <w:bCs/>
                <w:sz w:val="21"/>
                <w:szCs w:val="21"/>
                <w:vertAlign w:val="baseline"/>
              </w:rPr>
              <w:t>实施依据</w:t>
            </w:r>
          </w:p>
        </w:tc>
        <w:tc>
          <w:tcPr>
            <w:tcW w:w="435" w:type="dxa"/>
            <w:vAlign w:val="center"/>
          </w:tcPr>
          <w:p w14:paraId="048EE0E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仿宋_GBK" w:hAnsi="方正仿宋_GBK" w:eastAsia="方正仿宋_GBK" w:cs="方正仿宋_GBK"/>
                <w:b/>
                <w:bCs/>
                <w:kern w:val="2"/>
                <w:sz w:val="21"/>
                <w:szCs w:val="21"/>
                <w:vertAlign w:val="baseline"/>
                <w:lang w:val="en-US" w:eastAsia="zh-CN" w:bidi="ar-SA"/>
              </w:rPr>
            </w:pPr>
            <w:r>
              <w:rPr>
                <w:rFonts w:hint="eastAsia" w:ascii="方正仿宋_GBK" w:hAnsi="方正仿宋_GBK" w:eastAsia="方正仿宋_GBK" w:cs="方正仿宋_GBK"/>
                <w:b/>
                <w:bCs/>
                <w:sz w:val="21"/>
                <w:szCs w:val="21"/>
                <w:vertAlign w:val="baseline"/>
              </w:rPr>
              <w:t>行使主体</w:t>
            </w:r>
          </w:p>
        </w:tc>
        <w:tc>
          <w:tcPr>
            <w:tcW w:w="465" w:type="dxa"/>
            <w:vAlign w:val="center"/>
          </w:tcPr>
          <w:p w14:paraId="48D49B2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仿宋_GBK" w:hAnsi="方正仿宋_GBK" w:eastAsia="方正仿宋_GBK" w:cs="方正仿宋_GBK"/>
                <w:b/>
                <w:bCs/>
                <w:kern w:val="2"/>
                <w:sz w:val="21"/>
                <w:szCs w:val="21"/>
                <w:vertAlign w:val="baseline"/>
                <w:lang w:val="en-US" w:eastAsia="zh-CN" w:bidi="ar-SA"/>
              </w:rPr>
            </w:pPr>
            <w:r>
              <w:rPr>
                <w:rFonts w:hint="eastAsia" w:ascii="方正仿宋_GBK" w:hAnsi="方正仿宋_GBK" w:eastAsia="方正仿宋_GBK" w:cs="方正仿宋_GBK"/>
                <w:b/>
                <w:bCs/>
                <w:sz w:val="21"/>
                <w:szCs w:val="21"/>
                <w:vertAlign w:val="baseline"/>
              </w:rPr>
              <w:t>承办机构</w:t>
            </w:r>
          </w:p>
        </w:tc>
        <w:tc>
          <w:tcPr>
            <w:tcW w:w="570" w:type="dxa"/>
            <w:vAlign w:val="center"/>
          </w:tcPr>
          <w:p w14:paraId="7DD0694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仿宋_GBK" w:hAnsi="方正仿宋_GBK" w:eastAsia="方正仿宋_GBK" w:cs="方正仿宋_GBK"/>
                <w:b/>
                <w:bCs/>
                <w:kern w:val="2"/>
                <w:sz w:val="21"/>
                <w:szCs w:val="21"/>
                <w:vertAlign w:val="baseline"/>
                <w:lang w:val="en-US" w:eastAsia="zh-CN" w:bidi="ar-SA"/>
              </w:rPr>
            </w:pPr>
            <w:r>
              <w:rPr>
                <w:rFonts w:hint="eastAsia" w:ascii="方正仿宋_GBK" w:hAnsi="方正仿宋_GBK" w:eastAsia="方正仿宋_GBK" w:cs="方正仿宋_GBK"/>
                <w:b/>
                <w:bCs/>
                <w:sz w:val="21"/>
                <w:szCs w:val="21"/>
                <w:vertAlign w:val="baseline"/>
              </w:rPr>
              <w:t>实施层级及权限</w:t>
            </w:r>
          </w:p>
        </w:tc>
        <w:tc>
          <w:tcPr>
            <w:tcW w:w="615" w:type="dxa"/>
            <w:vAlign w:val="center"/>
          </w:tcPr>
          <w:p w14:paraId="20A23F2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仿宋_GBK" w:hAnsi="方正仿宋_GBK" w:eastAsia="方正仿宋_GBK" w:cs="方正仿宋_GBK"/>
                <w:b/>
                <w:bCs/>
                <w:kern w:val="2"/>
                <w:sz w:val="21"/>
                <w:szCs w:val="21"/>
                <w:vertAlign w:val="baseline"/>
                <w:lang w:val="en-US" w:eastAsia="zh-CN" w:bidi="ar-SA"/>
              </w:rPr>
            </w:pPr>
            <w:r>
              <w:rPr>
                <w:rFonts w:hint="eastAsia" w:ascii="方正仿宋_GBK" w:hAnsi="方正仿宋_GBK" w:eastAsia="方正仿宋_GBK" w:cs="方正仿宋_GBK"/>
                <w:b/>
                <w:bCs/>
                <w:sz w:val="21"/>
                <w:szCs w:val="21"/>
                <w:vertAlign w:val="baseline"/>
              </w:rPr>
              <w:t>部门职责</w:t>
            </w:r>
          </w:p>
        </w:tc>
        <w:tc>
          <w:tcPr>
            <w:tcW w:w="1650" w:type="dxa"/>
            <w:vAlign w:val="center"/>
          </w:tcPr>
          <w:p w14:paraId="20EC5E9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仿宋_GBK" w:hAnsi="方正仿宋_GBK" w:eastAsia="方正仿宋_GBK" w:cs="方正仿宋_GBK"/>
                <w:b/>
                <w:bCs/>
                <w:kern w:val="2"/>
                <w:sz w:val="21"/>
                <w:szCs w:val="21"/>
                <w:vertAlign w:val="baseline"/>
                <w:lang w:val="en-US" w:eastAsia="zh-CN" w:bidi="ar-SA"/>
              </w:rPr>
            </w:pPr>
            <w:r>
              <w:rPr>
                <w:rFonts w:hint="eastAsia" w:ascii="方正仿宋_GBK" w:hAnsi="方正仿宋_GBK" w:eastAsia="方正仿宋_GBK" w:cs="方正仿宋_GBK"/>
                <w:b/>
                <w:bCs/>
                <w:sz w:val="21"/>
                <w:szCs w:val="21"/>
                <w:vertAlign w:val="baseline"/>
              </w:rPr>
              <w:t>责任事项内容</w:t>
            </w:r>
          </w:p>
        </w:tc>
        <w:tc>
          <w:tcPr>
            <w:tcW w:w="2010" w:type="dxa"/>
            <w:vAlign w:val="center"/>
          </w:tcPr>
          <w:p w14:paraId="73C6667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仿宋_GBK" w:hAnsi="方正仿宋_GBK" w:eastAsia="方正仿宋_GBK" w:cs="方正仿宋_GBK"/>
                <w:b/>
                <w:bCs/>
                <w:kern w:val="2"/>
                <w:sz w:val="21"/>
                <w:szCs w:val="21"/>
                <w:vertAlign w:val="baseline"/>
                <w:lang w:val="en-US" w:eastAsia="zh-CN" w:bidi="ar-SA"/>
              </w:rPr>
            </w:pPr>
            <w:r>
              <w:rPr>
                <w:rFonts w:hint="eastAsia" w:ascii="方正仿宋_GBK" w:hAnsi="方正仿宋_GBK" w:eastAsia="方正仿宋_GBK" w:cs="方正仿宋_GBK"/>
                <w:b/>
                <w:bCs/>
                <w:sz w:val="21"/>
                <w:szCs w:val="21"/>
                <w:vertAlign w:val="baseline"/>
              </w:rPr>
              <w:t>责任事项依据</w:t>
            </w:r>
          </w:p>
        </w:tc>
        <w:tc>
          <w:tcPr>
            <w:tcW w:w="3780" w:type="dxa"/>
            <w:vAlign w:val="center"/>
          </w:tcPr>
          <w:p w14:paraId="3FD19B9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追责对</w:t>
            </w:r>
          </w:p>
          <w:p w14:paraId="4F58386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仿宋_GBK" w:hAnsi="方正仿宋_GBK" w:eastAsia="方正仿宋_GBK" w:cs="方正仿宋_GBK"/>
                <w:b/>
                <w:bCs/>
                <w:kern w:val="2"/>
                <w:sz w:val="21"/>
                <w:szCs w:val="21"/>
                <w:vertAlign w:val="baseline"/>
                <w:lang w:val="en-US" w:eastAsia="zh-CN" w:bidi="ar-SA"/>
              </w:rPr>
            </w:pPr>
            <w:r>
              <w:rPr>
                <w:rFonts w:hint="eastAsia" w:ascii="方正仿宋_GBK" w:hAnsi="方正仿宋_GBK" w:eastAsia="方正仿宋_GBK" w:cs="方正仿宋_GBK"/>
                <w:b/>
                <w:bCs/>
                <w:sz w:val="21"/>
                <w:szCs w:val="21"/>
                <w:vertAlign w:val="baseline"/>
              </w:rPr>
              <w:t>象范围</w:t>
            </w:r>
          </w:p>
        </w:tc>
        <w:tc>
          <w:tcPr>
            <w:tcW w:w="1155" w:type="dxa"/>
            <w:vAlign w:val="center"/>
          </w:tcPr>
          <w:p w14:paraId="602B245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仿宋_GBK" w:hAnsi="方正仿宋_GBK" w:eastAsia="方正仿宋_GBK" w:cs="方正仿宋_GBK"/>
                <w:b/>
                <w:bCs/>
                <w:kern w:val="2"/>
                <w:sz w:val="21"/>
                <w:szCs w:val="21"/>
                <w:vertAlign w:val="baseline"/>
                <w:lang w:val="en-US" w:eastAsia="zh-CN" w:bidi="ar-SA"/>
              </w:rPr>
            </w:pPr>
            <w:r>
              <w:rPr>
                <w:rFonts w:hint="eastAsia" w:ascii="方正仿宋_GBK" w:hAnsi="方正仿宋_GBK" w:eastAsia="方正仿宋_GBK" w:cs="方正仿宋_GBK"/>
                <w:b/>
                <w:bCs/>
                <w:sz w:val="21"/>
                <w:szCs w:val="21"/>
                <w:vertAlign w:val="baseline"/>
              </w:rPr>
              <w:t>追责情形</w:t>
            </w:r>
          </w:p>
        </w:tc>
        <w:tc>
          <w:tcPr>
            <w:tcW w:w="2715" w:type="dxa"/>
            <w:vAlign w:val="center"/>
          </w:tcPr>
          <w:p w14:paraId="51ED23E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仿宋_GBK" w:hAnsi="方正仿宋_GBK" w:eastAsia="方正仿宋_GBK" w:cs="方正仿宋_GBK"/>
                <w:b/>
                <w:bCs/>
                <w:kern w:val="2"/>
                <w:sz w:val="21"/>
                <w:szCs w:val="21"/>
                <w:vertAlign w:val="baseline"/>
                <w:lang w:val="en-US" w:eastAsia="zh-CN" w:bidi="ar-SA"/>
              </w:rPr>
            </w:pPr>
            <w:r>
              <w:rPr>
                <w:rFonts w:hint="eastAsia" w:ascii="方正仿宋_GBK" w:hAnsi="方正仿宋_GBK" w:eastAsia="方正仿宋_GBK" w:cs="方正仿宋_GBK"/>
                <w:b/>
                <w:bCs/>
                <w:sz w:val="21"/>
                <w:szCs w:val="21"/>
                <w:vertAlign w:val="baseline"/>
              </w:rPr>
              <w:t>备注</w:t>
            </w:r>
          </w:p>
        </w:tc>
        <w:tc>
          <w:tcPr>
            <w:tcW w:w="1155" w:type="dxa"/>
          </w:tcPr>
          <w:p w14:paraId="42054B9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2"/>
                <w:szCs w:val="32"/>
                <w:vertAlign w:val="baseline"/>
              </w:rPr>
            </w:pPr>
          </w:p>
        </w:tc>
      </w:tr>
      <w:tr w14:paraId="416E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5" w:hRule="atLeast"/>
        </w:trPr>
        <w:tc>
          <w:tcPr>
            <w:tcW w:w="357" w:type="dxa"/>
            <w:vAlign w:val="center"/>
          </w:tcPr>
          <w:p w14:paraId="163DEBA2">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方正小标宋_GBK" w:cs="Times New Roman"/>
                <w:sz w:val="22"/>
                <w:szCs w:val="22"/>
                <w:vertAlign w:val="baseline"/>
                <w:lang w:val="en-US" w:eastAsia="zh-CN"/>
              </w:rPr>
            </w:pPr>
            <w:r>
              <w:rPr>
                <w:rFonts w:hint="default" w:ascii="Times New Roman" w:hAnsi="Times New Roman" w:eastAsia="方正小标宋_GBK" w:cs="Times New Roman"/>
                <w:sz w:val="22"/>
                <w:szCs w:val="22"/>
                <w:vertAlign w:val="baseline"/>
                <w:lang w:val="en-US" w:eastAsia="zh-CN"/>
              </w:rPr>
              <w:t>2</w:t>
            </w:r>
          </w:p>
        </w:tc>
        <w:tc>
          <w:tcPr>
            <w:tcW w:w="375" w:type="dxa"/>
            <w:vAlign w:val="center"/>
          </w:tcPr>
          <w:p w14:paraId="2EFAAC1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对汽车销售及其相关服务活动的检查</w:t>
            </w:r>
          </w:p>
        </w:tc>
        <w:tc>
          <w:tcPr>
            <w:tcW w:w="390" w:type="dxa"/>
            <w:vAlign w:val="center"/>
          </w:tcPr>
          <w:p w14:paraId="338A84C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5"/>
                <w:szCs w:val="15"/>
                <w:vertAlign w:val="baseline"/>
              </w:rPr>
            </w:pPr>
          </w:p>
        </w:tc>
        <w:tc>
          <w:tcPr>
            <w:tcW w:w="525" w:type="dxa"/>
            <w:vAlign w:val="center"/>
          </w:tcPr>
          <w:p w14:paraId="21EDBDD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行政检查</w:t>
            </w:r>
          </w:p>
        </w:tc>
        <w:tc>
          <w:tcPr>
            <w:tcW w:w="3659" w:type="dxa"/>
            <w:vAlign w:val="center"/>
          </w:tcPr>
          <w:p w14:paraId="67263970">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【规章】《汽车销售管理办法》(2017年4月商务部令2017年第1号，自2017年7月1日起施行)</w:t>
            </w:r>
          </w:p>
          <w:p w14:paraId="6104675C">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第七条第二款：县级以上地方商务主管部门依据本办法对本行政区域内汽车销售及其相关服务活动进行监督管理。</w:t>
            </w:r>
          </w:p>
          <w:p w14:paraId="26A20215">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第二十九条：县级以上地方商务主管部门应当依据职责，采取“双随机”办法对汽车销售及其相关服务活动实施日常监督检查。</w:t>
            </w:r>
          </w:p>
          <w:p w14:paraId="7669DA20">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监督检查可以采取下列措施：</w:t>
            </w:r>
          </w:p>
          <w:p w14:paraId="5F3D19F7">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（一）进入供应商、经销商从事经营活动的场所进行现场检查；</w:t>
            </w:r>
          </w:p>
          <w:p w14:paraId="7DCFF727">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（二）询问与监督检查事项有关的单位和个人，要求其说明情况；</w:t>
            </w:r>
          </w:p>
          <w:p w14:paraId="5F48858A">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（三）查阅、复制有关文件、资料，检查相关数据信息系统及复制相关信息数据；</w:t>
            </w:r>
          </w:p>
          <w:p w14:paraId="14C5426E">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（四）依据国家有关规定采取的其他措施。</w:t>
            </w:r>
          </w:p>
        </w:tc>
        <w:tc>
          <w:tcPr>
            <w:tcW w:w="435" w:type="dxa"/>
            <w:vAlign w:val="center"/>
          </w:tcPr>
          <w:p w14:paraId="01BB983F">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县市区商务主管部门</w:t>
            </w:r>
          </w:p>
        </w:tc>
        <w:tc>
          <w:tcPr>
            <w:tcW w:w="465" w:type="dxa"/>
            <w:vAlign w:val="center"/>
          </w:tcPr>
          <w:p w14:paraId="1AF28BD6">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具体承办业务科室</w:t>
            </w:r>
          </w:p>
        </w:tc>
        <w:tc>
          <w:tcPr>
            <w:tcW w:w="570" w:type="dxa"/>
            <w:vAlign w:val="center"/>
          </w:tcPr>
          <w:p w14:paraId="49A8FAF2">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县市区级</w:t>
            </w:r>
          </w:p>
        </w:tc>
        <w:tc>
          <w:tcPr>
            <w:tcW w:w="615" w:type="dxa"/>
            <w:vAlign w:val="center"/>
          </w:tcPr>
          <w:p w14:paraId="0FB30091">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对辖区内汽车销售及相关服务活动的检查</w:t>
            </w:r>
          </w:p>
        </w:tc>
        <w:tc>
          <w:tcPr>
            <w:tcW w:w="1650" w:type="dxa"/>
            <w:vAlign w:val="center"/>
          </w:tcPr>
          <w:p w14:paraId="193F7F37">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按有关规定对汽车流通(含二手车、报废车)等进行监督管理</w:t>
            </w:r>
          </w:p>
        </w:tc>
        <w:tc>
          <w:tcPr>
            <w:tcW w:w="2010" w:type="dxa"/>
            <w:vAlign w:val="center"/>
          </w:tcPr>
          <w:p w14:paraId="29E10784">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直接实施责任：</w:t>
            </w:r>
          </w:p>
          <w:p w14:paraId="37E25AED">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制定年度监督检查计划，开展</w:t>
            </w:r>
            <w:r>
              <w:rPr>
                <w:rFonts w:hint="eastAsia" w:ascii="方正仿宋_GBK" w:hAnsi="方正仿宋_GBK" w:eastAsia="方正仿宋_GBK" w:cs="方正仿宋_GBK"/>
                <w:sz w:val="15"/>
                <w:szCs w:val="15"/>
                <w:vertAlign w:val="baseline"/>
                <w:lang w:eastAsia="zh-CN"/>
              </w:rPr>
              <w:t>“双随机、一公开”</w:t>
            </w:r>
            <w:r>
              <w:rPr>
                <w:rFonts w:hint="eastAsia" w:ascii="方正仿宋_GBK" w:hAnsi="方正仿宋_GBK" w:eastAsia="方正仿宋_GBK" w:cs="方正仿宋_GBK"/>
                <w:sz w:val="15"/>
                <w:szCs w:val="15"/>
                <w:vertAlign w:val="baseline"/>
              </w:rPr>
              <w:t>检查，通过实地核查、书面检查等多种方式进行监督检查。</w:t>
            </w:r>
          </w:p>
          <w:p w14:paraId="41B6737D">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p>
        </w:tc>
        <w:tc>
          <w:tcPr>
            <w:tcW w:w="3780" w:type="dxa"/>
            <w:vAlign w:val="center"/>
          </w:tcPr>
          <w:p w14:paraId="49013288">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【法律】《中华人民共和国行政处罚法》（1996年3月17日第八届全国人民代表大会第四次会议通过发布施行；2021年1月22日修订）</w:t>
            </w:r>
          </w:p>
          <w:p w14:paraId="7ADB3D77">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第五十四条、第五十五条、第五十七条。</w:t>
            </w:r>
          </w:p>
          <w:p w14:paraId="21F67247">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【规章】《汽车销售管理办法》(2017年4月商务部令2017年第1号，自2017年7月1日起施行)</w:t>
            </w:r>
          </w:p>
          <w:p w14:paraId="38B3A4F2">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第七条第二款：县级以上地方商务主管部门依据本办法对本行政区域内汽车销售及其相关服务活动进行监督管理。</w:t>
            </w:r>
          </w:p>
          <w:p w14:paraId="5181B614">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第二十九条：县级以上地方商务主管部门应当依据职责，采取“双随机”办法对汽车销售及其相关服务活动实施日常监督检查。</w:t>
            </w:r>
          </w:p>
          <w:p w14:paraId="3055E1E8">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监督检查可以采取下列措施：</w:t>
            </w:r>
          </w:p>
          <w:p w14:paraId="33493C83">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（一）进入供应商、经销商从事经营活动的场所进行现场检查；</w:t>
            </w:r>
          </w:p>
          <w:p w14:paraId="48BA1166">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（二）询问与监督检查事项有关的单位和个人，要求其说明情况；</w:t>
            </w:r>
          </w:p>
          <w:p w14:paraId="435360A7">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（三）查阅、复制有关文件、资料，检查相关数据信息系统及复制相关信息数据；</w:t>
            </w:r>
          </w:p>
          <w:p w14:paraId="60D4E4C9">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（四）依据国家有关规定采取的其他措施。</w:t>
            </w:r>
          </w:p>
        </w:tc>
        <w:tc>
          <w:tcPr>
            <w:tcW w:w="1155" w:type="dxa"/>
            <w:vAlign w:val="center"/>
          </w:tcPr>
          <w:p w14:paraId="2A9CE38A">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1.具体承办人；</w:t>
            </w:r>
          </w:p>
          <w:p w14:paraId="5BD13720">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2.内设机构负责人；</w:t>
            </w:r>
          </w:p>
          <w:p w14:paraId="446665BD">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3.单位法定代表人或分管领导。</w:t>
            </w:r>
          </w:p>
        </w:tc>
        <w:tc>
          <w:tcPr>
            <w:tcW w:w="2715" w:type="dxa"/>
            <w:vAlign w:val="center"/>
          </w:tcPr>
          <w:p w14:paraId="066CD9C0">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因不履行或不正确履行行政职责，有下列情形的行政机关及相关工作人员应承担相应的责任：</w:t>
            </w:r>
          </w:p>
          <w:p w14:paraId="298ABA5B">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1.县级以上商务主管部门的工作人员在汽车销售及其相关服务活动监督管理工作中滥用职权、玩忽职守、徇私舞弊的，依法给予处分；</w:t>
            </w:r>
          </w:p>
          <w:p w14:paraId="18D890CA">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sz w:val="15"/>
                <w:szCs w:val="15"/>
                <w:vertAlign w:val="baseline"/>
              </w:rPr>
              <w:t>2.构成犯罪的，依法追究刑事责任。</w:t>
            </w:r>
          </w:p>
        </w:tc>
        <w:tc>
          <w:tcPr>
            <w:tcW w:w="1155" w:type="dxa"/>
            <w:vAlign w:val="center"/>
          </w:tcPr>
          <w:p w14:paraId="633D633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vertAlign w:val="baseline"/>
              </w:rPr>
            </w:pPr>
          </w:p>
        </w:tc>
      </w:tr>
    </w:tbl>
    <w:p w14:paraId="3B860AE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p w14:paraId="117AD1B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_GBK" w:hAnsi="方正小标宋_GBK" w:eastAsia="方正小标宋_GBK" w:cs="方正小标宋_GBK"/>
          <w:sz w:val="44"/>
          <w:szCs w:val="44"/>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-6</w:t>
      </w:r>
    </w:p>
    <w:p w14:paraId="40C7801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商务局</w:t>
      </w:r>
      <w:r>
        <w:rPr>
          <w:rFonts w:hint="eastAsia" w:ascii="方正小标宋_GBK" w:hAnsi="方正小标宋_GBK" w:eastAsia="方正小标宋_GBK" w:cs="方正小标宋_GBK"/>
          <w:sz w:val="44"/>
          <w:szCs w:val="44"/>
        </w:rPr>
        <w:t>权责清单（</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类）</w:t>
      </w:r>
    </w:p>
    <w:p w14:paraId="527DB68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
        <w:gridCol w:w="4"/>
        <w:gridCol w:w="651"/>
        <w:gridCol w:w="4"/>
        <w:gridCol w:w="942"/>
        <w:gridCol w:w="4"/>
        <w:gridCol w:w="826"/>
        <w:gridCol w:w="794"/>
        <w:gridCol w:w="4"/>
        <w:gridCol w:w="3242"/>
        <w:gridCol w:w="898"/>
        <w:gridCol w:w="8"/>
        <w:gridCol w:w="810"/>
        <w:gridCol w:w="8"/>
        <w:gridCol w:w="802"/>
        <w:gridCol w:w="1601"/>
        <w:gridCol w:w="8"/>
        <w:gridCol w:w="838"/>
        <w:gridCol w:w="8"/>
        <w:gridCol w:w="1182"/>
        <w:gridCol w:w="8"/>
        <w:gridCol w:w="3158"/>
        <w:gridCol w:w="4"/>
        <w:gridCol w:w="1066"/>
        <w:gridCol w:w="4"/>
        <w:gridCol w:w="2288"/>
        <w:gridCol w:w="4"/>
        <w:gridCol w:w="4"/>
        <w:gridCol w:w="751"/>
        <w:gridCol w:w="4"/>
        <w:gridCol w:w="8"/>
      </w:tblGrid>
      <w:tr w14:paraId="33A0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 w:type="pct"/>
          <w:trHeight w:val="1020" w:hRule="atLeast"/>
          <w:jc w:val="center"/>
        </w:trPr>
        <w:tc>
          <w:tcPr>
            <w:tcW w:w="164" w:type="pct"/>
            <w:gridSpan w:val="2"/>
            <w:vAlign w:val="center"/>
          </w:tcPr>
          <w:p w14:paraId="5225710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lang w:eastAsia="zh-CN"/>
              </w:rPr>
            </w:pPr>
            <w:r>
              <w:rPr>
                <w:rFonts w:hint="eastAsia" w:ascii="方正仿宋_GBK" w:hAnsi="方正仿宋_GBK" w:eastAsia="方正仿宋_GBK" w:cs="方正仿宋_GBK"/>
                <w:b/>
                <w:bCs/>
                <w:sz w:val="21"/>
                <w:szCs w:val="21"/>
                <w:vertAlign w:val="baseline"/>
                <w:lang w:eastAsia="zh-CN"/>
              </w:rPr>
              <w:t>序号</w:t>
            </w:r>
          </w:p>
        </w:tc>
        <w:tc>
          <w:tcPr>
            <w:tcW w:w="236" w:type="pct"/>
            <w:gridSpan w:val="2"/>
            <w:vAlign w:val="center"/>
          </w:tcPr>
          <w:p w14:paraId="0FC0A456">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lang w:eastAsia="zh-CN"/>
              </w:rPr>
            </w:pPr>
            <w:r>
              <w:rPr>
                <w:rFonts w:hint="eastAsia" w:ascii="方正仿宋_GBK" w:hAnsi="方正仿宋_GBK" w:eastAsia="方正仿宋_GBK" w:cs="方正仿宋_GBK"/>
                <w:b/>
                <w:bCs/>
                <w:sz w:val="21"/>
                <w:szCs w:val="21"/>
                <w:vertAlign w:val="baseline"/>
                <w:lang w:eastAsia="zh-CN"/>
              </w:rPr>
              <w:t>事项名称</w:t>
            </w:r>
          </w:p>
        </w:tc>
        <w:tc>
          <w:tcPr>
            <w:tcW w:w="207" w:type="pct"/>
            <w:vAlign w:val="center"/>
          </w:tcPr>
          <w:p w14:paraId="481331C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lang w:eastAsia="zh-CN"/>
              </w:rPr>
            </w:pPr>
            <w:r>
              <w:rPr>
                <w:rFonts w:hint="eastAsia" w:ascii="方正仿宋_GBK" w:hAnsi="方正仿宋_GBK" w:eastAsia="方正仿宋_GBK" w:cs="方正仿宋_GBK"/>
                <w:b/>
                <w:bCs/>
                <w:sz w:val="21"/>
                <w:szCs w:val="21"/>
                <w:vertAlign w:val="baseline"/>
                <w:lang w:eastAsia="zh-CN"/>
              </w:rPr>
              <w:t>子项名称</w:t>
            </w:r>
          </w:p>
        </w:tc>
        <w:tc>
          <w:tcPr>
            <w:tcW w:w="199" w:type="pct"/>
            <w:vAlign w:val="center"/>
          </w:tcPr>
          <w:p w14:paraId="4BD172F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权力类型</w:t>
            </w:r>
          </w:p>
        </w:tc>
        <w:tc>
          <w:tcPr>
            <w:tcW w:w="813" w:type="pct"/>
            <w:gridSpan w:val="2"/>
            <w:vAlign w:val="center"/>
          </w:tcPr>
          <w:p w14:paraId="76FFD2E7">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实施依据</w:t>
            </w:r>
          </w:p>
        </w:tc>
        <w:tc>
          <w:tcPr>
            <w:tcW w:w="227" w:type="pct"/>
            <w:gridSpan w:val="2"/>
            <w:vAlign w:val="center"/>
          </w:tcPr>
          <w:p w14:paraId="1379C90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行使主体</w:t>
            </w:r>
          </w:p>
        </w:tc>
        <w:tc>
          <w:tcPr>
            <w:tcW w:w="205" w:type="pct"/>
            <w:gridSpan w:val="2"/>
            <w:vAlign w:val="center"/>
          </w:tcPr>
          <w:p w14:paraId="5E00402E">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承办机构</w:t>
            </w:r>
          </w:p>
        </w:tc>
        <w:tc>
          <w:tcPr>
            <w:tcW w:w="604" w:type="pct"/>
            <w:gridSpan w:val="3"/>
            <w:vAlign w:val="center"/>
          </w:tcPr>
          <w:p w14:paraId="4D8FD50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实施层级及权限</w:t>
            </w:r>
          </w:p>
        </w:tc>
        <w:tc>
          <w:tcPr>
            <w:tcW w:w="212" w:type="pct"/>
            <w:gridSpan w:val="2"/>
            <w:vAlign w:val="center"/>
          </w:tcPr>
          <w:p w14:paraId="1916DE7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部门职责</w:t>
            </w:r>
          </w:p>
        </w:tc>
        <w:tc>
          <w:tcPr>
            <w:tcW w:w="298" w:type="pct"/>
            <w:gridSpan w:val="2"/>
            <w:vAlign w:val="center"/>
          </w:tcPr>
          <w:p w14:paraId="1B86440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责任事项内容</w:t>
            </w:r>
          </w:p>
        </w:tc>
        <w:tc>
          <w:tcPr>
            <w:tcW w:w="792" w:type="pct"/>
            <w:gridSpan w:val="2"/>
            <w:vAlign w:val="center"/>
          </w:tcPr>
          <w:p w14:paraId="2CB5F78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责任事项依据</w:t>
            </w:r>
          </w:p>
        </w:tc>
        <w:tc>
          <w:tcPr>
            <w:tcW w:w="268" w:type="pct"/>
            <w:gridSpan w:val="2"/>
            <w:vAlign w:val="center"/>
          </w:tcPr>
          <w:p w14:paraId="720A063C">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追责对</w:t>
            </w:r>
          </w:p>
          <w:p w14:paraId="285A8A7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象范围</w:t>
            </w:r>
          </w:p>
        </w:tc>
        <w:tc>
          <w:tcPr>
            <w:tcW w:w="575" w:type="pct"/>
            <w:gridSpan w:val="3"/>
            <w:vAlign w:val="center"/>
          </w:tcPr>
          <w:p w14:paraId="664481C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追责情形</w:t>
            </w:r>
          </w:p>
        </w:tc>
        <w:tc>
          <w:tcPr>
            <w:tcW w:w="191" w:type="pct"/>
            <w:gridSpan w:val="3"/>
            <w:vAlign w:val="center"/>
          </w:tcPr>
          <w:p w14:paraId="51123EE6">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备注</w:t>
            </w:r>
          </w:p>
        </w:tc>
      </w:tr>
      <w:tr w14:paraId="1B85B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2" w:type="pct"/>
          <w:trHeight w:val="5755" w:hRule="atLeast"/>
          <w:jc w:val="center"/>
        </w:trPr>
        <w:tc>
          <w:tcPr>
            <w:tcW w:w="164" w:type="pct"/>
            <w:gridSpan w:val="2"/>
            <w:vAlign w:val="center"/>
          </w:tcPr>
          <w:p w14:paraId="1289428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058A1C75">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22E1000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668E582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16CAC17">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03123222">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1AFD7BE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A2F29C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177EC93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607605F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5C57EC06">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4002A9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70C4990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77469DE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4D91AE97">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4566D27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6E7D02F2">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2AE0D07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243F592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28B716F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69A7C676">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211434F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70CE4A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8C08AF5">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2EF82505">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083789D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2074EB5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0F7AE08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sz w:val="18"/>
                <w:szCs w:val="18"/>
                <w:vertAlign w:val="baseline"/>
                <w:lang w:val="en-US" w:eastAsia="zh-CN"/>
              </w:rPr>
              <w:t>1</w:t>
            </w:r>
          </w:p>
          <w:p w14:paraId="1C15253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73AD927E">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530C9C6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7A7F9AF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0B8DC7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169F1D96">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4F87B54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4AD1BE5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50C3859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762BE19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472817A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1853732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0FBC7C05">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576964D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085C221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FB1341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6F52E673">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52D65FC3">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0A6EA856">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ED295B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493846BC">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6B6257D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00A5E06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1B3A52F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6701CCE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C71CFCB">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方正仿宋_GBK" w:hAnsi="方正仿宋_GBK" w:eastAsia="方正仿宋_GBK" w:cs="方正仿宋_GBK"/>
                <w:sz w:val="18"/>
                <w:szCs w:val="18"/>
                <w:vertAlign w:val="baseline"/>
                <w:lang w:val="en-US" w:eastAsia="zh-CN"/>
              </w:rPr>
            </w:pPr>
          </w:p>
        </w:tc>
        <w:tc>
          <w:tcPr>
            <w:tcW w:w="236" w:type="pct"/>
            <w:gridSpan w:val="2"/>
            <w:vAlign w:val="center"/>
          </w:tcPr>
          <w:p w14:paraId="01BF433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零售商促销活动备案</w:t>
            </w:r>
          </w:p>
        </w:tc>
        <w:tc>
          <w:tcPr>
            <w:tcW w:w="207" w:type="pct"/>
            <w:vAlign w:val="center"/>
          </w:tcPr>
          <w:p w14:paraId="043FC24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p>
        </w:tc>
        <w:tc>
          <w:tcPr>
            <w:tcW w:w="199" w:type="pct"/>
            <w:vAlign w:val="center"/>
          </w:tcPr>
          <w:p w14:paraId="2E691E32">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kern w:val="2"/>
                <w:sz w:val="18"/>
                <w:szCs w:val="18"/>
                <w:lang w:val="en-US" w:eastAsia="zh-CN" w:bidi="ar-SA"/>
              </w:rPr>
            </w:pPr>
          </w:p>
          <w:p w14:paraId="78BEC80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其他行政权力</w:t>
            </w:r>
          </w:p>
        </w:tc>
        <w:tc>
          <w:tcPr>
            <w:tcW w:w="813" w:type="pct"/>
            <w:gridSpan w:val="2"/>
            <w:vAlign w:val="center"/>
          </w:tcPr>
          <w:p w14:paraId="75B9618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p>
          <w:p w14:paraId="293EC7C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kern w:val="2"/>
                <w:sz w:val="18"/>
                <w:szCs w:val="18"/>
                <w:lang w:val="en-US" w:eastAsia="zh-CN" w:bidi="ar-SA"/>
              </w:rPr>
            </w:pPr>
          </w:p>
          <w:p w14:paraId="05051D05">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lang w:val="en-US" w:eastAsia="zh-CN"/>
              </w:rPr>
            </w:pPr>
          </w:p>
          <w:p w14:paraId="2696A0BE">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【规章】《零售商促销行为管理办法》（2006年9月12日商务部、国家发展和改革委员会、公安部、国家税务总局、国家工商行政管理总局令2006年第18号公布，自2006年10月15日起施行）</w:t>
            </w:r>
          </w:p>
          <w:p w14:paraId="24136EF6">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第二十条：单店营业面积在3000平方米以上的零售商，以新店开业、节庆、店庆等名义开展促销活动，应当在促销活动结束后15日内，将其明示的促销内容，向经营场所所在地的县级以上（含县级）商务主管部门备案。</w:t>
            </w:r>
          </w:p>
          <w:p w14:paraId="563B4315">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lang w:val="en-US" w:eastAsia="zh-CN"/>
              </w:rPr>
            </w:pPr>
          </w:p>
        </w:tc>
        <w:tc>
          <w:tcPr>
            <w:tcW w:w="227" w:type="pct"/>
            <w:gridSpan w:val="2"/>
            <w:vAlign w:val="center"/>
          </w:tcPr>
          <w:p w14:paraId="3CBE7CD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县市区商务主管部门</w:t>
            </w:r>
          </w:p>
        </w:tc>
        <w:tc>
          <w:tcPr>
            <w:tcW w:w="205" w:type="pct"/>
            <w:gridSpan w:val="2"/>
            <w:vAlign w:val="center"/>
          </w:tcPr>
          <w:p w14:paraId="3847AD6E">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具体承办的业务科室</w:t>
            </w:r>
          </w:p>
        </w:tc>
        <w:tc>
          <w:tcPr>
            <w:tcW w:w="201" w:type="pct"/>
            <w:vAlign w:val="center"/>
          </w:tcPr>
          <w:p w14:paraId="5F5CD2E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县市区级</w:t>
            </w:r>
          </w:p>
        </w:tc>
        <w:tc>
          <w:tcPr>
            <w:tcW w:w="403" w:type="pct"/>
            <w:gridSpan w:val="2"/>
            <w:vAlign w:val="center"/>
          </w:tcPr>
          <w:p w14:paraId="36B0DF3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特定零售商促销内容备案</w:t>
            </w:r>
          </w:p>
        </w:tc>
        <w:tc>
          <w:tcPr>
            <w:tcW w:w="212" w:type="pct"/>
            <w:gridSpan w:val="2"/>
            <w:vAlign w:val="center"/>
          </w:tcPr>
          <w:p w14:paraId="19A0FEE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特定零售商促销内容备案</w:t>
            </w:r>
          </w:p>
        </w:tc>
        <w:tc>
          <w:tcPr>
            <w:tcW w:w="298" w:type="pct"/>
            <w:gridSpan w:val="2"/>
            <w:vAlign w:val="center"/>
          </w:tcPr>
          <w:p w14:paraId="553B4EE8">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直接实施责任：</w:t>
            </w:r>
          </w:p>
          <w:p w14:paraId="202CDA7D">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1.对零售商供应商公平交易行为进行动态监测，进行风险预警。</w:t>
            </w:r>
          </w:p>
          <w:p w14:paraId="6FF68B53">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2.依法依规实施备案</w:t>
            </w:r>
          </w:p>
        </w:tc>
        <w:tc>
          <w:tcPr>
            <w:tcW w:w="792" w:type="pct"/>
            <w:gridSpan w:val="2"/>
            <w:vAlign w:val="center"/>
          </w:tcPr>
          <w:p w14:paraId="0E9C4630">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【规章】《零售商促销行为管理办法》（2006年9月12日商务部、国家发展和改革委员会、公安部、国家税务总局、国家工商行政管理总局令2006年第18号公布，自2006年10月15日起施行）</w:t>
            </w:r>
          </w:p>
          <w:p w14:paraId="5983A28F">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第二十条：单店营业面积在3000平方米以上的零售商，以新店开业、节庆、店庆等名义开展促销活动，应当在促销活动结束后15日内，将其明示的促销内容，向经营场所所在地的县级以上（含县级）商务主管部门备案。</w:t>
            </w:r>
          </w:p>
        </w:tc>
        <w:tc>
          <w:tcPr>
            <w:tcW w:w="268" w:type="pct"/>
            <w:gridSpan w:val="2"/>
            <w:vAlign w:val="center"/>
          </w:tcPr>
          <w:p w14:paraId="299BF795">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1.具体承办人；</w:t>
            </w:r>
          </w:p>
          <w:p w14:paraId="3A3764F4">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2.内设机构负责人；</w:t>
            </w:r>
          </w:p>
          <w:p w14:paraId="4B1E05B9">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3.单位法定代表人或分管领导。</w:t>
            </w:r>
          </w:p>
        </w:tc>
        <w:tc>
          <w:tcPr>
            <w:tcW w:w="575" w:type="pct"/>
            <w:gridSpan w:val="3"/>
            <w:vAlign w:val="center"/>
          </w:tcPr>
          <w:p w14:paraId="786F13DD">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因不履行或不正确履行行政职责，有下列情形的，行政机关及相关工作人员应承担相应的责任：</w:t>
            </w:r>
          </w:p>
          <w:p w14:paraId="21E10991">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1.对符合备案企业申请受理条件而不予受理、备案的；</w:t>
            </w:r>
          </w:p>
          <w:p w14:paraId="4F9ECF90">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2.对不符合条件规定的备案申请予以受理的；</w:t>
            </w:r>
          </w:p>
          <w:p w14:paraId="65B99707">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3.擅自取消或停止备案的；</w:t>
            </w:r>
          </w:p>
          <w:p w14:paraId="62D45C4C">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4.在办理备案或变更备案时，变相收取费用的；</w:t>
            </w:r>
          </w:p>
          <w:p w14:paraId="1C4D420C">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5.在备案中玩忽职守、滥用职权的；在备案中发生腐败行为的；</w:t>
            </w:r>
          </w:p>
          <w:p w14:paraId="6264F23A">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6.其他违反法律法规规章文件规定的行为。</w:t>
            </w:r>
          </w:p>
        </w:tc>
        <w:tc>
          <w:tcPr>
            <w:tcW w:w="191" w:type="pct"/>
            <w:gridSpan w:val="3"/>
          </w:tcPr>
          <w:p w14:paraId="7879068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18"/>
                <w:szCs w:val="18"/>
                <w:vertAlign w:val="baseline"/>
              </w:rPr>
            </w:pPr>
          </w:p>
        </w:tc>
      </w:tr>
      <w:tr w14:paraId="35BBA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 w:type="pct"/>
          <w:wAfter w:w="1" w:type="pct"/>
          <w:trHeight w:val="1020" w:hRule="atLeast"/>
          <w:jc w:val="center"/>
        </w:trPr>
        <w:tc>
          <w:tcPr>
            <w:tcW w:w="165" w:type="pct"/>
            <w:gridSpan w:val="3"/>
            <w:vAlign w:val="center"/>
          </w:tcPr>
          <w:p w14:paraId="5F31986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lang w:eastAsia="zh-CN"/>
              </w:rPr>
            </w:pPr>
            <w:r>
              <w:rPr>
                <w:rFonts w:hint="eastAsia" w:ascii="方正仿宋_GBK" w:hAnsi="方正仿宋_GBK" w:eastAsia="方正仿宋_GBK" w:cs="方正仿宋_GBK"/>
                <w:b/>
                <w:bCs/>
                <w:sz w:val="21"/>
                <w:szCs w:val="21"/>
                <w:vertAlign w:val="baseline"/>
                <w:lang w:eastAsia="zh-CN"/>
              </w:rPr>
              <w:t>序号</w:t>
            </w:r>
          </w:p>
        </w:tc>
        <w:tc>
          <w:tcPr>
            <w:tcW w:w="237" w:type="pct"/>
            <w:gridSpan w:val="2"/>
            <w:vAlign w:val="center"/>
          </w:tcPr>
          <w:p w14:paraId="535B624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lang w:eastAsia="zh-CN"/>
              </w:rPr>
            </w:pPr>
            <w:r>
              <w:rPr>
                <w:rFonts w:hint="eastAsia" w:ascii="方正仿宋_GBK" w:hAnsi="方正仿宋_GBK" w:eastAsia="方正仿宋_GBK" w:cs="方正仿宋_GBK"/>
                <w:b/>
                <w:bCs/>
                <w:sz w:val="21"/>
                <w:szCs w:val="21"/>
                <w:vertAlign w:val="baseline"/>
                <w:lang w:eastAsia="zh-CN"/>
              </w:rPr>
              <w:t>事项名称</w:t>
            </w:r>
          </w:p>
        </w:tc>
        <w:tc>
          <w:tcPr>
            <w:tcW w:w="207" w:type="pct"/>
            <w:vAlign w:val="center"/>
          </w:tcPr>
          <w:p w14:paraId="5F540BF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lang w:eastAsia="zh-CN"/>
              </w:rPr>
            </w:pPr>
            <w:r>
              <w:rPr>
                <w:rFonts w:hint="eastAsia" w:ascii="方正仿宋_GBK" w:hAnsi="方正仿宋_GBK" w:eastAsia="方正仿宋_GBK" w:cs="方正仿宋_GBK"/>
                <w:b/>
                <w:bCs/>
                <w:sz w:val="21"/>
                <w:szCs w:val="21"/>
                <w:vertAlign w:val="baseline"/>
                <w:lang w:eastAsia="zh-CN"/>
              </w:rPr>
              <w:t>子项名称</w:t>
            </w:r>
          </w:p>
        </w:tc>
        <w:tc>
          <w:tcPr>
            <w:tcW w:w="199" w:type="pct"/>
            <w:vAlign w:val="center"/>
          </w:tcPr>
          <w:p w14:paraId="2352A55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权力类型</w:t>
            </w:r>
          </w:p>
        </w:tc>
        <w:tc>
          <w:tcPr>
            <w:tcW w:w="813" w:type="pct"/>
            <w:gridSpan w:val="2"/>
            <w:vAlign w:val="center"/>
          </w:tcPr>
          <w:p w14:paraId="674D520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实施依据</w:t>
            </w:r>
          </w:p>
        </w:tc>
        <w:tc>
          <w:tcPr>
            <w:tcW w:w="225" w:type="pct"/>
            <w:vAlign w:val="center"/>
          </w:tcPr>
          <w:p w14:paraId="32E7728E">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行使主体</w:t>
            </w:r>
          </w:p>
        </w:tc>
        <w:tc>
          <w:tcPr>
            <w:tcW w:w="205" w:type="pct"/>
            <w:gridSpan w:val="2"/>
            <w:vAlign w:val="center"/>
          </w:tcPr>
          <w:p w14:paraId="07EC15A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承办机构</w:t>
            </w:r>
          </w:p>
        </w:tc>
        <w:tc>
          <w:tcPr>
            <w:tcW w:w="604" w:type="pct"/>
            <w:gridSpan w:val="3"/>
            <w:vAlign w:val="center"/>
          </w:tcPr>
          <w:p w14:paraId="061F7BE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实施层级及权限</w:t>
            </w:r>
          </w:p>
        </w:tc>
        <w:tc>
          <w:tcPr>
            <w:tcW w:w="212" w:type="pct"/>
            <w:gridSpan w:val="2"/>
            <w:vAlign w:val="center"/>
          </w:tcPr>
          <w:p w14:paraId="744B320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部门职责</w:t>
            </w:r>
          </w:p>
        </w:tc>
        <w:tc>
          <w:tcPr>
            <w:tcW w:w="298" w:type="pct"/>
            <w:gridSpan w:val="2"/>
            <w:vAlign w:val="center"/>
          </w:tcPr>
          <w:p w14:paraId="10382E2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责任事项内容</w:t>
            </w:r>
          </w:p>
        </w:tc>
        <w:tc>
          <w:tcPr>
            <w:tcW w:w="792" w:type="pct"/>
            <w:gridSpan w:val="2"/>
            <w:vAlign w:val="center"/>
          </w:tcPr>
          <w:p w14:paraId="4079F37C">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责任事项依据</w:t>
            </w:r>
          </w:p>
        </w:tc>
        <w:tc>
          <w:tcPr>
            <w:tcW w:w="268" w:type="pct"/>
            <w:gridSpan w:val="2"/>
            <w:vAlign w:val="center"/>
          </w:tcPr>
          <w:p w14:paraId="657FCE9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追责对</w:t>
            </w:r>
          </w:p>
          <w:p w14:paraId="7039174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象范围</w:t>
            </w:r>
          </w:p>
        </w:tc>
        <w:tc>
          <w:tcPr>
            <w:tcW w:w="575" w:type="pct"/>
            <w:gridSpan w:val="3"/>
            <w:vAlign w:val="center"/>
          </w:tcPr>
          <w:p w14:paraId="7682EBAE">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追责情形</w:t>
            </w:r>
          </w:p>
        </w:tc>
        <w:tc>
          <w:tcPr>
            <w:tcW w:w="190" w:type="pct"/>
            <w:gridSpan w:val="3"/>
            <w:vAlign w:val="center"/>
          </w:tcPr>
          <w:p w14:paraId="1E186043">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备注</w:t>
            </w:r>
          </w:p>
        </w:tc>
      </w:tr>
      <w:tr w14:paraId="3F930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 w:type="pct"/>
          <w:trHeight w:val="7690" w:hRule="atLeast"/>
          <w:jc w:val="center"/>
        </w:trPr>
        <w:tc>
          <w:tcPr>
            <w:tcW w:w="164" w:type="pct"/>
            <w:gridSpan w:val="2"/>
            <w:vAlign w:val="center"/>
          </w:tcPr>
          <w:p w14:paraId="2B3659FE">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40796CE6">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6FEB35F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6A724F9C">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6A69F10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0A78347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708BB13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11E1ED06">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5D117C3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2CFB2D63">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4563E05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FF9BA8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1C7B4B8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6933B243">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146740C">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2CBBED5">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74A78AC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4D9E5A8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7753CE33">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75DE6DB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28FCD2A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AA2FD03">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15FC109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0D0645DC">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591658D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258447A5">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08E52127">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45F57D5">
            <w:pPr>
              <w:keepNext w:val="0"/>
              <w:keepLines w:val="0"/>
              <w:pageBreakBefore w:val="0"/>
              <w:widowControl w:val="0"/>
              <w:kinsoku/>
              <w:wordWrap/>
              <w:overflowPunct/>
              <w:topLinePunct w:val="0"/>
              <w:autoSpaceDE/>
              <w:autoSpaceDN/>
              <w:bidi w:val="0"/>
              <w:adjustRightInd/>
              <w:snapToGrid/>
              <w:spacing w:line="200" w:lineRule="exact"/>
              <w:ind w:firstLine="180" w:firstLineChars="100"/>
              <w:jc w:val="both"/>
              <w:textAlignment w:val="auto"/>
              <w:rPr>
                <w:rFonts w:hint="default"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sz w:val="18"/>
                <w:szCs w:val="18"/>
                <w:vertAlign w:val="baseline"/>
                <w:lang w:val="en-US" w:eastAsia="zh-CN"/>
              </w:rPr>
              <w:t>2</w:t>
            </w:r>
          </w:p>
          <w:p w14:paraId="276059A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5F521BB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2494992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F31784C">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7F234B5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29EF7B5C">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3F1C136">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62CA94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C3DDAF5">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4C8B9316">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8B169F6">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6B5712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1138F6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6DE778F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2F4C549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31D36DC3">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71C303B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10A16B2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63A9E777">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79BE1E9C">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082686C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5BB9768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11207806">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44DD80D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2660884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6AD19D4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7590F6DE">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4F0F01C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16F6E52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78A42A7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p w14:paraId="7C60C58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p>
        </w:tc>
        <w:tc>
          <w:tcPr>
            <w:tcW w:w="236" w:type="pct"/>
            <w:gridSpan w:val="2"/>
            <w:vAlign w:val="center"/>
          </w:tcPr>
          <w:p w14:paraId="266FA7C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洗染业经营者备案</w:t>
            </w:r>
          </w:p>
        </w:tc>
        <w:tc>
          <w:tcPr>
            <w:tcW w:w="207" w:type="pct"/>
            <w:vAlign w:val="center"/>
          </w:tcPr>
          <w:p w14:paraId="4B0D733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p>
        </w:tc>
        <w:tc>
          <w:tcPr>
            <w:tcW w:w="199" w:type="pct"/>
            <w:vAlign w:val="center"/>
          </w:tcPr>
          <w:p w14:paraId="60BD2C8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其他行政权力</w:t>
            </w:r>
          </w:p>
        </w:tc>
        <w:tc>
          <w:tcPr>
            <w:tcW w:w="813" w:type="pct"/>
            <w:gridSpan w:val="2"/>
            <w:vAlign w:val="center"/>
          </w:tcPr>
          <w:p w14:paraId="1B291686">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【规章】《洗染业管理办法》（商务部、国家工商行政管理总局、国家环境保护总局令第5号公布 自2007年7月1日起施行）</w:t>
            </w:r>
          </w:p>
          <w:p w14:paraId="3316B1CA">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第五条　新建或改、扩建洗染店、水洗厂应依法进行环境影响评价，并经环保部门验收合格后，方可投入使用。从事洗染经营活动的经营者，应当依法进行工商登记，领取营业执照。经营者应当在取得营业执照后60日内，向登记注册地工商行政管理部门的同级商务主管部门办理备案。</w:t>
            </w:r>
          </w:p>
        </w:tc>
        <w:tc>
          <w:tcPr>
            <w:tcW w:w="227" w:type="pct"/>
            <w:gridSpan w:val="2"/>
            <w:vAlign w:val="center"/>
          </w:tcPr>
          <w:p w14:paraId="0E4E3B0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县市区商务主管部门</w:t>
            </w:r>
          </w:p>
        </w:tc>
        <w:tc>
          <w:tcPr>
            <w:tcW w:w="205" w:type="pct"/>
            <w:gridSpan w:val="2"/>
            <w:vAlign w:val="center"/>
          </w:tcPr>
          <w:p w14:paraId="6AE6009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具体承办的业务科室</w:t>
            </w:r>
          </w:p>
        </w:tc>
        <w:tc>
          <w:tcPr>
            <w:tcW w:w="201" w:type="pct"/>
            <w:vAlign w:val="center"/>
          </w:tcPr>
          <w:p w14:paraId="2393703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县市区级</w:t>
            </w:r>
          </w:p>
        </w:tc>
        <w:tc>
          <w:tcPr>
            <w:tcW w:w="403" w:type="pct"/>
            <w:gridSpan w:val="2"/>
            <w:vAlign w:val="center"/>
          </w:tcPr>
          <w:p w14:paraId="76D66F6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洗染业经营者备案</w:t>
            </w:r>
          </w:p>
        </w:tc>
        <w:tc>
          <w:tcPr>
            <w:tcW w:w="212" w:type="pct"/>
            <w:gridSpan w:val="2"/>
            <w:vAlign w:val="center"/>
          </w:tcPr>
          <w:p w14:paraId="52AB95BC">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洗染业经营者备案</w:t>
            </w:r>
          </w:p>
        </w:tc>
        <w:tc>
          <w:tcPr>
            <w:tcW w:w="298" w:type="pct"/>
            <w:gridSpan w:val="2"/>
            <w:vAlign w:val="center"/>
          </w:tcPr>
          <w:p w14:paraId="4F719EF9">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直接实施责任：</w:t>
            </w:r>
          </w:p>
          <w:p w14:paraId="7F178163">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依法依规实施备案</w:t>
            </w:r>
          </w:p>
        </w:tc>
        <w:tc>
          <w:tcPr>
            <w:tcW w:w="792" w:type="pct"/>
            <w:gridSpan w:val="2"/>
            <w:vAlign w:val="center"/>
          </w:tcPr>
          <w:p w14:paraId="4F2F1A08">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【规章】《零售商促销行为管理办法》（2006年9月12日商务部、国家发展和改革委员会、公安部、国家税务总局、国家工商行政管理总局令2006年第18号公布，自2006年10月15日起施行）</w:t>
            </w:r>
          </w:p>
          <w:p w14:paraId="2FC60689">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第二十条：单店营业面积在3000平方米以上的零售商，以新店开业、节庆、店庆等名义开展促销活动，应当在促销活动结束后16日内，将其明示的促销内容，向经营场所所在地的县级以上（含县级）商务主管部门备案。</w:t>
            </w:r>
          </w:p>
          <w:p w14:paraId="2DA60580">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p>
        </w:tc>
        <w:tc>
          <w:tcPr>
            <w:tcW w:w="268" w:type="pct"/>
            <w:gridSpan w:val="2"/>
            <w:vAlign w:val="center"/>
          </w:tcPr>
          <w:p w14:paraId="3008C240">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1.具体承办人；</w:t>
            </w:r>
          </w:p>
          <w:p w14:paraId="272FF2C7">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2.内设机构负责人；</w:t>
            </w:r>
          </w:p>
          <w:p w14:paraId="345A15C1">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lang w:val="en-US" w:eastAsia="zh-CN"/>
              </w:rPr>
              <w:t>3</w:t>
            </w:r>
            <w:r>
              <w:rPr>
                <w:rFonts w:hint="eastAsia" w:ascii="方正仿宋_GBK" w:hAnsi="方正仿宋_GBK" w:eastAsia="方正仿宋_GBK" w:cs="方正仿宋_GBK"/>
                <w:sz w:val="18"/>
                <w:szCs w:val="18"/>
                <w:vertAlign w:val="baseline"/>
              </w:rPr>
              <w:t>.单位法定代表人或分管领导。</w:t>
            </w:r>
          </w:p>
        </w:tc>
        <w:tc>
          <w:tcPr>
            <w:tcW w:w="575" w:type="pct"/>
            <w:gridSpan w:val="3"/>
            <w:vAlign w:val="center"/>
          </w:tcPr>
          <w:p w14:paraId="764BB429">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因不履行或不正确履行行政职责，有下列情形的，行政机关及相关工作人员应承担相应的责任：</w:t>
            </w:r>
          </w:p>
          <w:p w14:paraId="60CBB497">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1.对符合备案企业申请受理条件而不予受理、备案的；</w:t>
            </w:r>
          </w:p>
          <w:p w14:paraId="14946CA9">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2.对不符合条件规定的备案申请予以受理的；</w:t>
            </w:r>
          </w:p>
          <w:p w14:paraId="74FCA1DD">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3.擅自取消或停止备案的；</w:t>
            </w:r>
          </w:p>
          <w:p w14:paraId="7BEA83C7">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4.在办理备案或变更备案时，变相收取费用的；</w:t>
            </w:r>
          </w:p>
          <w:p w14:paraId="70C88481">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5.在备案中玩忽职守、滥用职权的；在备案中发生腐败行为的；</w:t>
            </w:r>
          </w:p>
          <w:p w14:paraId="200F8F2D">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lang w:val="en-US" w:eastAsia="zh-CN"/>
              </w:rPr>
              <w:t>6</w:t>
            </w:r>
            <w:r>
              <w:rPr>
                <w:rFonts w:hint="eastAsia" w:ascii="方正仿宋_GBK" w:hAnsi="方正仿宋_GBK" w:eastAsia="方正仿宋_GBK" w:cs="方正仿宋_GBK"/>
                <w:sz w:val="18"/>
                <w:szCs w:val="18"/>
                <w:vertAlign w:val="baseline"/>
              </w:rPr>
              <w:t>.其他违反法律法规规章文件规定的行为。</w:t>
            </w:r>
          </w:p>
        </w:tc>
        <w:tc>
          <w:tcPr>
            <w:tcW w:w="191" w:type="pct"/>
            <w:gridSpan w:val="3"/>
          </w:tcPr>
          <w:p w14:paraId="3236A8A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282B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 w:type="pct"/>
          <w:trHeight w:val="1250" w:hRule="atLeast"/>
          <w:jc w:val="center"/>
        </w:trPr>
        <w:tc>
          <w:tcPr>
            <w:tcW w:w="165" w:type="pct"/>
            <w:gridSpan w:val="3"/>
            <w:vAlign w:val="center"/>
          </w:tcPr>
          <w:p w14:paraId="153D6456">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lang w:eastAsia="zh-CN"/>
              </w:rPr>
            </w:pPr>
            <w:r>
              <w:rPr>
                <w:rFonts w:hint="eastAsia" w:ascii="方正仿宋_GBK" w:hAnsi="方正仿宋_GBK" w:eastAsia="方正仿宋_GBK" w:cs="方正仿宋_GBK"/>
                <w:b/>
                <w:bCs/>
                <w:sz w:val="21"/>
                <w:szCs w:val="21"/>
                <w:vertAlign w:val="baseline"/>
                <w:lang w:eastAsia="zh-CN"/>
              </w:rPr>
              <w:t>序号</w:t>
            </w:r>
          </w:p>
        </w:tc>
        <w:tc>
          <w:tcPr>
            <w:tcW w:w="237" w:type="pct"/>
            <w:gridSpan w:val="2"/>
            <w:vAlign w:val="center"/>
          </w:tcPr>
          <w:p w14:paraId="28F4A0F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lang w:eastAsia="zh-CN"/>
              </w:rPr>
            </w:pPr>
            <w:r>
              <w:rPr>
                <w:rFonts w:hint="eastAsia" w:ascii="方正仿宋_GBK" w:hAnsi="方正仿宋_GBK" w:eastAsia="方正仿宋_GBK" w:cs="方正仿宋_GBK"/>
                <w:b/>
                <w:bCs/>
                <w:sz w:val="21"/>
                <w:szCs w:val="21"/>
                <w:vertAlign w:val="baseline"/>
                <w:lang w:eastAsia="zh-CN"/>
              </w:rPr>
              <w:t>事项名称</w:t>
            </w:r>
          </w:p>
        </w:tc>
        <w:tc>
          <w:tcPr>
            <w:tcW w:w="207" w:type="pct"/>
            <w:gridSpan w:val="2"/>
            <w:vAlign w:val="center"/>
          </w:tcPr>
          <w:p w14:paraId="11B54AB7">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lang w:eastAsia="zh-CN"/>
              </w:rPr>
            </w:pPr>
            <w:r>
              <w:rPr>
                <w:rFonts w:hint="eastAsia" w:ascii="方正仿宋_GBK" w:hAnsi="方正仿宋_GBK" w:eastAsia="方正仿宋_GBK" w:cs="方正仿宋_GBK"/>
                <w:b/>
                <w:bCs/>
                <w:sz w:val="21"/>
                <w:szCs w:val="21"/>
                <w:vertAlign w:val="baseline"/>
                <w:lang w:eastAsia="zh-CN"/>
              </w:rPr>
              <w:t>子项名称</w:t>
            </w:r>
          </w:p>
        </w:tc>
        <w:tc>
          <w:tcPr>
            <w:tcW w:w="200" w:type="pct"/>
            <w:gridSpan w:val="2"/>
            <w:vAlign w:val="center"/>
          </w:tcPr>
          <w:p w14:paraId="0673E30C">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权力类型</w:t>
            </w:r>
          </w:p>
        </w:tc>
        <w:tc>
          <w:tcPr>
            <w:tcW w:w="812" w:type="pct"/>
            <w:vAlign w:val="center"/>
          </w:tcPr>
          <w:p w14:paraId="3B07525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实施依据</w:t>
            </w:r>
          </w:p>
        </w:tc>
        <w:tc>
          <w:tcPr>
            <w:tcW w:w="227" w:type="pct"/>
            <w:gridSpan w:val="2"/>
            <w:vAlign w:val="center"/>
          </w:tcPr>
          <w:p w14:paraId="2916269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行使主体</w:t>
            </w:r>
          </w:p>
        </w:tc>
        <w:tc>
          <w:tcPr>
            <w:tcW w:w="205" w:type="pct"/>
            <w:gridSpan w:val="2"/>
            <w:vAlign w:val="center"/>
          </w:tcPr>
          <w:p w14:paraId="06F1CD3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承办机构</w:t>
            </w:r>
          </w:p>
        </w:tc>
        <w:tc>
          <w:tcPr>
            <w:tcW w:w="604" w:type="pct"/>
            <w:gridSpan w:val="3"/>
            <w:vAlign w:val="center"/>
          </w:tcPr>
          <w:p w14:paraId="3EF06CF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实施层级及权限</w:t>
            </w:r>
          </w:p>
        </w:tc>
        <w:tc>
          <w:tcPr>
            <w:tcW w:w="212" w:type="pct"/>
            <w:gridSpan w:val="2"/>
            <w:vAlign w:val="center"/>
          </w:tcPr>
          <w:p w14:paraId="297B2B2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部门职责</w:t>
            </w:r>
          </w:p>
        </w:tc>
        <w:tc>
          <w:tcPr>
            <w:tcW w:w="298" w:type="pct"/>
            <w:gridSpan w:val="2"/>
            <w:vAlign w:val="center"/>
          </w:tcPr>
          <w:p w14:paraId="08DF49C3">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责任事项内容</w:t>
            </w:r>
          </w:p>
        </w:tc>
        <w:tc>
          <w:tcPr>
            <w:tcW w:w="791" w:type="pct"/>
            <w:vAlign w:val="center"/>
          </w:tcPr>
          <w:p w14:paraId="22AA10E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责任事项依据</w:t>
            </w:r>
          </w:p>
        </w:tc>
        <w:tc>
          <w:tcPr>
            <w:tcW w:w="268" w:type="pct"/>
            <w:gridSpan w:val="2"/>
            <w:vAlign w:val="center"/>
          </w:tcPr>
          <w:p w14:paraId="3C6096C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追责对</w:t>
            </w:r>
          </w:p>
          <w:p w14:paraId="1D2C193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象范围</w:t>
            </w:r>
          </w:p>
        </w:tc>
        <w:tc>
          <w:tcPr>
            <w:tcW w:w="574" w:type="pct"/>
            <w:gridSpan w:val="2"/>
            <w:vAlign w:val="center"/>
          </w:tcPr>
          <w:p w14:paraId="18630B0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追责情形</w:t>
            </w:r>
          </w:p>
        </w:tc>
        <w:tc>
          <w:tcPr>
            <w:tcW w:w="190" w:type="pct"/>
            <w:gridSpan w:val="3"/>
            <w:vAlign w:val="center"/>
          </w:tcPr>
          <w:p w14:paraId="06D23CB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1"/>
                <w:szCs w:val="21"/>
                <w:vertAlign w:val="baseline"/>
              </w:rPr>
              <w:t>备注</w:t>
            </w:r>
          </w:p>
        </w:tc>
      </w:tr>
      <w:tr w14:paraId="13442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 w:type="pct"/>
          <w:trHeight w:val="7225" w:hRule="atLeast"/>
          <w:jc w:val="center"/>
        </w:trPr>
        <w:tc>
          <w:tcPr>
            <w:tcW w:w="164" w:type="pct"/>
            <w:gridSpan w:val="2"/>
            <w:vAlign w:val="center"/>
          </w:tcPr>
          <w:p w14:paraId="48120587">
            <w:pPr>
              <w:keepNext w:val="0"/>
              <w:keepLines w:val="0"/>
              <w:pageBreakBefore w:val="0"/>
              <w:widowControl w:val="0"/>
              <w:tabs>
                <w:tab w:val="left" w:pos="218"/>
              </w:tabs>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sz w:val="18"/>
                <w:szCs w:val="18"/>
                <w:vertAlign w:val="baseline"/>
                <w:lang w:val="en-US" w:eastAsia="zh-CN"/>
              </w:rPr>
              <w:t>3</w:t>
            </w:r>
          </w:p>
        </w:tc>
        <w:tc>
          <w:tcPr>
            <w:tcW w:w="236" w:type="pct"/>
            <w:gridSpan w:val="2"/>
            <w:vAlign w:val="center"/>
          </w:tcPr>
          <w:p w14:paraId="3DE3CDA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单用途预付卡其他发卡企业备案</w:t>
            </w:r>
          </w:p>
        </w:tc>
        <w:tc>
          <w:tcPr>
            <w:tcW w:w="207" w:type="pct"/>
            <w:vAlign w:val="center"/>
          </w:tcPr>
          <w:p w14:paraId="73BF50F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p>
        </w:tc>
        <w:tc>
          <w:tcPr>
            <w:tcW w:w="199" w:type="pct"/>
            <w:vAlign w:val="center"/>
          </w:tcPr>
          <w:p w14:paraId="53521373">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其他行政权力</w:t>
            </w:r>
          </w:p>
        </w:tc>
        <w:tc>
          <w:tcPr>
            <w:tcW w:w="813" w:type="pct"/>
            <w:gridSpan w:val="2"/>
            <w:vAlign w:val="center"/>
          </w:tcPr>
          <w:p w14:paraId="3571940D">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单用途商业预付卡管理办法（试行）中华人民共和国商务部令</w:t>
            </w:r>
            <w:r>
              <w:rPr>
                <w:rFonts w:hint="eastAsia" w:ascii="方正仿宋_GBK" w:hAnsi="方正仿宋_GBK" w:eastAsia="方正仿宋_GBK" w:cs="方正仿宋_GBK"/>
                <w:sz w:val="18"/>
                <w:szCs w:val="18"/>
                <w:vertAlign w:val="baseline"/>
                <w:lang w:eastAsia="zh-CN"/>
              </w:rPr>
              <w:t>2012</w:t>
            </w:r>
            <w:r>
              <w:rPr>
                <w:rFonts w:hint="eastAsia" w:ascii="方正仿宋_GBK" w:hAnsi="方正仿宋_GBK" w:eastAsia="方正仿宋_GBK" w:cs="方正仿宋_GBK"/>
                <w:sz w:val="18"/>
                <w:szCs w:val="18"/>
                <w:vertAlign w:val="baseline"/>
              </w:rPr>
              <w:t>年第</w:t>
            </w:r>
            <w:r>
              <w:rPr>
                <w:rFonts w:hint="eastAsia" w:ascii="方正仿宋_GBK" w:hAnsi="方正仿宋_GBK" w:eastAsia="方正仿宋_GBK" w:cs="方正仿宋_GBK"/>
                <w:sz w:val="18"/>
                <w:szCs w:val="18"/>
                <w:vertAlign w:val="baseline"/>
                <w:lang w:eastAsia="zh-CN"/>
              </w:rPr>
              <w:t>9</w:t>
            </w:r>
            <w:r>
              <w:rPr>
                <w:rFonts w:hint="eastAsia" w:ascii="方正仿宋_GBK" w:hAnsi="方正仿宋_GBK" w:eastAsia="方正仿宋_GBK" w:cs="方正仿宋_GBK"/>
                <w:sz w:val="18"/>
                <w:szCs w:val="18"/>
                <w:vertAlign w:val="baseline"/>
              </w:rPr>
              <w:t>号第七条第</w:t>
            </w:r>
            <w:r>
              <w:rPr>
                <w:rFonts w:hint="eastAsia" w:ascii="方正仿宋_GBK" w:hAnsi="方正仿宋_GBK" w:eastAsia="方正仿宋_GBK" w:cs="方正仿宋_GBK"/>
                <w:sz w:val="18"/>
                <w:szCs w:val="18"/>
                <w:vertAlign w:val="baseline"/>
                <w:lang w:eastAsia="zh-CN"/>
              </w:rPr>
              <w:t>2</w:t>
            </w:r>
            <w:r>
              <w:rPr>
                <w:rFonts w:hint="eastAsia" w:ascii="方正仿宋_GBK" w:hAnsi="方正仿宋_GBK" w:eastAsia="方正仿宋_GBK" w:cs="方正仿宋_GBK"/>
                <w:sz w:val="18"/>
                <w:szCs w:val="18"/>
                <w:vertAlign w:val="baseline"/>
              </w:rPr>
              <w:t>项</w:t>
            </w:r>
          </w:p>
          <w:p w14:paraId="03E7F270">
            <w:pPr>
              <w:keepNext w:val="0"/>
              <w:keepLines w:val="0"/>
              <w:pageBreakBefore w:val="0"/>
              <w:widowControl w:val="0"/>
              <w:numPr>
                <w:ilvl w:val="0"/>
                <w:numId w:val="1"/>
              </w:numPr>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发卡企业应在开展单用途卡业务之日起30日内按照下列规定办理备案： 　　</w:t>
            </w:r>
          </w:p>
          <w:p w14:paraId="627AC625">
            <w:pPr>
              <w:keepNext w:val="0"/>
              <w:keepLines w:val="0"/>
              <w:pageBreakBefore w:val="0"/>
              <w:widowControl w:val="0"/>
              <w:numPr>
                <w:ilvl w:val="0"/>
                <w:numId w:val="2"/>
              </w:numPr>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 xml:space="preserve">集团发卡企业和品牌发卡企业向其工商登记注册地省、自治区、直辖市人民政府商务主管部门备案； 　　（二）规模发卡企业向其工商登记注册地设区的市人民政府商务主管部门备案；   </w:t>
            </w:r>
          </w:p>
          <w:p w14:paraId="289B8B0B">
            <w:pPr>
              <w:keepNext w:val="0"/>
              <w:keepLines w:val="0"/>
              <w:pageBreakBefore w:val="0"/>
              <w:widowControl w:val="0"/>
              <w:numPr>
                <w:ilvl w:val="0"/>
                <w:numId w:val="0"/>
              </w:numPr>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（三）其他发卡企业向其工商登记注册地县（市、区）人民政府主管部门备案。</w:t>
            </w:r>
          </w:p>
        </w:tc>
        <w:tc>
          <w:tcPr>
            <w:tcW w:w="227" w:type="pct"/>
            <w:gridSpan w:val="2"/>
            <w:vAlign w:val="center"/>
          </w:tcPr>
          <w:p w14:paraId="5249B63B">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县市区商务主管部门</w:t>
            </w:r>
          </w:p>
        </w:tc>
        <w:tc>
          <w:tcPr>
            <w:tcW w:w="205" w:type="pct"/>
            <w:gridSpan w:val="2"/>
            <w:vAlign w:val="center"/>
          </w:tcPr>
          <w:p w14:paraId="114A06D3">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具体承办的业务科室</w:t>
            </w:r>
          </w:p>
        </w:tc>
        <w:tc>
          <w:tcPr>
            <w:tcW w:w="201" w:type="pct"/>
            <w:vAlign w:val="center"/>
          </w:tcPr>
          <w:p w14:paraId="0DE20E5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县市区级</w:t>
            </w:r>
          </w:p>
        </w:tc>
        <w:tc>
          <w:tcPr>
            <w:tcW w:w="403" w:type="pct"/>
            <w:gridSpan w:val="2"/>
            <w:vAlign w:val="center"/>
          </w:tcPr>
          <w:p w14:paraId="052A4CE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单用途预付卡其他发卡企业备案</w:t>
            </w:r>
          </w:p>
        </w:tc>
        <w:tc>
          <w:tcPr>
            <w:tcW w:w="212" w:type="pct"/>
            <w:gridSpan w:val="2"/>
            <w:vAlign w:val="center"/>
          </w:tcPr>
          <w:p w14:paraId="522866B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单用途预付卡其他发卡企业备案</w:t>
            </w:r>
          </w:p>
        </w:tc>
        <w:tc>
          <w:tcPr>
            <w:tcW w:w="298" w:type="pct"/>
            <w:gridSpan w:val="2"/>
            <w:vAlign w:val="center"/>
          </w:tcPr>
          <w:p w14:paraId="0889A443">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直接实施责任：</w:t>
            </w:r>
          </w:p>
          <w:p w14:paraId="7E51D2A4">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依法依规实施备案</w:t>
            </w:r>
          </w:p>
        </w:tc>
        <w:tc>
          <w:tcPr>
            <w:tcW w:w="792" w:type="pct"/>
            <w:gridSpan w:val="2"/>
            <w:vAlign w:val="center"/>
          </w:tcPr>
          <w:p w14:paraId="77B14508">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单用途商业预付卡管理办法（试行）中华人民共和国商务部令</w:t>
            </w:r>
            <w:r>
              <w:rPr>
                <w:rFonts w:hint="eastAsia" w:ascii="方正仿宋_GBK" w:hAnsi="方正仿宋_GBK" w:eastAsia="方正仿宋_GBK" w:cs="方正仿宋_GBK"/>
                <w:sz w:val="18"/>
                <w:szCs w:val="18"/>
                <w:vertAlign w:val="baseline"/>
                <w:lang w:eastAsia="zh-CN"/>
              </w:rPr>
              <w:t>2012</w:t>
            </w:r>
            <w:r>
              <w:rPr>
                <w:rFonts w:hint="eastAsia" w:ascii="方正仿宋_GBK" w:hAnsi="方正仿宋_GBK" w:eastAsia="方正仿宋_GBK" w:cs="方正仿宋_GBK"/>
                <w:sz w:val="18"/>
                <w:szCs w:val="18"/>
                <w:vertAlign w:val="baseline"/>
              </w:rPr>
              <w:t>年第</w:t>
            </w:r>
            <w:r>
              <w:rPr>
                <w:rFonts w:hint="eastAsia" w:ascii="方正仿宋_GBK" w:hAnsi="方正仿宋_GBK" w:eastAsia="方正仿宋_GBK" w:cs="方正仿宋_GBK"/>
                <w:sz w:val="18"/>
                <w:szCs w:val="18"/>
                <w:vertAlign w:val="baseline"/>
                <w:lang w:eastAsia="zh-CN"/>
              </w:rPr>
              <w:t>9</w:t>
            </w:r>
            <w:r>
              <w:rPr>
                <w:rFonts w:hint="eastAsia" w:ascii="方正仿宋_GBK" w:hAnsi="方正仿宋_GBK" w:eastAsia="方正仿宋_GBK" w:cs="方正仿宋_GBK"/>
                <w:sz w:val="18"/>
                <w:szCs w:val="18"/>
                <w:vertAlign w:val="baseline"/>
              </w:rPr>
              <w:t>号第七条第</w:t>
            </w:r>
            <w:bookmarkStart w:id="0" w:name="_GoBack"/>
            <w:r>
              <w:rPr>
                <w:rFonts w:hint="eastAsia" w:ascii="方正仿宋_GBK" w:hAnsi="方正仿宋_GBK" w:eastAsia="方正仿宋_GBK" w:cs="方正仿宋_GBK"/>
                <w:sz w:val="18"/>
                <w:szCs w:val="18"/>
                <w:vertAlign w:val="baseline"/>
                <w:lang w:eastAsia="zh-CN"/>
              </w:rPr>
              <w:t>2</w:t>
            </w:r>
            <w:bookmarkEnd w:id="0"/>
            <w:r>
              <w:rPr>
                <w:rFonts w:hint="eastAsia" w:ascii="方正仿宋_GBK" w:hAnsi="方正仿宋_GBK" w:eastAsia="方正仿宋_GBK" w:cs="方正仿宋_GBK"/>
                <w:sz w:val="18"/>
                <w:szCs w:val="18"/>
                <w:vertAlign w:val="baseline"/>
              </w:rPr>
              <w:t>项</w:t>
            </w:r>
          </w:p>
          <w:p w14:paraId="670A82F0">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第七条 发卡企业应在开展单用途卡业务之日起30日内按照下列规定办理备案： 　　</w:t>
            </w:r>
          </w:p>
          <w:p w14:paraId="4A52098E">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 xml:space="preserve">（一）集团发卡企业和品牌发卡企业向其工商登记注册地省、自治区、直辖市人民政府商务主管部门备案； 　　（二）规模发卡企业向其工商登记注册地设区的市人民政府商务主管部门备案；  </w:t>
            </w:r>
          </w:p>
          <w:p w14:paraId="693CCDB9">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（三）其他发卡企业向其工商登记注册地县（市、区）人民政府主管部门备案。</w:t>
            </w:r>
          </w:p>
        </w:tc>
        <w:tc>
          <w:tcPr>
            <w:tcW w:w="268" w:type="pct"/>
            <w:gridSpan w:val="2"/>
            <w:vAlign w:val="center"/>
          </w:tcPr>
          <w:p w14:paraId="37281BE1">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1.具体承办人；</w:t>
            </w:r>
          </w:p>
          <w:p w14:paraId="4C86E1B2">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2.内设机构负责人；</w:t>
            </w:r>
          </w:p>
          <w:p w14:paraId="79E57A6E">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lang w:val="en-US" w:eastAsia="zh-CN"/>
              </w:rPr>
              <w:t>3</w:t>
            </w:r>
            <w:r>
              <w:rPr>
                <w:rFonts w:hint="eastAsia" w:ascii="方正仿宋_GBK" w:hAnsi="方正仿宋_GBK" w:eastAsia="方正仿宋_GBK" w:cs="方正仿宋_GBK"/>
                <w:sz w:val="18"/>
                <w:szCs w:val="18"/>
                <w:vertAlign w:val="baseline"/>
              </w:rPr>
              <w:t>.单位法定代表人或分管领导。</w:t>
            </w:r>
          </w:p>
        </w:tc>
        <w:tc>
          <w:tcPr>
            <w:tcW w:w="575" w:type="pct"/>
            <w:gridSpan w:val="3"/>
            <w:vAlign w:val="center"/>
          </w:tcPr>
          <w:p w14:paraId="4FA5B17A">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因不履行或不正确履行行政职责，有下列情形的，行政机关及相关工作人员应承担相应的责任：</w:t>
            </w:r>
          </w:p>
          <w:p w14:paraId="2E319943">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1.对符合备案企业申请受理条件而不予受理、备案的；</w:t>
            </w:r>
          </w:p>
          <w:p w14:paraId="07ABA91D">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2.对不符合条件规定的备案申请予以受理的；</w:t>
            </w:r>
          </w:p>
          <w:p w14:paraId="33967E74">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3.擅自取消或停止备案的；</w:t>
            </w:r>
          </w:p>
          <w:p w14:paraId="5AA91199">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4.在办理备案或变更备案时，变相收取费用的；</w:t>
            </w:r>
          </w:p>
          <w:p w14:paraId="4FFA0D1A">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5.在备案中玩忽职守、滥用职权的；在备案中发生腐败行为的；</w:t>
            </w:r>
          </w:p>
          <w:p w14:paraId="70BC5C0D">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lang w:val="en-US" w:eastAsia="zh-CN"/>
              </w:rPr>
              <w:t>6</w:t>
            </w:r>
            <w:r>
              <w:rPr>
                <w:rFonts w:hint="eastAsia" w:ascii="方正仿宋_GBK" w:hAnsi="方正仿宋_GBK" w:eastAsia="方正仿宋_GBK" w:cs="方正仿宋_GBK"/>
                <w:sz w:val="18"/>
                <w:szCs w:val="18"/>
                <w:vertAlign w:val="baseline"/>
              </w:rPr>
              <w:t>.其他违反法律法规规章文件规定的行为。</w:t>
            </w:r>
          </w:p>
        </w:tc>
        <w:tc>
          <w:tcPr>
            <w:tcW w:w="191" w:type="pct"/>
            <w:gridSpan w:val="3"/>
          </w:tcPr>
          <w:p w14:paraId="1A78F24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bl>
    <w:p w14:paraId="718C986D">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A9193"/>
    <w:multiLevelType w:val="singleLevel"/>
    <w:tmpl w:val="B80A9193"/>
    <w:lvl w:ilvl="0" w:tentative="0">
      <w:start w:val="7"/>
      <w:numFmt w:val="chineseCounting"/>
      <w:suff w:val="space"/>
      <w:lvlText w:val="第%1条"/>
      <w:lvlJc w:val="left"/>
      <w:rPr>
        <w:rFonts w:hint="eastAsia"/>
      </w:rPr>
    </w:lvl>
  </w:abstractNum>
  <w:abstractNum w:abstractNumId="1">
    <w:nsid w:val="70C5C4DC"/>
    <w:multiLevelType w:val="singleLevel"/>
    <w:tmpl w:val="70C5C4DC"/>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8"/>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mNWM4OGIzOTIzZWFiOWFlM2RjYzE1YTgyMjY5N2UifQ=="/>
  </w:docVars>
  <w:rsids>
    <w:rsidRoot w:val="00000000"/>
    <w:rsid w:val="03065482"/>
    <w:rsid w:val="14F335E4"/>
    <w:rsid w:val="1EF413AD"/>
    <w:rsid w:val="20052EF5"/>
    <w:rsid w:val="204958FC"/>
    <w:rsid w:val="26186658"/>
    <w:rsid w:val="31416C5C"/>
    <w:rsid w:val="325255F8"/>
    <w:rsid w:val="32CF28DB"/>
    <w:rsid w:val="33A928CE"/>
    <w:rsid w:val="37B4116F"/>
    <w:rsid w:val="39965008"/>
    <w:rsid w:val="44CC2B6C"/>
    <w:rsid w:val="4AED334A"/>
    <w:rsid w:val="544474CD"/>
    <w:rsid w:val="5DEE5DA8"/>
    <w:rsid w:val="63954645"/>
    <w:rsid w:val="63CC36EB"/>
    <w:rsid w:val="668F2A3A"/>
    <w:rsid w:val="66AA678D"/>
    <w:rsid w:val="66C53969"/>
    <w:rsid w:val="6CAA44C1"/>
    <w:rsid w:val="74B64688"/>
    <w:rsid w:val="7B712812"/>
    <w:rsid w:val="7F633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4697</Words>
  <Characters>4867</Characters>
  <Lines>0</Lines>
  <Paragraphs>0</Paragraphs>
  <TotalTime>37</TotalTime>
  <ScaleCrop>false</ScaleCrop>
  <LinksUpToDate>false</LinksUpToDate>
  <CharactersWithSpaces>4878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此去经年丶1405612783</cp:lastModifiedBy>
  <cp:lastPrinted>2025-09-17T02:47:00Z</cp:lastPrinted>
  <dcterms:modified xsi:type="dcterms:W3CDTF">2025-10-30T07:43:09Z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18B6A4426C82492FA40045909FC3F60A_13</vt:lpwstr>
  </property>
  <property fmtid="{D5CDD505-2E9C-101B-9397-08002B2CF9AE}" pid="4" name="KSOTemplateDocerSaveRecord">
    <vt:lpwstr>eyJoZGlkIjoiNzAzMTZiOTBhOTBkMDc3MWNhMWMyZjVmMDg2YmMwOTgiLCJ1c2VySWQiOiIxODc2NTQwNiJ9</vt:lpwstr>
  </property>
</Properties>
</file>