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2649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23"/>
        <w:gridCol w:w="1422"/>
        <w:gridCol w:w="1093"/>
        <w:gridCol w:w="557"/>
        <w:gridCol w:w="2336"/>
        <w:gridCol w:w="814"/>
        <w:gridCol w:w="831"/>
        <w:gridCol w:w="536"/>
        <w:gridCol w:w="900"/>
        <w:gridCol w:w="692"/>
        <w:gridCol w:w="1174"/>
        <w:gridCol w:w="1178"/>
        <w:gridCol w:w="472"/>
        <w:gridCol w:w="9291"/>
        <w:gridCol w:w="626"/>
        <w:gridCol w:w="4146"/>
      </w:tblGrid>
      <w:tr w14:paraId="2EC06E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6491" w:type="dxa"/>
            <w:gridSpan w:val="16"/>
            <w:tcBorders>
              <w:top w:val="nil"/>
              <w:left w:val="nil"/>
              <w:bottom w:val="nil"/>
              <w:right w:val="nil"/>
            </w:tcBorders>
            <w:shd w:val="clear" w:color="auto" w:fill="auto"/>
            <w:vAlign w:val="center"/>
          </w:tcPr>
          <w:p w14:paraId="305AE87B">
            <w:pPr>
              <w:keepNext w:val="0"/>
              <w:keepLines w:val="0"/>
              <w:widowControl/>
              <w:suppressLineNumbers w:val="0"/>
              <w:jc w:val="center"/>
              <w:textAlignment w:val="center"/>
              <w:rPr>
                <w:rFonts w:ascii="方正小标宋_GBK" w:hAnsi="方正小标宋_GBK" w:eastAsia="方正小标宋_GBK" w:cs="方正小标宋_GBK"/>
                <w:i w:val="0"/>
                <w:iCs w:val="0"/>
                <w:color w:val="000000"/>
                <w:sz w:val="12"/>
                <w:szCs w:val="12"/>
                <w:u w:val="none"/>
              </w:rPr>
            </w:pPr>
            <w:r>
              <w:rPr>
                <w:rFonts w:hint="eastAsia" w:ascii="方正小标宋_GBK" w:hAnsi="方正小标宋_GBK" w:eastAsia="方正小标宋_GBK" w:cs="方正小标宋_GBK"/>
                <w:i w:val="0"/>
                <w:iCs w:val="0"/>
                <w:color w:val="000000"/>
                <w:kern w:val="0"/>
                <w:sz w:val="44"/>
                <w:szCs w:val="44"/>
                <w:u w:val="none"/>
                <w:lang w:val="en-US" w:eastAsia="zh-CN" w:bidi="ar"/>
              </w:rPr>
              <w:t>米东区建设局（交通局）权责清单（行政处罚类）</w:t>
            </w:r>
          </w:p>
        </w:tc>
      </w:tr>
      <w:tr w14:paraId="3615F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022B2">
            <w:pPr>
              <w:keepNext w:val="0"/>
              <w:keepLines w:val="0"/>
              <w:widowControl/>
              <w:suppressLineNumbers w:val="0"/>
              <w:jc w:val="center"/>
              <w:textAlignment w:val="center"/>
              <w:rPr>
                <w:rFonts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序号</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82ED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事项名称</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9D37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子项名称</w:t>
            </w: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12E0D">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权力类型</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A9F92">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实施依据</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17BC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行使主体</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1B1C6">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承办机构</w:t>
            </w:r>
          </w:p>
        </w:tc>
        <w:tc>
          <w:tcPr>
            <w:tcW w:w="14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52DDF7">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实施层级及权限</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D5002">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部门职责</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3544B">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责任事项内容</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CF86D">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责任事项依据</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198C7">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追责对象范围</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8FA57">
            <w:pPr>
              <w:keepNext w:val="0"/>
              <w:keepLines w:val="0"/>
              <w:widowControl/>
              <w:suppressLineNumbers w:val="0"/>
              <w:tabs>
                <w:tab w:val="left" w:pos="9030"/>
              </w:tabs>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追责情形</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2D34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备注</w:t>
            </w:r>
          </w:p>
        </w:tc>
      </w:tr>
      <w:tr w14:paraId="0561D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F73818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F1C4D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对必须进行招标的项目而不招标的，将必须进行招标的项目化整为零或者以其他任何方式规避招标的处罚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FBC660">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7135BC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044F03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招标投标法》（1999年8月30日第九届全国人民代表大会常务委员会第十一次会议通过。根据2017年12月27日第十二届全国人民代表大会常务委员会第三十一次会议《关于修改〈中华人民共和国招标投标法〉、〈中华人民共和国计量法〉的决定》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四十九条：违反本法规定，必须进行招标的项目而不招标的，将必须进行招标的项目化整为零或者以其他任何方式规避招标的，责令限期改正，可以处项目合同金额千分之五以上千分之十以下的罚款；对全部或者部分使用国有资金的项目，可以暂停项目执行或者暂停资金拨付；对单位直接负责的主管人员和其他直接责任人员依法给予处分。</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98FE3F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D6969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4A87D7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86521E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CA004B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84ACD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F674B3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A503BF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BA7645">
            <w:pPr>
              <w:keepNext w:val="0"/>
              <w:keepLines w:val="0"/>
              <w:widowControl/>
              <w:suppressLineNumbers w:val="0"/>
              <w:tabs>
                <w:tab w:val="left" w:pos="9240"/>
              </w:tabs>
              <w:ind w:right="4097" w:rightChars="1951"/>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F497611">
            <w:pPr>
              <w:jc w:val="center"/>
              <w:rPr>
                <w:rFonts w:hint="eastAsia" w:ascii="仿宋" w:hAnsi="仿宋" w:eastAsia="仿宋" w:cs="仿宋"/>
                <w:i w:val="0"/>
                <w:iCs w:val="0"/>
                <w:color w:val="000000"/>
                <w:sz w:val="12"/>
                <w:szCs w:val="12"/>
                <w:u w:val="none"/>
              </w:rPr>
            </w:pPr>
          </w:p>
        </w:tc>
      </w:tr>
      <w:tr w14:paraId="6DAC9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0757C6D">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F29F88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对招标代理机构泄露应当保密的与招标投标活动有关的情况和资料的，或者与招标人、投标人串通损害国家利益、社会公共利益或者他人合法权益的处罚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414C04D">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6B696C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5A2CA7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招标投标法》（1999年8月30日第九届全国人民代表大会常务委员会第十一次会议通过。根据2017年12月27日第十二届全国人民代表大会常务委员会第三十一次会议《关于修改〈中华人民共和国招标投标法〉、〈中华人民共和国计量法〉的决定》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十条：招标代理机构违反本法规定，泄露应当保密的与招标投标活动有关的情况和资料的，或者与招标人、投标人串通损害国家利益、社会公共利益或者他人合法权益的，处五万元以上二十五万元以下的罚款，对单位直接负责的主管人员和其他直接责任人员处单位罚款数额百分之五以上百分之十以下的罚款；有违法所得的，并处没收违法所得；情节严重的，禁止其一年至二年内代理依法必须进行招标的项目并予以公告，直至由工商行政管理机关吊销营业执照；构成犯罪的，依法追究刑事责任。给他人造成损失的，依法承担赔偿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前款所列行为影响中标结果的，中标无效。</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0FA40B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4953F6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6384B52">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94126D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B3D387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7249CC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CBE189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2DD472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CBCCB2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7806171">
            <w:pPr>
              <w:jc w:val="center"/>
              <w:rPr>
                <w:rFonts w:hint="eastAsia" w:ascii="仿宋" w:hAnsi="仿宋" w:eastAsia="仿宋" w:cs="仿宋"/>
                <w:i w:val="0"/>
                <w:iCs w:val="0"/>
                <w:color w:val="000000"/>
                <w:sz w:val="12"/>
                <w:szCs w:val="12"/>
                <w:u w:val="none"/>
              </w:rPr>
            </w:pPr>
          </w:p>
        </w:tc>
      </w:tr>
      <w:tr w14:paraId="4509B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414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81A53C2">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1F283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对招标人有相关限制或者排斥潜在投标人行为的处罚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17D457">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F87112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A89FDE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招标投标法》（1999年8月30日第九届全国人民代表大会常务委员会第十一次会议通过。根据2017年12月27日第十二届全国人民代表大会常务委员会第三十一次会议《关于修改〈中华人民共和国招标投标法〉、〈中华人民共和国计量法〉的决定》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十一条：招标人以不合理的条件限制或者排斥潜在投标人的，对潜在投标人实行歧视待遇的，强制要求投标人组成联合体共同投标的，或者限制投标人之间竞争的，责令改正，可以处一万元以上五万元以下的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规章】《工程建设项目施工招标投标办法》（2003年3月8日国家计委、建设部、铁道部、交通部、信息产业部、水利部、中国民用航空总局令第30号发布，2013年3月11日国家发展改革委、建设部、铁道部、交通运输部、信息产业部、水利部、中国民用航空总局令第23号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七十三条第一款：招标人有下列限制或者排斥潜在投标人行为之一的，由有关行政监督部门依照招标投标法第五十一条的规定处罚；其中，构成依法必须进行施工招标的项目的招标人规避招标的，依照招标投标法第四十九条的规定处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（一）依法应当公开招标的项目不按照规定在指定媒介发布资格预审公告或者招标公告；</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（二）在不同媒介发布的同一招标项目的资格预审公告或者招标公告的内容不一致，影响潜在投标人申请资格预审或者投标。</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第二款：招标人有下列情形之一的，由有关行政监督部门责令改正，可以处10万元以下的罚款：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（一）依法应当公开招标而采用邀请招标；</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（二）招标文件、资格预审文件的发售、澄清、修改的时限，或者确定的提交资格预审申请文件、投标文件的时限不符合招标投标法和招标投标法实施条例规定；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（三）接受未通过资格预审的单位或者个人参加投标；</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（四）接受应当拒收的投标文件。</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第三款：招标人有前款第一项、第三项、第四项所列行为之一的，对单位直接负责的主管人员和其他直接责任人员依法给予处分。</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EA1025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9351A2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0667CF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29DD57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BC719B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03CE2C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F2DB5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904872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F798BEF">
            <w:pPr>
              <w:keepNext w:val="0"/>
              <w:keepLines w:val="0"/>
              <w:widowControl/>
              <w:suppressLineNumbers w:val="0"/>
              <w:tabs>
                <w:tab w:val="left" w:pos="7770"/>
              </w:tabs>
              <w:ind w:right="4719" w:rightChars="2247"/>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9D42FF1">
            <w:pPr>
              <w:jc w:val="center"/>
              <w:rPr>
                <w:rFonts w:hint="eastAsia" w:ascii="仿宋" w:hAnsi="仿宋" w:eastAsia="仿宋" w:cs="仿宋"/>
                <w:i w:val="0"/>
                <w:iCs w:val="0"/>
                <w:color w:val="000000"/>
                <w:sz w:val="12"/>
                <w:szCs w:val="12"/>
                <w:u w:val="none"/>
              </w:rPr>
            </w:pPr>
          </w:p>
        </w:tc>
      </w:tr>
      <w:tr w14:paraId="42073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FA9DB42">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CCB372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对依法必须进行招标的项目的招标人向他人透露已获取招标文件的潜在投标人的名称、数量或者可能影响公平竞争的有关招标投标的其他情况的，或者泄露标底的处罚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9574CDB">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56C300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1444D4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招标投标法》（1999年8月30日第九届全国人民代表大会常务委员会第十一次会议通过。根据2017年12月27日第十二届全国人民代表大会常务委员会第三十一次会议《关于修改〈中华人民共和国招标投标法〉、〈中华人民共和国计量法〉的决定》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十二条：依法必须进行招标的项目的招标人向他人透露已获取招标文件的潜在投标人的名称、数量或者可能影响公平竞争的有关招标投标的其他情况的，或者泄露标底的，给予警告，可以并处一万元以上十万元以下的罚款；对单位直接负责的主管人员和其他直接责任人员依法给予处分；构成犯罪的，依法追究刑事责任。前款所列行为影响中标结果的，中标无效。</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BB3FB0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322064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57E5D6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1B435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9148CB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75F7D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382D13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77F1E3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9CC359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37F5FDF">
            <w:pPr>
              <w:jc w:val="center"/>
              <w:rPr>
                <w:rFonts w:hint="eastAsia" w:ascii="仿宋" w:hAnsi="仿宋" w:eastAsia="仿宋" w:cs="仿宋"/>
                <w:i w:val="0"/>
                <w:iCs w:val="0"/>
                <w:color w:val="000000"/>
                <w:sz w:val="12"/>
                <w:szCs w:val="12"/>
                <w:u w:val="none"/>
              </w:rPr>
            </w:pPr>
          </w:p>
        </w:tc>
      </w:tr>
      <w:tr w14:paraId="290A8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9306C0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33C9D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对投标人相互串通投标或者与招标人串通投标的，投标人以向招标人或者评标委员会成员行贿的手段谋取中标的处罚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5F20BF">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2C3AFDB">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810D5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招标投标法》（1999年8月30日第九届全国人民代表大会常务委员会第十一次会议通过。根据2017年12月27日第十二届全国人民代表大会常务委员会第三十一次会议《关于修改〈中华人民共和国招标投标法〉、〈中华人民共和国计量法〉的决定》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十三条：投标人相互串通投标或者与招标人串通投标的，投标人以向招标人或者评标委员会成员行贿的手段谋取中标的，中标无效，处中标项目金额千分之五以上千分之十以下的罚款，对单位直接负责的主管人员和其他直接责任人员处单位罚款数额百分之五以上百分之十以下的罚款；有违法所得的，并处没收违法所得；情节严重的，取消其一年至二年内参加依法必须进行招标的项目的投标资格并予以公告，直至由工商行政管理机关吊销营业执照；构成犯罪的，依法追究刑事责任。给他人造成损失的，依法承担赔偿责任。</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E50A27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C382D1D">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960FBF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B10FC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CB602F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12B2E7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CB8926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79AD48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84ABA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3A3038">
            <w:pPr>
              <w:jc w:val="center"/>
              <w:rPr>
                <w:rFonts w:hint="eastAsia" w:ascii="仿宋" w:hAnsi="仿宋" w:eastAsia="仿宋" w:cs="仿宋"/>
                <w:i w:val="0"/>
                <w:iCs w:val="0"/>
                <w:color w:val="000000"/>
                <w:sz w:val="12"/>
                <w:szCs w:val="12"/>
                <w:u w:val="none"/>
              </w:rPr>
            </w:pPr>
          </w:p>
        </w:tc>
      </w:tr>
      <w:tr w14:paraId="0FA91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10B84A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C432F6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对投标人以他人名义投标或者以其他方式弄虚作假，骗取中标的处罚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27A79FB">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465227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115B3D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招标投标法》（1999年8月30日第九届全国人民代表大会常务委员会第十一次会议通过。根据2017年12月27日第十二届全国人民代表大会常务委员会第三十一次会议《关于修改〈中华人民共和国招标投标法〉、〈中华人民共和国计量法〉的决定》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十四条：投标人以他人名义投标或者以其他方式弄虚作假，骗取中标的，中标无效，给招标人造成损失的，依法承担赔偿责任；构成犯罪的，依法追究刑事责任；依法必须进行招标的项目的投标人有前款所列行为尚未构成犯罪的，处中标项目金额千分之五以上千分之十以下的罚款，对单位直接负责的主管人员和其他直接责任人员处单位罚款数额百分之五以上至百分之十以下的罚款；有违法所得的，并处没收违法所得；情节严重的，取消其一年至三年内参加依法必须进行招标的项目的投标资格并予以公告，直至由工商行政管理机关吊销营业执照。</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5452F4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8362AB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C8A1FB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2EA61D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84C60D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D8E764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018845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D0034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FA8BEE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3992E47">
            <w:pPr>
              <w:jc w:val="center"/>
              <w:rPr>
                <w:rFonts w:hint="eastAsia" w:ascii="仿宋" w:hAnsi="仿宋" w:eastAsia="仿宋" w:cs="仿宋"/>
                <w:i w:val="0"/>
                <w:iCs w:val="0"/>
                <w:color w:val="000000"/>
                <w:sz w:val="12"/>
                <w:szCs w:val="12"/>
                <w:u w:val="none"/>
              </w:rPr>
            </w:pPr>
          </w:p>
        </w:tc>
      </w:tr>
      <w:tr w14:paraId="1A6E9F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B2A3A3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8E1A89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对依法必须进行招标的项目，招标人违反《中华人民共和国招标投标法》规定，与投标人就投标价格、投标方案等实质性内容进行谈判的处罚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E820F92">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6CAD8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DE569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招标投标法》（1999年8月30日第九届全国人民代表大会常务委员会第十一次会议通过。根据2017年12月27日第十二届全国人民代表大会常务委员会第三十一次会议《关于修改〈中华人民共和国招标投标法〉、〈中华人民共和国计量法〉的决定》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十五条：依法必须进行招标的项目，招标人违反本法规定，与投标人就投标价格、投标方案等实质性内容进行谈判的，给予警告，对单位直接负责的主管人员和其他直接责任人员依法给予处分。前款所列行为影响中标结果的，中标无效。</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32901C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C2D0927">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EBF18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4C1CA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E72CD2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C0584E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F8A016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336880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3268D4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038FB57">
            <w:pPr>
              <w:jc w:val="center"/>
              <w:rPr>
                <w:rFonts w:hint="eastAsia" w:ascii="仿宋" w:hAnsi="仿宋" w:eastAsia="仿宋" w:cs="仿宋"/>
                <w:i w:val="0"/>
                <w:iCs w:val="0"/>
                <w:color w:val="000000"/>
                <w:sz w:val="12"/>
                <w:szCs w:val="12"/>
                <w:u w:val="none"/>
              </w:rPr>
            </w:pPr>
          </w:p>
        </w:tc>
      </w:tr>
      <w:tr w14:paraId="38A4C2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1E140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8</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F64F8F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对招标人在评标委员会依法推荐的中标候选人以外确定中标人的，依法必须进行招标的项目在所有投标被评标委员会否决后自行确定中标人的处罚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9909E19">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CA0847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91BAD3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招标投标法》（1999年8月30日第九届全国人民代表大会常务委员会第十一次会议通过。根据2017年12月27日第十二届全国人民代表大会常务委员会第三十一次会议《关于修改〈中华人民共和国招标投标法〉、〈中华人民共和国计量法〉的决定》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十七条：招标人在评标委员会依法推荐的中标候选人以外确定中标人的，依法必须进行招标的项目在所有投标被评标委员会否决后自行确定中标人的，中标无效。责令改正，可以处中标项目金额千分之五以上千分之十以下的罚款；对单位直接负责的主管人员和其他直接责任人员依法给予处分。</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F65811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1CB50B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021197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0B78E3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43FCEC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82CDB3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D3051B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F6E13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1329B3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26582E">
            <w:pPr>
              <w:jc w:val="center"/>
              <w:rPr>
                <w:rFonts w:hint="eastAsia" w:ascii="仿宋" w:hAnsi="仿宋" w:eastAsia="仿宋" w:cs="仿宋"/>
                <w:i w:val="0"/>
                <w:iCs w:val="0"/>
                <w:color w:val="000000"/>
                <w:sz w:val="12"/>
                <w:szCs w:val="12"/>
                <w:u w:val="none"/>
              </w:rPr>
            </w:pPr>
          </w:p>
        </w:tc>
      </w:tr>
      <w:tr w14:paraId="3D236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6A5AEA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9</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8A8896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中标人将中标项目转让给他人的，将中标项目肢解后分别转让给他人的，违反《中华人民共和国招标投标法》规定将中标项目的部分主体、关键性工作分包给他人的，或者分包人再次分包的，转让、分包无效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10F147E">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913E94B">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E5F858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招标投标法》（1999年8月30日第九届全国人民代表大会常务委员会第十一次会议通过。根据2017年12月27日第十二届全国人民代表大会常务委员会第三十一次会议《关于修改〈中华人民共和国招标投标法〉、〈中华人民共和国计量法〉的决定》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十八条：中标人将中标项目转让给他人的，将中标项目肢解后分别转让给他人的，违反本法规定将中标项目的部分主体、关键性工作分包给他人的，或者分包人再次分包的，转让、分包无效，处转让、分包项目金额千分之五以上千分之十以下的罚款；有违法所得的，并处没收违法所得；可以责令停业整顿；情节严重的，由工商行政管理机关吊销营业执照。</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398051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05E760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046DB9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0A618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431449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0FE405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478AB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F1BB24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12CA0A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2F4E1F">
            <w:pPr>
              <w:jc w:val="center"/>
              <w:rPr>
                <w:rFonts w:hint="eastAsia" w:ascii="仿宋" w:hAnsi="仿宋" w:eastAsia="仿宋" w:cs="仿宋"/>
                <w:i w:val="0"/>
                <w:iCs w:val="0"/>
                <w:color w:val="000000"/>
                <w:sz w:val="12"/>
                <w:szCs w:val="12"/>
                <w:u w:val="none"/>
              </w:rPr>
            </w:pPr>
          </w:p>
        </w:tc>
      </w:tr>
      <w:tr w14:paraId="4CF21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3B5DFF">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10</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A7DF8B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对招标人与中标人不按照招标文件和中标人的投标文件订立合同的，或者招标人、中标人订立背离合同实质性内容的协议的处罚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8DC53A">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C5838E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62AC0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招标投标法》（1999年8月30日第九届全国人民代表大会常务委员会第十一次会议通过。根据2017年12月27日第十二届全国人民代表大会常务委员会第三十一次会议《关于修改〈中华人民共和国招标投标法〉、〈中华人民共和国计量法〉的决定》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第五十九条：招标人与中标人不按照招标文件和中标人的投标文件订立合同的，或者招标人、中标人订立背离合同实质性内容的协议的，责令改正；可以处中标项目金额千分之五以上千分之十以下的罚款。</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A51508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6C69EFB">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A03197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ED75FD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F76906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86384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53B8BF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DE10B9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E0C62C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1268191">
            <w:pPr>
              <w:jc w:val="center"/>
              <w:rPr>
                <w:rFonts w:hint="eastAsia" w:ascii="仿宋" w:hAnsi="仿宋" w:eastAsia="仿宋" w:cs="仿宋"/>
                <w:i w:val="0"/>
                <w:iCs w:val="0"/>
                <w:color w:val="000000"/>
                <w:sz w:val="12"/>
                <w:szCs w:val="12"/>
                <w:u w:val="none"/>
              </w:rPr>
            </w:pPr>
          </w:p>
        </w:tc>
      </w:tr>
      <w:tr w14:paraId="6C225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760E536">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11</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6F648F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对中标人不履行与招标人订立的合同的处罚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72D5BB">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0A16C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6D650B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招标投标法》（1999年8月30日第九届全国人民代表大会常务委员会第十一次会议通过。根据2017年12月27日第十二届全国人民代表大会常务委员会第三十一次会议《关于修改〈中华人民共和国招标投标法〉、〈中华人民共和国计量法〉的决定》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六十条：中标人不履行与招标人订立的合同的，履约保证金不予退还，给招标人造成的损失超过履约保证金数额的，还应当对超过部分予以赔偿；没有提交履约保证金的，应当对招标人的损失承担赔偿责任。中标人不按照与招标人订立的合同履行义务，情节较为严重的，取消其二年至五年内参加依法必须进行招标的项目的投标资格并予以公告，直至由工商行政管理机关吊销营业执照。因不可抗力不能履行合同的，不适用前两款规定。</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4C76B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54F74FD">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3971F1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7FECD9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817292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A62A1A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61D077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A6193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3CAD33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FE71BF5">
            <w:pPr>
              <w:jc w:val="center"/>
              <w:rPr>
                <w:rFonts w:hint="eastAsia" w:ascii="仿宋" w:hAnsi="仿宋" w:eastAsia="仿宋" w:cs="仿宋"/>
                <w:i w:val="0"/>
                <w:iCs w:val="0"/>
                <w:color w:val="000000"/>
                <w:sz w:val="12"/>
                <w:szCs w:val="12"/>
                <w:u w:val="none"/>
              </w:rPr>
            </w:pPr>
          </w:p>
        </w:tc>
      </w:tr>
      <w:tr w14:paraId="6AEC0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3EFA4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12</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48AF3B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对招标人以不合理的条件限制或者排斥潜在投标人的，对潜在投标人实行歧视待遇的，强制要求投标人组成联合体共同投标的，或者限制投标人之间竞争的处罚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E882E6D">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E2EF34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B7EE3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【规章】《建筑工程设计招标投标管理办法》（2017年1月24日住房和城乡建设部令第33号）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二十九条：招标人以不合理的条件限制或者排斥潜在投标人的，对潜在投标人实行歧视待遇的，强制要求投标人组成联合体共同投标的，或者限制投标人之间竞争的，由县级以上地方人民政府住房城乡建设主管部门责令改正，可以处1万元以上5万元以下的罚款。</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65322F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88D73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B7B0C4D">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BF57A2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C87049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8E116B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F87B32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49263E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C0A0B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711570B">
            <w:pPr>
              <w:jc w:val="center"/>
              <w:rPr>
                <w:rFonts w:hint="eastAsia" w:ascii="仿宋" w:hAnsi="仿宋" w:eastAsia="仿宋" w:cs="仿宋"/>
                <w:i w:val="0"/>
                <w:iCs w:val="0"/>
                <w:color w:val="000000"/>
                <w:sz w:val="12"/>
                <w:szCs w:val="12"/>
                <w:u w:val="none"/>
              </w:rPr>
            </w:pPr>
          </w:p>
        </w:tc>
      </w:tr>
      <w:tr w14:paraId="7D46F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A1ECE8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13</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89BB81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负责本行政区域内对招标人澄清、修改招标文件的时限，或者确定的提交投标文件的时限不符合规定的处罚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C505B69">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667414E">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5CE2F5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【规章】《建筑工程设计招标投标管理办法》（2017年1月24日住房和城乡建设部令第33号）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三十一条：招标人不按照规定组建评标委员会，或者评标委员会成员的确定违反本办法规定的，由县级以上地方人民政府住房城乡建设主管部门责令改正，可以处10万元以下的罚款，相应评审结论无效，依法重新进行评审。</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6F3DA3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B7F7F7">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0944B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762B5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2F71B7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CE3D75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3E71E1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FE5EFD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AB4F99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0FAFE0C">
            <w:pPr>
              <w:jc w:val="center"/>
              <w:rPr>
                <w:rFonts w:hint="eastAsia" w:ascii="仿宋" w:hAnsi="仿宋" w:eastAsia="仿宋" w:cs="仿宋"/>
                <w:i w:val="0"/>
                <w:iCs w:val="0"/>
                <w:color w:val="000000"/>
                <w:sz w:val="12"/>
                <w:szCs w:val="12"/>
                <w:u w:val="none"/>
              </w:rPr>
            </w:pPr>
          </w:p>
        </w:tc>
      </w:tr>
      <w:tr w14:paraId="44341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4645C1F">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14</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7BB5D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对《建筑工程设计招标投标管理办法》第三十二条禁止行为的处罚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6590AF3">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3E49E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FD7F63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【规章】《建筑工程设计招标投标管理办法》（2017年1月24日住房和城乡建设部令第33号）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三十二条：招标人有下列情形之一的，由县级以上地方人民政府住房城乡建设主管部门责令改正，可以处中标项目金额10‰以下的罚款；给他人造成损失的，依法承担赔偿责任；对单位直接负责的主管人员和其他直接责任人员依法给予处分：</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（一）无正当理由未按本办法规定发出中标通知书；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（二）不按照规定确定中标人；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（三）中标通知书发出后无正当理由改变中标结果；</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（四）无正当理由未按本办法规定与中标人订立合同；</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（五）在订立合同时向中标人提出附加条件。</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C9152D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E1D1B8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CAB466">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3A5AEE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D1DCCB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993157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62CF7E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3D0191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4D19E7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848FB3C">
            <w:pPr>
              <w:jc w:val="center"/>
              <w:rPr>
                <w:rFonts w:hint="eastAsia" w:ascii="仿宋" w:hAnsi="仿宋" w:eastAsia="仿宋" w:cs="仿宋"/>
                <w:i w:val="0"/>
                <w:iCs w:val="0"/>
                <w:color w:val="000000"/>
                <w:sz w:val="12"/>
                <w:szCs w:val="12"/>
                <w:u w:val="none"/>
              </w:rPr>
            </w:pPr>
          </w:p>
        </w:tc>
      </w:tr>
      <w:tr w14:paraId="6755B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8BD3F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15</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6C3F0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对投标人以他人名义投标或者以其他方式弄虚作假，骗取中标的处罚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ABC8D7C">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BFFD527">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1DB4A2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【规章】《建筑工程设计招标投标管理办法》（2017年1月24日住房和城乡建设部令第33号）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第三十三条：投标人以他人名义投标或者以其他方式弄虚作假，骗取中标的，中标无效，给招标人造成损失的，依法承担赔偿责任；构成犯罪的，依法追究刑事责任。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投标人有前款所列行为尚未构成犯罪的，由县级以上地方人民政府住房城乡建设主管部门处中标项目金额5‰以上10‰以下的罚款，对单位直接负责的主管人员和其他直接责任人员处单位罚款数额5%以上10%以下的罚款；有违法所得的，并处没收违法所得；情节严重的，取消其1年至3年内参加依法必须进行招标的建筑工程设计招标的投标资格，并予以公告，直至由工商行政管理机关吊销营业执照。</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37C7C2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5157B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356E38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0427E7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95232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1A4E77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61917F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9628A5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407B47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140357">
            <w:pPr>
              <w:jc w:val="center"/>
              <w:rPr>
                <w:rFonts w:hint="eastAsia" w:ascii="仿宋" w:hAnsi="仿宋" w:eastAsia="仿宋" w:cs="仿宋"/>
                <w:i w:val="0"/>
                <w:iCs w:val="0"/>
                <w:color w:val="000000"/>
                <w:sz w:val="12"/>
                <w:szCs w:val="12"/>
                <w:u w:val="none"/>
              </w:rPr>
            </w:pPr>
          </w:p>
        </w:tc>
      </w:tr>
      <w:tr w14:paraId="5F123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6DA581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16</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0ADFED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对中标人无正当理由不与招标人订立合同，在签订合同时向招标人提出附加条件，或者不按照招标文件要求提交履约保证金的处罚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80D3F7D">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06C755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70FB6F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【规章】《评标委员会和评标方法暂行规定》（2001年7月5日国家发展改革委令第12号发布，根据2013年3月11日国家发展改革委令第23号修正）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十七条：中标人无正当理由不与招标人订立合同，在签订合同时向招标人提出附加条件，或者不按照招标文件要求提交履约保证金的，取消其中标资格，投标保证金不予退还。对依法必须进行招标的项目的中标人，由有关行政监督部门责令改正，可以处中标项目金额10‰以下的罚款。</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C88E7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9F40842">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F26CBE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8DA293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431B92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B6629A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CD9687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06D9E6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71DAB9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7115BB4">
            <w:pPr>
              <w:jc w:val="center"/>
              <w:rPr>
                <w:rFonts w:hint="eastAsia" w:ascii="仿宋" w:hAnsi="仿宋" w:eastAsia="仿宋" w:cs="仿宋"/>
                <w:i w:val="0"/>
                <w:iCs w:val="0"/>
                <w:color w:val="000000"/>
                <w:sz w:val="12"/>
                <w:szCs w:val="12"/>
                <w:u w:val="none"/>
              </w:rPr>
            </w:pPr>
          </w:p>
        </w:tc>
      </w:tr>
      <w:tr w14:paraId="42215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98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A64C38B">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17</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74182A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对《中华人民共和国招标投标法实施条例》第六十四条禁止行为的处罚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2A632C">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457BAF7">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23FC5A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【法规】《中华人民共和国招标投标法实施条例》(2011年12月20日国务院令第613号发布，2019年3月2日国务院令第709号修订）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第六十四条：招标人有下列情形之一的，由有关行政监督部门责令改正，可以处10万元以下的罚款：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（一）依法应当公开招标而采用邀请招标；</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（二）招标文件、资格预审文件的发售、澄清、修改的时限，或者确定的提交资格预审申请文件、投标文件的时限不符合招标投标法和本条例规定；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（三）接受未通过资格预审的单位或者个人参加投标；</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（四）接受应当拒收的投标文件。</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招标人有前款第一项、第三项、第四项所列行为之一的，对单位直接负责的主管人员和其他直接责任人员依法给予处分。</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C256FB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B2C161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470C82">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201CAC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A4F8DE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19F848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AEA380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096038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0D7C63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0391B50">
            <w:pPr>
              <w:jc w:val="center"/>
              <w:rPr>
                <w:rFonts w:hint="eastAsia" w:ascii="仿宋" w:hAnsi="仿宋" w:eastAsia="仿宋" w:cs="仿宋"/>
                <w:i w:val="0"/>
                <w:iCs w:val="0"/>
                <w:color w:val="000000"/>
                <w:sz w:val="12"/>
                <w:szCs w:val="12"/>
                <w:u w:val="none"/>
              </w:rPr>
            </w:pPr>
          </w:p>
        </w:tc>
      </w:tr>
      <w:tr w14:paraId="551E3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F222E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18</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3522F3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对招标人超过《招标投标法实施条例》规定的比例收取投标保证金、履约保证金或者不按照规定退还投标保证金及银行同期存款利息的处罚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54D965">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A9D566E">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115752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【法规】《中华人民共和国招标投标法实施条例》(2011年12月20日国务院令第613号发布，2019年3月2日国务院令第709号修订）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六十六条：招标人超过本条例规定的比例收取投标保证金、履约保证金或者不按照规定退还投标保证金及银行同期存款利息的，由有关行政监督部门责令改正，可以处5万元以下的罚款；给他人造成损失的，依法承担赔偿责任。</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FAA7BF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37DC86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45724E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CE5414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8224D6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440376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7D8C1A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69A2D5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112CF6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EEDDFB9">
            <w:pPr>
              <w:jc w:val="center"/>
              <w:rPr>
                <w:rFonts w:hint="eastAsia" w:ascii="仿宋" w:hAnsi="仿宋" w:eastAsia="仿宋" w:cs="仿宋"/>
                <w:i w:val="0"/>
                <w:iCs w:val="0"/>
                <w:color w:val="000000"/>
                <w:sz w:val="12"/>
                <w:szCs w:val="12"/>
                <w:u w:val="none"/>
              </w:rPr>
            </w:pPr>
          </w:p>
        </w:tc>
      </w:tr>
      <w:tr w14:paraId="742FB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D3BEF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19</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E63457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对《中华人民共和国招标投标法实施条例》第七十三条禁止行为的处罚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2104D88">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74896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D30052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【法规】《中华人民共和国招标投标法实施条例》(2011年12月20日国务院令第613号发布，2019年3月2日国务院令第709号修订）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七十三条：依法必须进行招标的项目的招标人有下列情形之一的，由有关行政监督部门责令改正，可以处中标项目金额10‰以下的罚款；给他人造成损失的，依法承担赔偿责任；对单位直接负责的主管人员和其他直接责任人员依法给予处分：</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（一）无正当理由不发出中标通知书；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（二）不按照规定确定中标人；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（三）中标通知书发出后无正当理由改变中标结果；</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（四）无正当理由不与中标人订立合同；</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（五）在订立合同时向中标人提出附加条件。</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699843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1CE38E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71A0E5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7A53CD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4B677E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202E7A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36F8C7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B599D8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6F6E84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DEA865F">
            <w:pPr>
              <w:jc w:val="center"/>
              <w:rPr>
                <w:rFonts w:hint="eastAsia" w:ascii="仿宋" w:hAnsi="仿宋" w:eastAsia="仿宋" w:cs="仿宋"/>
                <w:i w:val="0"/>
                <w:iCs w:val="0"/>
                <w:color w:val="000000"/>
                <w:sz w:val="12"/>
                <w:szCs w:val="12"/>
                <w:u w:val="none"/>
              </w:rPr>
            </w:pPr>
          </w:p>
        </w:tc>
      </w:tr>
      <w:tr w14:paraId="22BC7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3EB6CF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20</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11E5CB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对中标人无正当理由不与招标人订立合同，不按照招标文件要求提交履约保证金的或者不按照招标文件要求提交履约保证金的处罚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1492237">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4A738C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C6F50F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【法规】《中华人民共和国招标投标法实施条例》(2011年12月20日国务院令第613号发布，2019年3月2日国务院令第709号修订）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七十四条：中标人无正当理由不与招标人订立合同，在签订合同时向招标人提出附加条件，或者不按照招标文件要求提交履约保证金的，取消其中标资格，投标保证金不予退还。对依法必须进行招标的项目的中标人，责令改正，可以处中标项目金额10‰以下的罚款。</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980B2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C7099A2">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636FCCF">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C417AE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27DB57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FDA717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554FBF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EAEB7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B0F060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AC13E09">
            <w:pPr>
              <w:jc w:val="center"/>
              <w:rPr>
                <w:rFonts w:hint="eastAsia" w:ascii="仿宋" w:hAnsi="仿宋" w:eastAsia="仿宋" w:cs="仿宋"/>
                <w:i w:val="0"/>
                <w:iCs w:val="0"/>
                <w:color w:val="000000"/>
                <w:sz w:val="12"/>
                <w:szCs w:val="12"/>
                <w:u w:val="none"/>
              </w:rPr>
            </w:pPr>
          </w:p>
        </w:tc>
      </w:tr>
      <w:tr w14:paraId="7D019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818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CAE9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21</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BEF8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对《建设工程质量管理条例》第五十六条禁止行为的处罚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6CBFB">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D14EB">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CE8F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【法规】《建设工程质量管理条例》（2000年1月30日国务院令第279号公布，2019年4月23日国务院令第714号《国务院关于修改部分行政法规的决定》第二次修正）。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第五十六条：违反本条例规定，建设单位有下列行为之一的，责令改正，处２０万元以上５０万元以下的罚款：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（一）迫使承包方以低于成本的价格竞标的；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（二）任意压缩合理工期的；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（三）明示或者暗示设计单位或者施工单位违反工程建设强制性标准，降低工程质量的；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（四）施工图设计文件未经审查或者审查不合格，擅自施工的；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（五）建设项目必须实行工程监理而未实行工程监理的；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（六）未按照国家规定办理工程质量监督手续的；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（七）明示或者暗示施工单位使用不合格的建筑材料、建筑构配件和设备的；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（八）未按照国家规定将竣工验收报告、有关认可文件或者准许使用文件报送备案的。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9742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B21A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质监站、建管办</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4883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FAFE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8789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488A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5A6E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B621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768D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6D55112">
            <w:pPr>
              <w:jc w:val="center"/>
              <w:rPr>
                <w:rFonts w:hint="eastAsia" w:ascii="仿宋" w:hAnsi="仿宋" w:eastAsia="仿宋" w:cs="仿宋"/>
                <w:i w:val="0"/>
                <w:iCs w:val="0"/>
                <w:color w:val="000000"/>
                <w:sz w:val="12"/>
                <w:szCs w:val="12"/>
                <w:u w:val="none"/>
              </w:rPr>
            </w:pPr>
          </w:p>
        </w:tc>
      </w:tr>
      <w:tr w14:paraId="0C7794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B830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22</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A2A1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对《建设工程质量管理条例》第五十八条禁止行为的处罚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29511">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3775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3336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【法规】《建设工程质量管理条例》（2000年1月30日国务院令第279号公布，2019年4月23日国务院令第714号《国务院关于修改部分行政法规的决定》第二次修正）。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第五十八条：违反本条例规定，建设单位有下列行为之一的，责令改正，处工程合同价款2%以上4%以下的罚款；造成损失的，依法承担赔偿责任：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（一）未组织竣工验收，擅自交付使用的；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（二）验收不合格，擅自交付使用的；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（三）对不合格的建设工程按照合格工程验收的。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283E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8C9A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E6DF7">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3B13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465A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60FC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2799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0E8C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3EF0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77DBCF">
            <w:pPr>
              <w:jc w:val="center"/>
              <w:rPr>
                <w:rFonts w:hint="eastAsia" w:ascii="仿宋" w:hAnsi="仿宋" w:eastAsia="仿宋" w:cs="仿宋"/>
                <w:i w:val="0"/>
                <w:iCs w:val="0"/>
                <w:color w:val="000000"/>
                <w:sz w:val="12"/>
                <w:szCs w:val="12"/>
                <w:u w:val="none"/>
              </w:rPr>
            </w:pPr>
          </w:p>
        </w:tc>
      </w:tr>
      <w:tr w14:paraId="6D933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6840" w:hRule="atLeast"/>
        </w:trPr>
        <w:tc>
          <w:tcPr>
            <w:tcW w:w="423"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227B59D">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23</w:t>
            </w:r>
          </w:p>
        </w:tc>
        <w:tc>
          <w:tcPr>
            <w:tcW w:w="1422"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AA4DE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对承包单位将承包的工程转包或者违法分包，工程监理单位转让工程监理业务的处罚</w:t>
            </w:r>
          </w:p>
        </w:tc>
        <w:tc>
          <w:tcPr>
            <w:tcW w:w="1093"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555D0F1">
            <w:pPr>
              <w:jc w:val="center"/>
              <w:rPr>
                <w:rFonts w:hint="eastAsia" w:ascii="仿宋" w:hAnsi="仿宋" w:eastAsia="仿宋" w:cs="仿宋"/>
                <w:i w:val="0"/>
                <w:iCs w:val="0"/>
                <w:color w:val="000000"/>
                <w:sz w:val="12"/>
                <w:szCs w:val="12"/>
                <w:u w:val="none"/>
              </w:rPr>
            </w:pPr>
          </w:p>
        </w:tc>
        <w:tc>
          <w:tcPr>
            <w:tcW w:w="557"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4182762">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504BCF">
            <w:pPr>
              <w:keepNext w:val="0"/>
              <w:keepLines w:val="0"/>
              <w:widowControl/>
              <w:suppressLineNumbers w:val="0"/>
              <w:jc w:val="both"/>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【法律】《中华人民共和国建筑法》（1997年11月1日第八届全国人大常委会第28次会议通过，2011年4月22日主席令第46号修正，2019年4月23日主席令第29号第二次修正）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六十七条：承包单位将承包的工程转包的，或者违反本法规定进行分包的，责令改正，没收违法所得，并处罚款，可以责令停业整顿，降低资质等级；情节严重的，吊销资质证书；承包单位有前款规定的违法行为的，对因转包工程或者违法分包的工程不符合规定的质量标准造成的损失，与接受转包或者分包的单位承担连带赔偿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【法规】《建设工程质量管理条例》（2000年1月10日国务院令第279号发布，根据2019年4月23日国务院令第714号修订）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六十二条：违反本条例规定，承包单位将承包的工程转包或者违法分包的，责令改正，没收违法所得，对勘察、设计单位处合同约定的勘察费、设计费百分之二十五以上百分之五十以下的罚款；对施工单位处工程合同价款百分之零点五以上百分之一以下的罚款；可以责令停业整顿，降低资质等级；情节严重的，吊销资质证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工程监理单位转让工程监理业务的，责令改正，没收违法所得，处合同约定的监理酬金百分之二十五以上百分之五十以下的罚款；可以责令停业整顿，降低资质等级；情节严重的，吊销资质证书。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第七十三条：依照本条例规定，给予单位罚款处罚的，对单位直接负责的主管人员和其他直接责任人员处单位罚款数额百分之五以上百分之十以下的罚款。</w:t>
            </w:r>
          </w:p>
        </w:tc>
        <w:tc>
          <w:tcPr>
            <w:tcW w:w="814"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4ED8236">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0710922">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21C32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E44C1F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EFA3F3E">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C83AC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C0F14F">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4C7488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57093E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vMerge w:val="restart"/>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F297952">
            <w:pPr>
              <w:jc w:val="center"/>
              <w:rPr>
                <w:rFonts w:hint="eastAsia" w:ascii="仿宋" w:hAnsi="仿宋" w:eastAsia="仿宋" w:cs="仿宋"/>
                <w:i w:val="0"/>
                <w:iCs w:val="0"/>
                <w:color w:val="000000"/>
                <w:sz w:val="12"/>
                <w:szCs w:val="12"/>
                <w:u w:val="none"/>
              </w:rPr>
            </w:pPr>
          </w:p>
        </w:tc>
      </w:tr>
      <w:tr w14:paraId="50562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6780" w:hRule="atLeast"/>
        </w:trPr>
        <w:tc>
          <w:tcPr>
            <w:tcW w:w="42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1F658C">
            <w:pPr>
              <w:jc w:val="center"/>
              <w:rPr>
                <w:rFonts w:hint="eastAsia" w:ascii="仿宋" w:hAnsi="仿宋" w:eastAsia="仿宋" w:cs="仿宋"/>
                <w:b/>
                <w:bCs/>
                <w:i w:val="0"/>
                <w:iCs w:val="0"/>
                <w:color w:val="000000"/>
                <w:sz w:val="12"/>
                <w:szCs w:val="12"/>
                <w:u w:val="none"/>
              </w:rPr>
            </w:pPr>
          </w:p>
        </w:tc>
        <w:tc>
          <w:tcPr>
            <w:tcW w:w="142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DBE92BD">
            <w:pPr>
              <w:jc w:val="center"/>
              <w:rPr>
                <w:rFonts w:hint="eastAsia" w:ascii="仿宋" w:hAnsi="仿宋" w:eastAsia="仿宋" w:cs="仿宋"/>
                <w:i w:val="0"/>
                <w:iCs w:val="0"/>
                <w:color w:val="000000"/>
                <w:sz w:val="12"/>
                <w:szCs w:val="12"/>
                <w:u w:val="none"/>
              </w:rPr>
            </w:pPr>
          </w:p>
        </w:tc>
        <w:tc>
          <w:tcPr>
            <w:tcW w:w="1093"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3F9E9E3">
            <w:pPr>
              <w:jc w:val="center"/>
              <w:rPr>
                <w:rFonts w:hint="eastAsia" w:ascii="仿宋" w:hAnsi="仿宋" w:eastAsia="仿宋" w:cs="仿宋"/>
                <w:i w:val="0"/>
                <w:iCs w:val="0"/>
                <w:color w:val="000000"/>
                <w:sz w:val="12"/>
                <w:szCs w:val="12"/>
                <w:u w:val="none"/>
              </w:rPr>
            </w:pPr>
          </w:p>
        </w:tc>
        <w:tc>
          <w:tcPr>
            <w:tcW w:w="557"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EE0E9C">
            <w:pPr>
              <w:jc w:val="center"/>
              <w:rPr>
                <w:rFonts w:hint="eastAsia" w:ascii="仿宋" w:hAnsi="仿宋" w:eastAsia="仿宋" w:cs="仿宋"/>
                <w:i w:val="0"/>
                <w:iCs w:val="0"/>
                <w:color w:val="000000"/>
                <w:sz w:val="12"/>
                <w:szCs w:val="12"/>
                <w:u w:val="none"/>
              </w:rPr>
            </w:pPr>
          </w:p>
        </w:tc>
        <w:tc>
          <w:tcPr>
            <w:tcW w:w="2336"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4501BF0">
            <w:pPr>
              <w:jc w:val="both"/>
              <w:rPr>
                <w:rFonts w:hint="eastAsia" w:ascii="仿宋" w:hAnsi="仿宋" w:eastAsia="仿宋" w:cs="仿宋"/>
                <w:i w:val="0"/>
                <w:iCs w:val="0"/>
                <w:color w:val="000000"/>
                <w:sz w:val="12"/>
                <w:szCs w:val="12"/>
                <w:u w:val="none"/>
              </w:rPr>
            </w:pPr>
          </w:p>
        </w:tc>
        <w:tc>
          <w:tcPr>
            <w:tcW w:w="81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2F14D6">
            <w:pPr>
              <w:jc w:val="center"/>
              <w:rPr>
                <w:rFonts w:hint="eastAsia" w:ascii="仿宋" w:hAnsi="仿宋" w:eastAsia="仿宋" w:cs="仿宋"/>
                <w:i w:val="0"/>
                <w:iCs w:val="0"/>
                <w:color w:val="000000"/>
                <w:sz w:val="12"/>
                <w:szCs w:val="12"/>
                <w:u w:val="none"/>
              </w:rPr>
            </w:pPr>
          </w:p>
        </w:tc>
        <w:tc>
          <w:tcPr>
            <w:tcW w:w="83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DB7A609">
            <w:pPr>
              <w:jc w:val="center"/>
              <w:rPr>
                <w:rFonts w:hint="eastAsia" w:ascii="仿宋" w:hAnsi="仿宋" w:eastAsia="仿宋" w:cs="仿宋"/>
                <w:i w:val="0"/>
                <w:iCs w:val="0"/>
                <w:color w:val="000000"/>
                <w:sz w:val="12"/>
                <w:szCs w:val="12"/>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0533AA7">
            <w:pPr>
              <w:jc w:val="center"/>
              <w:rPr>
                <w:rFonts w:hint="eastAsia" w:ascii="仿宋" w:hAnsi="仿宋" w:eastAsia="仿宋" w:cs="仿宋"/>
                <w:i w:val="0"/>
                <w:iCs w:val="0"/>
                <w:color w:val="000000"/>
                <w:sz w:val="12"/>
                <w:szCs w:val="12"/>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9102542">
            <w:pPr>
              <w:jc w:val="center"/>
              <w:rPr>
                <w:rFonts w:hint="eastAsia" w:ascii="仿宋" w:hAnsi="仿宋" w:eastAsia="仿宋" w:cs="仿宋"/>
                <w:i w:val="0"/>
                <w:iCs w:val="0"/>
                <w:color w:val="000000"/>
                <w:sz w:val="12"/>
                <w:szCs w:val="12"/>
                <w:u w:val="none"/>
              </w:rPr>
            </w:pPr>
          </w:p>
        </w:tc>
        <w:tc>
          <w:tcPr>
            <w:tcW w:w="69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66FD385">
            <w:pPr>
              <w:jc w:val="center"/>
              <w:rPr>
                <w:rFonts w:hint="eastAsia" w:ascii="仿宋" w:hAnsi="仿宋" w:eastAsia="仿宋" w:cs="仿宋"/>
                <w:i w:val="0"/>
                <w:iCs w:val="0"/>
                <w:color w:val="000000"/>
                <w:sz w:val="12"/>
                <w:szCs w:val="12"/>
                <w:u w:val="none"/>
              </w:rPr>
            </w:pPr>
          </w:p>
        </w:tc>
        <w:tc>
          <w:tcPr>
            <w:tcW w:w="1174"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910CCD">
            <w:pPr>
              <w:jc w:val="center"/>
              <w:rPr>
                <w:rFonts w:hint="eastAsia" w:ascii="仿宋" w:hAnsi="仿宋" w:eastAsia="仿宋" w:cs="仿宋"/>
                <w:i w:val="0"/>
                <w:iCs w:val="0"/>
                <w:color w:val="000000"/>
                <w:sz w:val="12"/>
                <w:szCs w:val="12"/>
                <w:u w:val="none"/>
              </w:rPr>
            </w:pPr>
          </w:p>
        </w:tc>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6E49561">
            <w:pPr>
              <w:jc w:val="center"/>
              <w:rPr>
                <w:rFonts w:hint="eastAsia" w:ascii="仿宋" w:hAnsi="仿宋" w:eastAsia="仿宋" w:cs="仿宋"/>
                <w:i w:val="0"/>
                <w:iCs w:val="0"/>
                <w:color w:val="000000"/>
                <w:sz w:val="12"/>
                <w:szCs w:val="12"/>
                <w:u w:val="none"/>
              </w:rPr>
            </w:pPr>
          </w:p>
        </w:tc>
        <w:tc>
          <w:tcPr>
            <w:tcW w:w="472"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FF21280">
            <w:pPr>
              <w:jc w:val="center"/>
              <w:rPr>
                <w:rFonts w:hint="eastAsia" w:ascii="仿宋" w:hAnsi="仿宋" w:eastAsia="仿宋" w:cs="仿宋"/>
                <w:i w:val="0"/>
                <w:iCs w:val="0"/>
                <w:color w:val="000000"/>
                <w:sz w:val="12"/>
                <w:szCs w:val="12"/>
                <w:u w:val="none"/>
              </w:rPr>
            </w:pPr>
          </w:p>
        </w:tc>
        <w:tc>
          <w:tcPr>
            <w:tcW w:w="9291"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ACA7B54">
            <w:pPr>
              <w:jc w:val="left"/>
              <w:rPr>
                <w:rFonts w:hint="eastAsia" w:ascii="仿宋" w:hAnsi="仿宋" w:eastAsia="仿宋" w:cs="仿宋"/>
                <w:i w:val="0"/>
                <w:iCs w:val="0"/>
                <w:color w:val="000000"/>
                <w:sz w:val="12"/>
                <w:szCs w:val="12"/>
                <w:u w:val="none"/>
              </w:rPr>
            </w:pPr>
          </w:p>
        </w:tc>
        <w:tc>
          <w:tcPr>
            <w:tcW w:w="626" w:type="dxa"/>
            <w:vMerge w:val="continue"/>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05B8A74">
            <w:pPr>
              <w:jc w:val="center"/>
              <w:rPr>
                <w:rFonts w:hint="eastAsia" w:ascii="仿宋" w:hAnsi="仿宋" w:eastAsia="仿宋" w:cs="仿宋"/>
                <w:i w:val="0"/>
                <w:iCs w:val="0"/>
                <w:color w:val="000000"/>
                <w:sz w:val="12"/>
                <w:szCs w:val="12"/>
                <w:u w:val="none"/>
              </w:rPr>
            </w:pPr>
          </w:p>
        </w:tc>
      </w:tr>
      <w:tr w14:paraId="226F2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04A82">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24</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6CBA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对施工单位在施工中偷工减料的，使用不合格的建筑材料、建筑构配件和设备的，或者有不按照工程设计图纸或者施工技术标准施工的其他行为的处罚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1E401">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D335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4B61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【法规】《建设工程质量管理条例》（2000年1月30日国务院令第279号公布，2019年4月23日国务院令第714号《国务院关于修改部分行政法规的决定》第二次修正）。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六十四条：违反本条例规定，施工单位在施工中偷工减料的，使用不合格的建筑材料、建筑构配件和设备的，或者有不按照工程设计图纸或者施工技术标准施工的其他行为的，责令改正，处工程合同价款百分之二以上百分之四以下的罚款；造成建设工程质量不符合规定的质量标准的，负责返工、修理，并赔偿因此造成的损失；情节严重的，责令停业整顿，降低资质等级或者吊销资质证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第七十三条：依照本条例规定，给予单位罚款处罚的，对单位直接负责的主管人员和其他直接责任人员处单位罚款数额百分之五以上百分之十以下的罚款。</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6A35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756C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DFCB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1B08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2F67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376E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8498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5B08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555D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59184A5">
            <w:pPr>
              <w:jc w:val="center"/>
              <w:rPr>
                <w:rFonts w:hint="eastAsia" w:ascii="仿宋" w:hAnsi="仿宋" w:eastAsia="仿宋" w:cs="仿宋"/>
                <w:i w:val="0"/>
                <w:iCs w:val="0"/>
                <w:color w:val="000000"/>
                <w:sz w:val="12"/>
                <w:szCs w:val="12"/>
                <w:u w:val="none"/>
              </w:rPr>
            </w:pPr>
          </w:p>
        </w:tc>
      </w:tr>
      <w:tr w14:paraId="76B38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234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21D5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25</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44E9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对建筑施工企业不履行保修义务或者拖延履行保修义务的处罚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FB8A1">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A1A4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05B0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【法律】《中华人民共和国建筑法》（1997年11月1日第八届全国人大常委会第28次会议通过，2011年4月22日主席令第46号修正）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第七十五条：建筑施工企业违反本法规定，不履行保修义务或者拖延履行保修义务的，责令改正，可以处以罚款，并对在保修期内因屋顶、墙面渗漏、开裂等质量缺陷造成的损失，承担赔偿责任。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【法规】《建设工程质量管理条例》（2000年1月30日国务院令第279号）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第六十六条：违反本条例规定，施工单位不履行保修义务或者拖延履行保修义务的，责令改正，处１０万元以上２０万元以下的罚款，并对在保修期内因质量缺陷造成的损失承担赔偿责任。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第七十三条：依照本条例规定，给予单位罚款处罚的，对单位直接负责的主管人员和其他直接责任人员处单位罚款数额百分之五以上百分之十以下的罚款。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【规章】《房屋建筑工程质量保修办法》（2000年6月30日建设部令第80号）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第十九条：施工单位不履行保修义务或者拖延履行保修义务的，责令改正，处10万元以上20万元以下的罚款。</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7B6F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7FBBE">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423C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5FA3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A878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91C2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1C15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94F4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0C18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C4A444F">
            <w:pPr>
              <w:jc w:val="center"/>
              <w:rPr>
                <w:rFonts w:hint="eastAsia" w:ascii="仿宋" w:hAnsi="仿宋" w:eastAsia="仿宋" w:cs="仿宋"/>
                <w:i w:val="0"/>
                <w:iCs w:val="0"/>
                <w:color w:val="000000"/>
                <w:sz w:val="12"/>
                <w:szCs w:val="12"/>
                <w:u w:val="none"/>
              </w:rPr>
            </w:pPr>
          </w:p>
        </w:tc>
      </w:tr>
      <w:tr w14:paraId="23CF6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7DDA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26</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67AF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对施工单位未对建筑材料、建筑构配件、设备和商品混凝土进行检验，或者未对涉及结构安全的试块、试件以及有关材料取样检测的处罚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6509C">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73016">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5DC3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【法规】《建设工程质量管理条例》（2000年1月30日国务院令第279号公布，2019年4月23日国务院令第714号《国务院关于修改部分行政法规的决定》第二次修正）。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六十五条：违反本条例规定，施工单位未对建筑材料、建筑构配件、设备和商品混凝土进行检验，或者未对涉及结构安全的试块、试件以及有关材料取样检测的，责令改正，处１０万元以上２０万元以下的罚款；情节严重的，责令停业整顿，降低资质等级或者吊销资质证书；造成损失的，依法承担赔偿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第七十三条：依照本条例规定，给予单位罚款处罚的，对单位直接负责的主管人员和其他直接责任人员处单位罚款数额百分之五以上百分之十以下的罚款。</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28A2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5CD52">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36F7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B7EC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80E9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C76D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A7B1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F226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D14C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226602C">
            <w:pPr>
              <w:jc w:val="center"/>
              <w:rPr>
                <w:rFonts w:hint="eastAsia" w:ascii="仿宋" w:hAnsi="仿宋" w:eastAsia="仿宋" w:cs="仿宋"/>
                <w:i w:val="0"/>
                <w:iCs w:val="0"/>
                <w:color w:val="000000"/>
                <w:sz w:val="12"/>
                <w:szCs w:val="12"/>
                <w:u w:val="none"/>
              </w:rPr>
            </w:pPr>
          </w:p>
        </w:tc>
      </w:tr>
      <w:tr w14:paraId="6C1C9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EA56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27</w:t>
            </w:r>
          </w:p>
        </w:tc>
        <w:tc>
          <w:tcPr>
            <w:tcW w:w="14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499F4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对工程监理单位与建设单位或者施工单位串通，弄虚作假、降低工程质量的；将不合格的建设工程、建筑材料、建筑构配件和设备按照合格签字的处罚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7ED24">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C298D">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64B69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【法规】《建设工程质量管理条例》（2000年1月10日国务院令第279号发布，根据2019年4月23日国务院令第714号修订）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第六十七条：工程监理单位有下列行为之一的，责令改正，处50万元以上100万元以下的罚款，降低资质等级或者吊销资质证书；有违法所得的，予以没收；造成损失的，承担连带赔偿责任：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(一)与建设单位或者施工单位串通，弄虚作假、降低工程质量的；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(二)将不合格的建设工程、建筑材料、建筑构配件和设备按照合格签字的。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第七十三条：依照本条例规定，给予单位罚款处罚的，对单位直接负责的主管人员和其他直接责任人员处单位罚款数额百分之五以上百分之十以下的罚款。</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2E99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05F3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D197B">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E909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C93F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6FB7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EF72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8C3B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19EF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AA60BAD">
            <w:pPr>
              <w:jc w:val="center"/>
              <w:rPr>
                <w:rFonts w:hint="eastAsia" w:ascii="仿宋" w:hAnsi="仿宋" w:eastAsia="仿宋" w:cs="仿宋"/>
                <w:i w:val="0"/>
                <w:iCs w:val="0"/>
                <w:color w:val="000000"/>
                <w:sz w:val="12"/>
                <w:szCs w:val="12"/>
                <w:u w:val="none"/>
              </w:rPr>
            </w:pPr>
          </w:p>
        </w:tc>
      </w:tr>
      <w:tr w14:paraId="314B1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C2D05FA">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28</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3F3B9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对工程监理单位与被监理工程的施工承包单位以及建筑材料、建筑构配件和设备供应单位有隶属关系或者其他利害关系承担该项建设工程的监理业务的处罚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F9D1075">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1C2843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02F284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【法规】《建设工程质量管理条例》（2000年1月30日国务院令第279号公布，2019年4月23日国务院令第714号《国务院关于修改部分行政法规的决定》第二次修正）。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六十八条：违反本条例规定，工程监理单位与被监理工程的施工承包单位以及建筑材料、建筑构配件和设备供应单位有隶属关系或者其他利害关系承担该项建设工程的监理业务的，责令改正，处５万元以上１０万元以下的罚款，降低资质等级或者吊销资质证书；有违法所得的，予以没收。</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第七十三条：依照本条例规定，给予单位罚款处罚的，对单位直接负责的主管人员和其他直接责任人员处单位罚款数额百分之五以上百分之十以下的罚款。</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CA83D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0806D96">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D1C8EA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EF15E5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2F2E72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80499A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CE07BA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41ED1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048740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607AB30">
            <w:pPr>
              <w:jc w:val="center"/>
              <w:rPr>
                <w:rFonts w:hint="eastAsia" w:ascii="仿宋" w:hAnsi="仿宋" w:eastAsia="仿宋" w:cs="仿宋"/>
                <w:i w:val="0"/>
                <w:iCs w:val="0"/>
                <w:color w:val="000000"/>
                <w:sz w:val="12"/>
                <w:szCs w:val="12"/>
                <w:u w:val="none"/>
              </w:rPr>
            </w:pPr>
          </w:p>
        </w:tc>
      </w:tr>
      <w:tr w14:paraId="01312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8A27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29</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06FE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对建筑施工企业对建筑安全事故隐患不采取措施予以消除的处罚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9BD68">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254EF">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0429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【法律】《中华人民共和国建筑法》（1997年11月1日第八届全国人大常委会第28次会议通过，2011年4月22日主席令第46号修正，2019年4月23日主席令第29号第二次修正）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七十一条：建筑施工企业违反本法规定，对建筑安全事故隐患不采取措施予以消除的，责令改正，可以处以罚款；情节严重的，责令停业整顿，降低资质等级或者吊销资质证书；构成犯罪的，依法追究刑事责任；建筑施工企业的管理人员违章指挥、强令职工冒险作业，因而发生重大伤亡事故或者造成其他严重后果的，依法追究刑事责任。</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C873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B474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57F9E">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D7EB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B169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4B80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8058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BCFE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6AB8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0654FDC">
            <w:pPr>
              <w:jc w:val="center"/>
              <w:rPr>
                <w:rFonts w:hint="eastAsia" w:ascii="仿宋" w:hAnsi="仿宋" w:eastAsia="仿宋" w:cs="仿宋"/>
                <w:i w:val="0"/>
                <w:iCs w:val="0"/>
                <w:color w:val="000000"/>
                <w:sz w:val="12"/>
                <w:szCs w:val="12"/>
                <w:u w:val="none"/>
              </w:rPr>
            </w:pPr>
          </w:p>
        </w:tc>
      </w:tr>
      <w:tr w14:paraId="3D6B5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DA03E">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30</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E24A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对建设单位未提供建设工程安全生产作业环境及安全施工措施所需费用，未将保证安全施工的措施或者拆除工程的有关资料报送有关部门备案的处罚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677FE">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FB24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A126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【法规】《建设工程安全生产管理条例》（2003年11月24日国务院令第393号）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十四条：违反本条例的规定，建设单位未提供建设工程安全生产作业环境及安全施工措施所需费用的，责令限期改正；逾期未改正的,责令该建设工程停止施工；建设单位未将保证安全施工的措施或者拆除工程的有关资料报送有关部门备案的，责令限期改正，给予警告。</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9B74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6622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227D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2594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FC8C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E1A6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8C87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7D98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6EC2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A8B9B2E">
            <w:pPr>
              <w:jc w:val="center"/>
              <w:rPr>
                <w:rFonts w:hint="eastAsia" w:ascii="仿宋" w:hAnsi="仿宋" w:eastAsia="仿宋" w:cs="仿宋"/>
                <w:i w:val="0"/>
                <w:iCs w:val="0"/>
                <w:color w:val="000000"/>
                <w:sz w:val="12"/>
                <w:szCs w:val="12"/>
                <w:u w:val="none"/>
              </w:rPr>
            </w:pPr>
          </w:p>
        </w:tc>
      </w:tr>
      <w:tr w14:paraId="1515A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CD5FBB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31</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D92A24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对《建设工程安全生产管理条例》第五十五条禁止行为的处罚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79D77F7">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82E5AB">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0EB691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【法规】《建设工程安全生产管理条例》（2003年11月24日国务院令第393号）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十五条：违反本条例的规定，建设单位有下列行为之一的，责令限期改正，处20万元以上50万元以下的罚款；造成重大安全事故，构成犯罪的，对直接责任人员，依照刑法有关规定追究刑事责任；造成损失的，依法承担赔偿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(一)对勘察、设计、施工、工程监理等单位提出不符合安全生产法律、法规和强制性标准规定的要求的；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(二)要求施工单位压缩合同约定的工期的；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(三)将拆除工程发包给不具有相应资质等级的施工单位的。</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4D4C02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7E3ABD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A2316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B5D341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FF18A3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88B9F1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AAE784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8F102E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E7A8E5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90278A">
            <w:pPr>
              <w:jc w:val="center"/>
              <w:rPr>
                <w:rFonts w:hint="eastAsia" w:ascii="仿宋" w:hAnsi="仿宋" w:eastAsia="仿宋" w:cs="仿宋"/>
                <w:i w:val="0"/>
                <w:iCs w:val="0"/>
                <w:color w:val="000000"/>
                <w:sz w:val="12"/>
                <w:szCs w:val="12"/>
                <w:u w:val="none"/>
              </w:rPr>
            </w:pPr>
          </w:p>
        </w:tc>
      </w:tr>
      <w:tr w14:paraId="59B8B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003D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32</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C03D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对《建设工程安全生产管理条例》第五十六条禁止行为的处罚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8E732">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DA58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EC5F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【法规】《建设工程安全生产管理条例》（2003年11月24日国务院令第393号）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十六条：违反本条例的规定，勘察单位、设计单位有下列行为之一的，责令限期改正，处10万元以上30万元以下的罚款；情节严重的，责令停业整顿，降低资质等级，直至吊销资质证书；造成重大安全事故，构成犯罪的，对直接责任人员，依照刑法有关规定追究刑事责任；造成损失的，依法承担赔偿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(一)未按照法律、法规和工程建设强制性标准进行勘察、设计的；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（二）采用新结构、新材料、新工艺的建设工程和特殊结构的建设工程，设计单位未在设计中提出保障施工作业人员安全和预防生产安全事故的措施建议的。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7D86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090B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AD38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7A5C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3DB5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045D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9741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0E92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847C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07B18B1">
            <w:pPr>
              <w:jc w:val="center"/>
              <w:rPr>
                <w:rFonts w:hint="eastAsia" w:ascii="仿宋" w:hAnsi="仿宋" w:eastAsia="仿宋" w:cs="仿宋"/>
                <w:i w:val="0"/>
                <w:iCs w:val="0"/>
                <w:color w:val="000000"/>
                <w:sz w:val="12"/>
                <w:szCs w:val="12"/>
                <w:u w:val="none"/>
              </w:rPr>
            </w:pPr>
          </w:p>
        </w:tc>
      </w:tr>
      <w:tr w14:paraId="6AC21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922FB">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33</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67D3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对《建设工程安全生产管理条例》第五十七条禁止行为的处罚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079F0">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C4D0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3BC2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【法规】《建设工程安全生产管理条例》（2003年11月24日国务院令第393号）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十七条：违反本条例的规定，工程监理单位有下列行为之一的，责令限期改正；逾期未改正的，责令停业整顿，并处10万元以上30万元以下的罚款；情节严重的，降低资质等级，直至吊销资质证书；造成重大安全事故，构成犯罪的，对直接责任人员，依照刑法有关规定追究刑事责任；造成损失的，依法承担赔偿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(一)未对施工组织设计中的安全技术措施或者专项施工方案进行审查的；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(二)发现安全事故隐患未及时要求施工单位整改或者暂时停止施工的；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(三)施工单位拒不整改或者不停止施工，未及时向有关主管部门报告的；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(四)未依照法律、法规和工程建设强制性标准实施监理的。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8798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275A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2175F">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111F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0637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E7D5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892D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5442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B086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62C33B7">
            <w:pPr>
              <w:jc w:val="center"/>
              <w:rPr>
                <w:rFonts w:hint="eastAsia" w:ascii="仿宋" w:hAnsi="仿宋" w:eastAsia="仿宋" w:cs="仿宋"/>
                <w:i w:val="0"/>
                <w:iCs w:val="0"/>
                <w:color w:val="000000"/>
                <w:sz w:val="12"/>
                <w:szCs w:val="12"/>
                <w:u w:val="none"/>
              </w:rPr>
            </w:pPr>
          </w:p>
        </w:tc>
      </w:tr>
      <w:tr w14:paraId="68612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8C56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34</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1459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对为建设工程提供机械设备和配件的单位，未按照安全施工的要求配备齐全有效的保险、限位等安全设施和装置的处罚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3A0EB">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BF79B">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35A7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【法规】《建设工程安全生产管理条例》（2003年11月24日国务院令第393号）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十九条：违反本条例的规定，为建设工程提供机械设备和配件的单位，未按照安全施工的要求配备齐全有效的保险、限位等安全设施和装置的，责令限期改正，处合同价款1倍以上3倍以下的罚款；造成损失的，依法承担赔偿责任。</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7104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C6DFF">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96AE7">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E709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B170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2236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DAC7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3F4E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CDA6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3DC705C">
            <w:pPr>
              <w:jc w:val="center"/>
              <w:rPr>
                <w:rFonts w:hint="eastAsia" w:ascii="仿宋" w:hAnsi="仿宋" w:eastAsia="仿宋" w:cs="仿宋"/>
                <w:i w:val="0"/>
                <w:iCs w:val="0"/>
                <w:color w:val="000000"/>
                <w:sz w:val="12"/>
                <w:szCs w:val="12"/>
                <w:u w:val="none"/>
              </w:rPr>
            </w:pPr>
          </w:p>
        </w:tc>
      </w:tr>
      <w:tr w14:paraId="069DB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F9AED">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35</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F87B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对出租单位出租未经安全性能检测或者经检测不合格的机械设备和施工机具及配件的处罚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A7443">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B67E2">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9F40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【法规】《建设工程安全生产管理条例》（2003年11月24日国务院令第393号）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第六十条：出租单位出租未经安全性能检测或者经检测不合格的机械设备和施工机具及配件的，责令停业整顿，并处5万元以上10万元以下的罚款；造成损失的，依法承担赔偿责任。</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DB05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A845B">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B681F">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1DFA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5193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F0E5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27B0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31B6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40C1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BD46DB2">
            <w:pPr>
              <w:jc w:val="center"/>
              <w:rPr>
                <w:rFonts w:hint="eastAsia" w:ascii="仿宋" w:hAnsi="仿宋" w:eastAsia="仿宋" w:cs="仿宋"/>
                <w:i w:val="0"/>
                <w:iCs w:val="0"/>
                <w:color w:val="000000"/>
                <w:sz w:val="12"/>
                <w:szCs w:val="12"/>
                <w:u w:val="none"/>
              </w:rPr>
            </w:pPr>
          </w:p>
        </w:tc>
      </w:tr>
      <w:tr w14:paraId="09863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98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D170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36</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10FE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对《建设工程安全生产管理条例》第六十一条禁止行为的处罚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D8398">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2D06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F403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【法规】《建设工程安全生产管理条例》（2003年11月24日国务院令第393号）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六十一条：违反本条例的规定，施工起重机械和整体提升脚手架、模板等自升式架设设施安装、拆卸单位有下列行为之一的，责令限期改正，处5万元以上10万元以下的罚款；情节严重的，责令停业整顿，降低资质等级，直至吊销资质证书；造成损失的，依法承担赔偿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(一)未编制拆装方案、制定安全施工措施的；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(二)未由专业技术人员现场监督的；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(三)未出具自检合格证明或者出具虚假证明的；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(四)未向施工单位进行安全使用说明，办理移交手续的。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施工起重机械和整体提升脚手架、模板等自升式架设设施安装、拆卸单位有前款规定的第（一）项、第（三）项行为，经有关部门或者单位职工提出后，对事故隐患仍不采取措施，因而发生重大伤亡事故或者造成其他严重后果，构成犯罪的，对直接责任</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CEE2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4E2D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9B59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4ED1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76DB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F141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C98D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76BB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2052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A03C192">
            <w:pPr>
              <w:jc w:val="center"/>
              <w:rPr>
                <w:rFonts w:hint="eastAsia" w:ascii="仿宋" w:hAnsi="仿宋" w:eastAsia="仿宋" w:cs="仿宋"/>
                <w:i w:val="0"/>
                <w:iCs w:val="0"/>
                <w:color w:val="000000"/>
                <w:sz w:val="12"/>
                <w:szCs w:val="12"/>
                <w:u w:val="none"/>
              </w:rPr>
            </w:pPr>
          </w:p>
        </w:tc>
      </w:tr>
      <w:tr w14:paraId="7D9D5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234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3A0E6">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37</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EA3F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对《建设工程安全生产管理条例》第六十二条禁止行为的处罚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0C722">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2738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0BEE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【法规】《建设工程安全生产管理条例》（2003年11月24日国务院令第393号）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六十二条：违反本条例的规定，施工单位有下列行为之一的，责令限期改正；逾期未改正的，责令停业整顿，依照《中华人民共和国安全生产法》的有关规定处以罚款；造成重大安全事故，构成犯罪的，对直接责任人员，依照刑法有关规定追究刑事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(一)未设立安全生产管理机构、配备专职安全生产管理人员或者分部分项工程施工时无专职安全生产管理人员现场监督的；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(二)施工单位的主要负责人、项目负责人、专职安全生产管理人员、作业人员或者特种作业人员，未经安全教育培训或者经考核不合格即从事相关工作的；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(三)未在施工现场的危险部位设置明显的安全警示标志，或者未按照国家有关规定在施工现场设置消防通道、消防水源、配备消防设施和灭火器材的；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(四)未向作业人员提供安全防护用具和安全防护服装的；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(五)未按照规定在施工起重机械和整体提升脚手架、模板等自升式架设设施验收合格后登记的；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(六)使用国家明令淘汰、禁止使用的危及施工安全的工艺、设备、材料的。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3A39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E8967">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B537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D248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E1F9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3F22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E2D6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33C1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CE3C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C30E194">
            <w:pPr>
              <w:jc w:val="center"/>
              <w:rPr>
                <w:rFonts w:hint="eastAsia" w:ascii="仿宋" w:hAnsi="仿宋" w:eastAsia="仿宋" w:cs="仿宋"/>
                <w:i w:val="0"/>
                <w:iCs w:val="0"/>
                <w:color w:val="000000"/>
                <w:sz w:val="12"/>
                <w:szCs w:val="12"/>
                <w:u w:val="none"/>
              </w:rPr>
            </w:pPr>
          </w:p>
        </w:tc>
      </w:tr>
      <w:tr w14:paraId="61B03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98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EB276">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38</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467C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对《建设工程安全生产管理条例》第六十四条第一款禁止行为的处罚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D92C6">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F89C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E083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【法规】《建设工程安全生产管理条例》（2003年11月24日国务院令第393号）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六十四条第一款：违反本条例的规定，施工单位有下列行为之一的，责令限期改正；逾期未改正的，责令停业整顿，并处5万元以上10万元以下的罚款；造成重大安全事故，构成犯罪的，对直接责任人员，依照刑法有关规定追究刑事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(一)施工前未对有关安全施工的技术要求作出详细说明的；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(二)未根据不同施工阶段和周围环境及季节、气候的变化，在施工现场采取相应的安全施工措施，或者在城市市区内的建设工程的施工现场未实行封闭围挡的；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(三)在尚未竣工的建筑物内设置员工集体宿舍的；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(四)施工现场临时搭建的建筑物不符合安全使用要求的；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(五)未对因建设工程施工可能造成损害的毗邻建筑物、构筑物和地下管线等采取专项防护措施的。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4C20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D102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0948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67CD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C64E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EC4B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04AD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7390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D38B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B4BE332">
            <w:pPr>
              <w:jc w:val="center"/>
              <w:rPr>
                <w:rFonts w:hint="eastAsia" w:ascii="仿宋" w:hAnsi="仿宋" w:eastAsia="仿宋" w:cs="仿宋"/>
                <w:i w:val="0"/>
                <w:iCs w:val="0"/>
                <w:color w:val="000000"/>
                <w:sz w:val="12"/>
                <w:szCs w:val="12"/>
                <w:u w:val="none"/>
              </w:rPr>
            </w:pPr>
          </w:p>
        </w:tc>
      </w:tr>
      <w:tr w14:paraId="3920D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216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A775F">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39</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7AA9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对《建设工程安全生产管理条例》第六十五条禁止行为的处罚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55243">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487F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8F03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【法规】《建设工程安全生产管理条例》（2003年11月24日国务院令第393号）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六十五条：违反本条例的规定，施工单位有下列行为之一的，责令限期改正；逾期未改正的，责令停业整顿，并处10万元以上30万元以下的罚款；情节严重的，降低资质等级，直至吊销资质证书；造成重大安全事故，构成犯罪的，对直接责任人员，依照刑法有关规定追究刑事责任；造成损失的，依法承担赔偿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(一)安全防护用具、机械设备、施工机具及配件在进入施工现场前未经查验或者查验不合格即投入使用的；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(二)使用未经验收或者验收不合格的施工起重机械和整体提升脚手架、模板等自升式架设设施的；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(三)委托不具有相应资质的单位承担施工现场安装、拆卸施工起重机械和整体提升脚手架、模板等自升式架设设施的；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(四)在施工组织设计中未编制安全技术措施、施工现场临时用电方案或者专项施工方案的。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9C74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2F3E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0F9C7">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A064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4BA2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F3BC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1AFA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4582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A9C0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EB9EF4B">
            <w:pPr>
              <w:jc w:val="center"/>
              <w:rPr>
                <w:rFonts w:hint="eastAsia" w:ascii="仿宋" w:hAnsi="仿宋" w:eastAsia="仿宋" w:cs="仿宋"/>
                <w:i w:val="0"/>
                <w:iCs w:val="0"/>
                <w:color w:val="000000"/>
                <w:sz w:val="12"/>
                <w:szCs w:val="12"/>
                <w:u w:val="none"/>
              </w:rPr>
            </w:pPr>
          </w:p>
        </w:tc>
      </w:tr>
      <w:tr w14:paraId="4B327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252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DB0A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40</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E87C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对施工总承包单位未履行相关安全职责的处罚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61042">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93E7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66A4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【规章】《建筑起重机械安全监督管理规定》（2008年1月28日建设部令第166号）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三十一条：违反本规定，施工总承包单位未履行第二十一条第（一）、（三）、（四）、（五）、（七）项安全职责的，由县级以上地方人民政府建设主管部门责令限期改正，予以警告，并处以5000元以上3万元以下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第二十一条：施工总承包单位应当履行下列安全职责：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（一）向安装单位提供拟安装设备位置的基础施工资料，确保建筑起重机械进场安装、拆卸所需的施工条件；</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（三）审核安装单位、使用单位的资质证书、安全生产许可证和特种作业人员的特种作业操作资格证书；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（四）审核安装单位制定的建筑起重机械安装、拆卸工程专项施工方案和生产安全事故应急救援预案；</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（五）审核使用单位制定的建筑起重机械生产安全事故应急救援预案；</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（七）施工现场有多台塔式起重机作业时，应当组织制定并实施防止塔式起重机相互碰撞的安全措施。</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6ADD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E49D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DB33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BCB3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5072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D078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4076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822D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8A8C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5CC2E04">
            <w:pPr>
              <w:jc w:val="center"/>
              <w:rPr>
                <w:rFonts w:hint="eastAsia" w:ascii="仿宋" w:hAnsi="仿宋" w:eastAsia="仿宋" w:cs="仿宋"/>
                <w:i w:val="0"/>
                <w:iCs w:val="0"/>
                <w:color w:val="000000"/>
                <w:sz w:val="12"/>
                <w:szCs w:val="12"/>
                <w:u w:val="none"/>
              </w:rPr>
            </w:pPr>
          </w:p>
        </w:tc>
      </w:tr>
      <w:tr w14:paraId="5D427B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252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E663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41</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CDED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对监理单位未履行相关安全职责的处罚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3333D">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6A63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83FD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【规章】《建筑起重机械安全监督管理规定》（2008年1月28日建设部令第166号）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第三十二条：违反本规定，监理单位未履行第二十二条第（一）、（二）、（四）、（五）项安全职责的，由县级以上地方人民政府建设主管部门责令限期改正，予以警告，并处以5000元以上3万元以下罚款。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第二十二条：监理单位应当履行下列安全职责：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（一）审核建筑起重机械特种设备制造许可证、产品合格证、制造监督检验证明、备案证明等文件；</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（二）审核建筑起重机械安装单位、使用单位的资质证书、安全生产许可证和特种作业人员的特种作业操作资格证书；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（三）审核建筑起重机械安装、拆卸工程专项施工方案；</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（四）监督安装单位执行建筑起重机械安装、拆卸工程专项施工方案情况；</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（五）监督检查建筑起重机械的使用情况；</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（六）发现存在生产安全事故隐患的，应当要求安装单位、使用单位限期整改，对安装单位、使用单位拒不整改的，及时向建设单位报告。</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843E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2608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64A37">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D5FD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BA7C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7F71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DF7C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DB0C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752D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85A525C">
            <w:pPr>
              <w:jc w:val="center"/>
              <w:rPr>
                <w:rFonts w:hint="eastAsia" w:ascii="仿宋" w:hAnsi="仿宋" w:eastAsia="仿宋" w:cs="仿宋"/>
                <w:i w:val="0"/>
                <w:iCs w:val="0"/>
                <w:color w:val="000000"/>
                <w:sz w:val="12"/>
                <w:szCs w:val="12"/>
                <w:u w:val="none"/>
              </w:rPr>
            </w:pPr>
          </w:p>
        </w:tc>
      </w:tr>
      <w:tr w14:paraId="656732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7679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42</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1815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对建筑施工企业未按规定开展安管人员安全生产教育培训考核，或者未按规定如实将考核情况记入安全生产教育培训档案的处罚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95E8C">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E7F5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3030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【规章】《建筑施工企业主要负责人、项目负责人和专职安全生产管理人员安全生产管理规定》（2014年6月25日住房和</w:t>
            </w:r>
            <w:bookmarkStart w:id="0" w:name="_GoBack"/>
            <w:bookmarkEnd w:id="0"/>
            <w:r>
              <w:rPr>
                <w:rFonts w:hint="eastAsia" w:ascii="仿宋" w:hAnsi="仿宋" w:eastAsia="仿宋" w:cs="仿宋"/>
                <w:i w:val="0"/>
                <w:iCs w:val="0"/>
                <w:color w:val="000000"/>
                <w:kern w:val="0"/>
                <w:sz w:val="12"/>
                <w:szCs w:val="12"/>
                <w:u w:val="none"/>
                <w:lang w:val="en-US" w:eastAsia="zh-CN" w:bidi="ar"/>
              </w:rPr>
              <w:t>城乡建设部令第17号）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二十九条：建筑施工企业未按规定开展安管人员安全生产教育培训考核，或者未按规定如实将考核情况记入安全生产教育培训档案的，由县级以上地方人民政府住房城乡建设主管部门责令限期改正，并处2万元以下的罚款。</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3235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E3E1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CB2A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B7D3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18DF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1396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6ECB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2C96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0404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16254AA">
            <w:pPr>
              <w:jc w:val="center"/>
              <w:rPr>
                <w:rFonts w:hint="eastAsia" w:ascii="仿宋" w:hAnsi="仿宋" w:eastAsia="仿宋" w:cs="仿宋"/>
                <w:i w:val="0"/>
                <w:iCs w:val="0"/>
                <w:color w:val="000000"/>
                <w:sz w:val="12"/>
                <w:szCs w:val="12"/>
                <w:u w:val="none"/>
              </w:rPr>
            </w:pPr>
          </w:p>
        </w:tc>
      </w:tr>
      <w:tr w14:paraId="42471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E22DD">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43</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6475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对《建筑施工企业主要负责人、项目负责人和专职安全生产管理人员安全生产管理规定》第三十条禁止行为的处罚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A9ED6">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23ADF">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EFB5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【规章】《建筑施工企业主要负责人、项目负责人和专职安全生产管理人员安全生产管理规定》（2014年6月25日住房和城乡建设部令第17号）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三十条：建筑施工企业有下列行为之一的，由县级以上人民政府住房城乡建设主管部门责令限期改正；逾期未改正的，责令停业整顿，并处2万元以下的罚款；导致不具备《安全生产许可证条例》规定的安全生产条件的，应当依法暂扣或者吊销安全生产许可证：</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（一）未按规定设立安全生产管理机构的；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（二）未按规定配备专职安全生产管理人员的；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（三）危险性较大的分部分项工程施工时未安排专职安全生产管理人员现场监督的；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（四）安管人员未取得安全生产考核合格证书的。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3F7A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2EA9E">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8309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C2AB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4433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51F8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F852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E199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1202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4F815F6">
            <w:pPr>
              <w:jc w:val="center"/>
              <w:rPr>
                <w:rFonts w:hint="eastAsia" w:ascii="仿宋" w:hAnsi="仿宋" w:eastAsia="仿宋" w:cs="仿宋"/>
                <w:i w:val="0"/>
                <w:iCs w:val="0"/>
                <w:color w:val="000000"/>
                <w:sz w:val="12"/>
                <w:szCs w:val="12"/>
                <w:u w:val="none"/>
              </w:rPr>
            </w:pPr>
          </w:p>
        </w:tc>
      </w:tr>
      <w:tr w14:paraId="19466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00F26">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44</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FC27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对主要负责人、项目负责人未按规定履行安全生产管理职责的处罚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D6898">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C3EA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8BEA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【规章】《建筑施工企业主要负责人、项目负责人和专职安全生产管理人员安全生产管理规定》（2014年6月25日住房和城乡建设部令第17号）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三十二条：主要负责人、项目负责人未按规定履行安全生产管理职责的，由县级以上人民政府住房城乡建设主管部门责令限期改正；逾期未改正的，责令建筑施工企业停业整顿；造成生产安全事故或者其他严重后果的，按照《生产安全事故报告和调查处理条例》的有关规定，依法暂扣或者吊销安全生产考核合格证书；构成犯罪的，依法追究刑事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主要负责人、项目负责人有前款违法行为，尚不够刑事处罚的，处2万元以上20万元以下的罚款或者按照管理权限给予撤职处分；自刑罚执行完毕或者受处分之日起，5年内不得担任建筑施工企业的主要负责人、项目负责人。</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21FF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5E5E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E41E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0331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1870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AF72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A4DE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B95C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8BE7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AB99C3">
            <w:pPr>
              <w:jc w:val="center"/>
              <w:rPr>
                <w:rFonts w:hint="eastAsia" w:ascii="仿宋" w:hAnsi="仿宋" w:eastAsia="仿宋" w:cs="仿宋"/>
                <w:i w:val="0"/>
                <w:iCs w:val="0"/>
                <w:color w:val="000000"/>
                <w:sz w:val="12"/>
                <w:szCs w:val="12"/>
                <w:u w:val="none"/>
              </w:rPr>
            </w:pPr>
          </w:p>
        </w:tc>
      </w:tr>
      <w:tr w14:paraId="1A0A4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15F1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45</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5839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对专职安全生产管理人员未按规定履行安全生产管理职责的处罚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8EE03">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F056E">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0037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【规章】《建筑施工企业主要负责人、项目负责人和专职安全生产管理人员安全生产管理规定》（2014年6月25日住房和城乡建设部令第17号）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三十三条：专职安全生产管理人员未按规定履行安全生产管理职责的，由县级以上地方人民政府住房城乡建设主管部门责令限期改正，并处1000元以上5000元以下的罚款；造成生产安全事故或者其他严重后果的，按照《生产安全事故报告和调查处理条例》的有关规定，依法暂扣或者吊销安全生产考核合格证书；构成犯罪的，依法追究刑事责任。</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C91C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E0D7E">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7227F">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CDC7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3FDC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D6B7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2AB5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FC97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CA7E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6EF85">
            <w:pPr>
              <w:jc w:val="center"/>
              <w:rPr>
                <w:rFonts w:hint="eastAsia" w:ascii="仿宋" w:hAnsi="仿宋" w:eastAsia="仿宋" w:cs="仿宋"/>
                <w:i w:val="0"/>
                <w:iCs w:val="0"/>
                <w:color w:val="000000"/>
                <w:sz w:val="12"/>
                <w:szCs w:val="12"/>
                <w:u w:val="none"/>
              </w:rPr>
            </w:pPr>
          </w:p>
        </w:tc>
      </w:tr>
      <w:tr w14:paraId="45F62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2DBF7">
            <w:pPr>
              <w:keepNext w:val="0"/>
              <w:keepLines w:val="0"/>
              <w:widowControl/>
              <w:suppressLineNumbers w:val="0"/>
              <w:jc w:val="center"/>
              <w:textAlignment w:val="center"/>
              <w:rPr>
                <w:rFonts w:hint="eastAsia" w:ascii="仿宋" w:hAnsi="仿宋" w:eastAsia="仿宋" w:cs="仿宋"/>
                <w:b/>
                <w:bCs/>
                <w:i w:val="0"/>
                <w:iCs w:val="0"/>
                <w:color w:val="000000"/>
                <w:sz w:val="12"/>
                <w:szCs w:val="12"/>
                <w:u w:val="none"/>
              </w:rPr>
            </w:pPr>
            <w:r>
              <w:rPr>
                <w:rFonts w:hint="eastAsia" w:ascii="仿宋" w:hAnsi="仿宋" w:eastAsia="仿宋" w:cs="仿宋"/>
                <w:b/>
                <w:bCs/>
                <w:i w:val="0"/>
                <w:iCs w:val="0"/>
                <w:color w:val="000000"/>
                <w:kern w:val="0"/>
                <w:sz w:val="12"/>
                <w:szCs w:val="12"/>
                <w:u w:val="none"/>
                <w:lang w:val="en-US" w:eastAsia="zh-CN" w:bidi="ar"/>
              </w:rPr>
              <w:t>46</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55B8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对《中华人民共和国消防法》第五十八条禁止行为的处罚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562A2">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D6C97">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17CD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消防法》（1998年4月29日第九届全国人民代表大会常务委员会第二次会议通过2008年10月28日第十一届全国人民代表大会常务委员会第五次会议修订根据2019年4月23日第十三届全国人民代表大会常务委员会第十次会议《关于修改〈中华人民共和国建筑法〉等八部法律的决定》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第五十八条：违反本法规定，有下列行为之一的，由住房和城乡建设主管部门、消防救援机构按照各自职权责令停止施工、停止使用或者停产停业，并处三万元以上三十万元以下罚款：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（一）依法应当进行消防设计审查的建设工程，未经依法审查或者审查不合格，擅自施工的；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（二）依法应当进行消防验收的建设工程，未经消防验收或者消防验收不合格，擅自投入使用的；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96D4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9BEF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5416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CE2F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DD22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FEAD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41D0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F2B9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8AFF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A6184">
            <w:pPr>
              <w:jc w:val="center"/>
              <w:rPr>
                <w:rFonts w:hint="eastAsia" w:ascii="仿宋" w:hAnsi="仿宋" w:eastAsia="仿宋" w:cs="仿宋"/>
                <w:i w:val="0"/>
                <w:iCs w:val="0"/>
                <w:color w:val="000000"/>
                <w:sz w:val="12"/>
                <w:szCs w:val="12"/>
                <w:u w:val="none"/>
              </w:rPr>
            </w:pPr>
          </w:p>
        </w:tc>
      </w:tr>
      <w:tr w14:paraId="3BA6A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71E9B">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47</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45C3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对《中华人民共和国消防法》第五十九条禁止行为的处罚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9216F">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5933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CE7C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消防法》（1998年4月29日第九届全国人民代表大会常务委员会第二次会议通过2008年10月28日第十一届全国人民代表大会常务委员会第五次会议修订根据2019年4月23日第十三届全国人民代表大会常务委员会第十次会议《关于修改〈中华人民共和国建筑法〉等八部法律的决定》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第五十九条：违反本法规定，有下列行为之一的，由住房和城乡建设主管部门责令改正或者停止施工，并处一万元以上十万元以下罚款：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（一）建设单位要求建筑设计单位或者建筑施工企业降低消防技术标准设计、施工的；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（二）建筑设计单位不按照消防技术标准强制性要求进行消防设计的；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（三）建筑施工企业不按照消防设计文件和消防技术标准施工，降低消防施工质量的；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（四）工程监理单位与建设单位或者建筑施工企业串通，弄虚作假，降低消防施工质量的。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8671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DCF3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10F2B">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C52D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5BD2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C275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FC88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F862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BB6C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03619">
            <w:pPr>
              <w:jc w:val="center"/>
              <w:rPr>
                <w:rFonts w:hint="eastAsia" w:ascii="仿宋" w:hAnsi="仿宋" w:eastAsia="仿宋" w:cs="仿宋"/>
                <w:i w:val="0"/>
                <w:iCs w:val="0"/>
                <w:color w:val="000000"/>
                <w:sz w:val="12"/>
                <w:szCs w:val="12"/>
                <w:u w:val="none"/>
              </w:rPr>
            </w:pPr>
          </w:p>
        </w:tc>
      </w:tr>
      <w:tr w14:paraId="5C2906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D3BF7">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48</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3E10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对设计单位未在设计文件中注明涉及危大工程的重点部位和环节，未提出保障工程周边环境安全和工程施工安全的意见的处罚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C690B">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8E2C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C68C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【规章】《危险性较大的分部分项工程安全管理规定》（2018年3月8日住房和城乡建设部令第37号）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三十一条：设计单位未在设计文件中注明涉及危大工程的重点部位和环节，未提出保障工程周边环境安全和工程施工安全的意见的，责令限期改正，并处1万元以上3万元以下的罚款；对直接负责的主管人员和其他直接责任人员处1000元以上5000元以下的罚款。</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5DBD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D8F3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020CB">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10FC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90F1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7AC1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5AC0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146F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1677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CF788">
            <w:pPr>
              <w:jc w:val="center"/>
              <w:rPr>
                <w:rFonts w:hint="eastAsia" w:ascii="仿宋" w:hAnsi="仿宋" w:eastAsia="仿宋" w:cs="仿宋"/>
                <w:i w:val="0"/>
                <w:iCs w:val="0"/>
                <w:color w:val="000000"/>
                <w:sz w:val="12"/>
                <w:szCs w:val="12"/>
                <w:u w:val="none"/>
              </w:rPr>
            </w:pPr>
          </w:p>
        </w:tc>
      </w:tr>
      <w:tr w14:paraId="486D0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7D3FE">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49</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CFEA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对施工单位发生险情或者事故时，未采取应急处置措施的处罚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6886D">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D8D8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F731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【规章】《危险性较大的分部分项工程安全管理规定》（2018年3月8日住房和城乡建设部令第37号）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第三十五条第四项：施工单位有下列行为之一的，责令限期改正，并处1万元以上3万元以下的罚款；对直接负责的主管人员和其他直接责任人员处1000元以上5000元以下的罚款：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（四）发生险情或者事故时，未采取应急处置措施的；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36D9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3FC9D">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FBAC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5F93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12D7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996F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C87E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1725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9896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22BCA">
            <w:pPr>
              <w:jc w:val="center"/>
              <w:rPr>
                <w:rFonts w:hint="eastAsia" w:ascii="仿宋" w:hAnsi="仿宋" w:eastAsia="仿宋" w:cs="仿宋"/>
                <w:i w:val="0"/>
                <w:iCs w:val="0"/>
                <w:color w:val="000000"/>
                <w:sz w:val="12"/>
                <w:szCs w:val="12"/>
                <w:u w:val="none"/>
              </w:rPr>
            </w:pPr>
          </w:p>
        </w:tc>
      </w:tr>
      <w:tr w14:paraId="1AF5C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6911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50</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956A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对施工单位项目负责人未按照规定现场履职或者组织限期整改的处罚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E81CA">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0EFF2">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BDB5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【规章】《危险性较大的分部分项工程安全管理规定》（2018年3月8日住房和城乡建设部令第37号）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第三十五条第一项：施工单位有下列行为之一的，责令限期改正，并处1万元以上3万元以下的罚款；对直接负责的主管人员和其他直接责任人员处1000元以上5000元以下的罚款：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（一）项目负责人未按照本规定现场履职或者组织限期整改的。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EC5F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CE8E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721D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ADB2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4759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29B4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7C29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FE11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6362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D73D2">
            <w:pPr>
              <w:jc w:val="center"/>
              <w:rPr>
                <w:rFonts w:hint="eastAsia" w:ascii="仿宋" w:hAnsi="仿宋" w:eastAsia="仿宋" w:cs="仿宋"/>
                <w:i w:val="0"/>
                <w:iCs w:val="0"/>
                <w:color w:val="000000"/>
                <w:sz w:val="12"/>
                <w:szCs w:val="12"/>
                <w:u w:val="none"/>
              </w:rPr>
            </w:pPr>
          </w:p>
        </w:tc>
      </w:tr>
      <w:tr w14:paraId="6CE0F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47F6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51</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10F8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对施工单位未按照规定进行施工监测和安全巡视的处罚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3F944">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7653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4187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【规章】《危险性较大的分部分项工程安全管理规定》（2018年3月8日住房和城乡建设部令第37号）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第三十五条第二项：施工单位有下列行为之一的，责令限期改正，并处1万元以上3万元以下的罚款；对直接负责的主管人员和其他直接责任人员处1000元以上5000元以下的罚款：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（二）施工单位未按照本规定进行施工监测和安全巡视的；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191E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4C86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84E4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E771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9A08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A20A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6B78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206C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278A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E8CE2">
            <w:pPr>
              <w:jc w:val="center"/>
              <w:rPr>
                <w:rFonts w:hint="eastAsia" w:ascii="仿宋" w:hAnsi="仿宋" w:eastAsia="仿宋" w:cs="仿宋"/>
                <w:i w:val="0"/>
                <w:iCs w:val="0"/>
                <w:color w:val="000000"/>
                <w:sz w:val="12"/>
                <w:szCs w:val="12"/>
                <w:u w:val="none"/>
              </w:rPr>
            </w:pPr>
          </w:p>
        </w:tc>
      </w:tr>
      <w:tr w14:paraId="1B90E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59F2D">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52</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A880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对未按照《危险性较大的分部分项工程安全管理规定》建立危大工程安全管理档案的处罚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4A658">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16CB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D1AF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【规章】《危险性较大的分部分项工程安全管理规定》（2018年3月8日住房和城乡建设部令第37号）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第三十五条第五项：施工单位有下列行为之一的，责令限期改正，并处1万元以上3万元以下的罚款；对直接负责的主管人员和其他直接责任人员处1000元以上5000元以下的罚款：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（五）未按照本规定建立危大工程安全管理档案的。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015B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DBFD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2B0D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974D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2B68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16C4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FE43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97FC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DEEC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4AA36">
            <w:pPr>
              <w:jc w:val="center"/>
              <w:rPr>
                <w:rFonts w:hint="eastAsia" w:ascii="仿宋" w:hAnsi="仿宋" w:eastAsia="仿宋" w:cs="仿宋"/>
                <w:i w:val="0"/>
                <w:iCs w:val="0"/>
                <w:color w:val="000000"/>
                <w:sz w:val="12"/>
                <w:szCs w:val="12"/>
                <w:u w:val="none"/>
              </w:rPr>
            </w:pPr>
          </w:p>
        </w:tc>
      </w:tr>
      <w:tr w14:paraId="7875A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30A6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53</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4ECB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对未按照《危险性较大的分部分项工程安全管理规定》提供工程周边环境等资料的处罚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BD048">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D24F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158A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【规章】《危险性较大的分部分项工程安全管理规定》（2018年3月8日住房和城乡建设部令第37号）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第二十九条第一项：建设单位有下列行为之一的，责令限期改正，并处1万元以上3万元以下的罚款；对直接负责的主管人员和其他直接责任人员处1000元以上5000元以下的罚款：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（一）未按照本规定提供工程周边环境等资料的；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8D20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179D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89A8F">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E9EF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75AE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D074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C900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000B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A5B7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6D684">
            <w:pPr>
              <w:jc w:val="center"/>
              <w:rPr>
                <w:rFonts w:hint="eastAsia" w:ascii="仿宋" w:hAnsi="仿宋" w:eastAsia="仿宋" w:cs="仿宋"/>
                <w:i w:val="0"/>
                <w:iCs w:val="0"/>
                <w:color w:val="000000"/>
                <w:sz w:val="12"/>
                <w:szCs w:val="12"/>
                <w:u w:val="none"/>
              </w:rPr>
            </w:pPr>
          </w:p>
        </w:tc>
      </w:tr>
      <w:tr w14:paraId="5D8B1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3E30E">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54</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5679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对未按照《危险性较大的分部分项工程安全管理规定》委托具有相应勘察资质的单位进行第三方监测的处罚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7161E">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2682E">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74C3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【规章】《危险性较大的分部分项工程安全管理规定》（2018年3月8日住房和城乡建设部令第37号）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第二十九条第四项：建设单位有下列行为之一的，责令限期改正，并处1万元以上3万元以下的罚款；对直接负责的主管人员和其他直接责任人员处1000元以上5000元以下的罚款：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（四）未按照本规定委托具有相应勘察资质的单位进行第三方监测的；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6268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161D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27E1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3865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3B58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C755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D73B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96AB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8594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B4CC7">
            <w:pPr>
              <w:jc w:val="center"/>
              <w:rPr>
                <w:rFonts w:hint="eastAsia" w:ascii="仿宋" w:hAnsi="仿宋" w:eastAsia="仿宋" w:cs="仿宋"/>
                <w:i w:val="0"/>
                <w:iCs w:val="0"/>
                <w:color w:val="000000"/>
                <w:sz w:val="12"/>
                <w:szCs w:val="12"/>
                <w:u w:val="none"/>
              </w:rPr>
            </w:pPr>
          </w:p>
        </w:tc>
      </w:tr>
      <w:tr w14:paraId="17690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6192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55</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8FC1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对未按照施工合同约定及时支付危大工程施工技术措施费或者相应的安全防护文明施工措施费的处罚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1E2E4">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187F7">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56F7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【规章】《危险性较大的分部分项工程安全管理规定》（2018年3月8日住房和城乡建设部令第37号）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第二十九条第三项：建设单位有下列行为之一的，责令限期改正，并处1万元以上3万元以下的罚款；对直接负责的主管人员和其他直接责任人员处1000元以上5000元以下的罚款：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（三）未按照施工合同约定及时支付危大工程施工技术措施费或者相应的安全防护文明施工措施费的；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E68C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3EB6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6AC1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EC6B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F60E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0B40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1093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3B9E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F4B8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895D4">
            <w:pPr>
              <w:jc w:val="center"/>
              <w:rPr>
                <w:rFonts w:hint="eastAsia" w:ascii="仿宋" w:hAnsi="仿宋" w:eastAsia="仿宋" w:cs="仿宋"/>
                <w:i w:val="0"/>
                <w:iCs w:val="0"/>
                <w:color w:val="000000"/>
                <w:sz w:val="12"/>
                <w:szCs w:val="12"/>
                <w:u w:val="none"/>
              </w:rPr>
            </w:pPr>
          </w:p>
        </w:tc>
      </w:tr>
      <w:tr w14:paraId="0CC55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88412">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56</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0164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对未对超过一定规模的危大工程专项施工方案进行专家论证的处罚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9E100">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BCCF7">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784F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【规章】《危险性较大的分部分项工程安全管理规定》（2018年3月8日住房和城乡建设部令第37号）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第三十四条第一项：施工单位有下列行为之一的，责令限期改正，处1万元以上3万元以下的罚款，并暂扣安全生产许可证30日；对直接负责的主管人员和其他直接责任人员处1000元以上5000元以下的罚款：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（一）未对超过一定规模的危大工程专项施工方案进行专家论证的；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3018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D56BE">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66E16">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B3D0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F6D7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2893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0CC8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7D2F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DB25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1B0F8">
            <w:pPr>
              <w:jc w:val="center"/>
              <w:rPr>
                <w:rFonts w:hint="eastAsia" w:ascii="仿宋" w:hAnsi="仿宋" w:eastAsia="仿宋" w:cs="仿宋"/>
                <w:i w:val="0"/>
                <w:iCs w:val="0"/>
                <w:color w:val="000000"/>
                <w:sz w:val="12"/>
                <w:szCs w:val="12"/>
                <w:u w:val="none"/>
              </w:rPr>
            </w:pPr>
          </w:p>
        </w:tc>
      </w:tr>
      <w:tr w14:paraId="53630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D9147">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57</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CCE9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对未对第三方监测单位报告的异常情况组织采取处置措施的处罚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314D3">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7F2D6">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1463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【规章】《危险性较大的分部分项工程安全管理规定》（2018年3月8日住房和城乡建设部令第37号）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第二十九条第五项：建设单位有下列行为之一的，责令限期改正，并处1万元以上3万元以下的罚款；对直接负责的主管人员和其他直接责任人员处1000元以上5000元以下的罚款：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（五）未对第三方监测单位报告的异常情况组织采取处置措施的。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EE22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31C06">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78C1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C612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0922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5D44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9607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79A5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94A7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3A53D">
            <w:pPr>
              <w:jc w:val="center"/>
              <w:rPr>
                <w:rFonts w:hint="eastAsia" w:ascii="仿宋" w:hAnsi="仿宋" w:eastAsia="仿宋" w:cs="仿宋"/>
                <w:i w:val="0"/>
                <w:iCs w:val="0"/>
                <w:color w:val="000000"/>
                <w:sz w:val="12"/>
                <w:szCs w:val="12"/>
                <w:u w:val="none"/>
              </w:rPr>
            </w:pPr>
          </w:p>
        </w:tc>
      </w:tr>
      <w:tr w14:paraId="64A3C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1193E">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58</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F462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对未根据专家论证报告对超过一定规模的危大工程专项施工方案进行修改，或者未按照规定重新组织专家论证的处罚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F0688">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ED44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A90B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【规章】《危险性较大的分部分项工程安全管理规定》（2018年3月8日住房和城乡建设部令第37号）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第三十四条第二项：施工单位有下列行为之一的，责令限期改正，处1万元以上3万元以下的罚款，并暂扣安全生产许可证30日；对直接负责的主管人员和其他直接责任人员处1000元以上5000元以下的罚款：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（二）未根据专家论证报告对超过一定规模的危大工程专项施工方案进行修改，或者未按照本规定重新组织专家论证的；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DCAA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B05D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1F552">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1405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571A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4599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0604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5BB1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0ABB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7D995">
            <w:pPr>
              <w:jc w:val="center"/>
              <w:rPr>
                <w:rFonts w:hint="eastAsia" w:ascii="仿宋" w:hAnsi="仿宋" w:eastAsia="仿宋" w:cs="仿宋"/>
                <w:i w:val="0"/>
                <w:iCs w:val="0"/>
                <w:color w:val="000000"/>
                <w:sz w:val="12"/>
                <w:szCs w:val="12"/>
                <w:u w:val="none"/>
              </w:rPr>
            </w:pPr>
          </w:p>
        </w:tc>
      </w:tr>
      <w:tr w14:paraId="2AD8C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E82C7">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59</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733C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对施工单位未按规定组织危大工程验收的处罚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409D8">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66A8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77E9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【规章】《危险性较大的分部分项工程安全管理规定》（2018年3月8日住房和城乡建设部令第37号）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第三十五条第三项：施工单位有下列行为之一的，责令限期改正，并处1万元以上3万元以下的罚款；对直接负责的主管人员和其他直接责任人员处1000元以上5000元以下的罚款：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（三）未按照本规定组织危大工程验收的。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0320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40E0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D01BE">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4315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51DF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0B72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D0CE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3760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0909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7B54B">
            <w:pPr>
              <w:jc w:val="center"/>
              <w:rPr>
                <w:rFonts w:hint="eastAsia" w:ascii="仿宋" w:hAnsi="仿宋" w:eastAsia="仿宋" w:cs="仿宋"/>
                <w:i w:val="0"/>
                <w:iCs w:val="0"/>
                <w:color w:val="000000"/>
                <w:sz w:val="12"/>
                <w:szCs w:val="12"/>
                <w:u w:val="none"/>
              </w:rPr>
            </w:pPr>
          </w:p>
        </w:tc>
      </w:tr>
      <w:tr w14:paraId="7B92F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A08C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60</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E785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对未向施工现场管理人员和作业人员进行方案交底和安全技术交底的处罚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86EEC">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94E5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B26E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【规章】《危险性较大的分部分项工程安全管理规定》（2018年3月8日住房和城乡建设部令第37号）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第三十三条第一项：施工单位有下列行为之一的，依照《中华人民共和国安全生产法》《建设工程安全生产管理条例》对单位和相关责任人员进行处罚：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（一）未向施工现场管理人员和作业人员进行方案交底和安全技术交底的；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C843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F17C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DAC1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4CA3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025E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754B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A5D8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B33E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5997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21F41">
            <w:pPr>
              <w:jc w:val="center"/>
              <w:rPr>
                <w:rFonts w:hint="eastAsia" w:ascii="仿宋" w:hAnsi="仿宋" w:eastAsia="仿宋" w:cs="仿宋"/>
                <w:i w:val="0"/>
                <w:iCs w:val="0"/>
                <w:color w:val="000000"/>
                <w:sz w:val="12"/>
                <w:szCs w:val="12"/>
                <w:u w:val="none"/>
              </w:rPr>
            </w:pPr>
          </w:p>
        </w:tc>
      </w:tr>
      <w:tr w14:paraId="677FF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2FE97">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61</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56AA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对未严格按照专项施工方案组织施工，或者擅自修改专项施工方案的处罚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4C5E8">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59B6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3B43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【规章】《危险性较大的分部分项工程安全管理规定》（2018年3月8日住房和城乡建设部令第37号）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第三十四条第三项：施工单位有下列行为之一的，责令限期改正，处1万元以上3万元以下的罚款，并暂扣安全生产许可证30日；对直接负责的主管人员和其他直接责任人员处1000元以上5000元以下的罚款：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（三）未严格按照专项施工方案组织施工，或者擅自修改专项施工方案的。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6C19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A72BB">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2C24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B215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85EE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A864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45FB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F666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8185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0B5EA">
            <w:pPr>
              <w:jc w:val="center"/>
              <w:rPr>
                <w:rFonts w:hint="eastAsia" w:ascii="仿宋" w:hAnsi="仿宋" w:eastAsia="仿宋" w:cs="仿宋"/>
                <w:i w:val="0"/>
                <w:iCs w:val="0"/>
                <w:color w:val="000000"/>
                <w:sz w:val="12"/>
                <w:szCs w:val="12"/>
                <w:u w:val="none"/>
              </w:rPr>
            </w:pPr>
          </w:p>
        </w:tc>
      </w:tr>
      <w:tr w14:paraId="1AE72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2D56D">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62</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0428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对未在勘察文件中说明地质条件可能造成的工程风险的处罚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45588">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3C08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0615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【规章】《危险性较大的分部分项工程安全管理规定》（2018年3月8日住房和城乡建设部令第37号）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三十条：勘察单位未在勘察文件中说明地质条件可能造成的工程风险的，责令限期改正，依照《建设工程安全生产管理条例》对单位进行处罚；对直接负责的主管人员和其他直接责任人员处1000元以上5000元以下的罚款</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29DB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DF596">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E2F7B">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38A9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5DA8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78A1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35E6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E0D4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CBCF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96753">
            <w:pPr>
              <w:jc w:val="center"/>
              <w:rPr>
                <w:rFonts w:hint="eastAsia" w:ascii="仿宋" w:hAnsi="仿宋" w:eastAsia="仿宋" w:cs="仿宋"/>
                <w:i w:val="0"/>
                <w:iCs w:val="0"/>
                <w:color w:val="000000"/>
                <w:sz w:val="12"/>
                <w:szCs w:val="12"/>
                <w:u w:val="none"/>
              </w:rPr>
            </w:pPr>
          </w:p>
        </w:tc>
      </w:tr>
      <w:tr w14:paraId="194CD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3860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63</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01F8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对未在施工现场显著位置公告危大工程，并在危险区域设置安全警示标志的处罚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F61B8">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E89A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3F50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【规章】《危险性较大的分部分项工程安全管理规定》（2018年3月8日住房和城乡建设部令第37号）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第三十三条第二项：施工单位有下列行为之一的，依照《中华人民共和国安全生产法》《建设工程安全生产管理条例》对单位和相关责任人员进行处罚：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（二）未在施工现场显著位置公告危大工程，并在危险区域设置安全警示标志的；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115A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F3542">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EE16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7E5C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9616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9D86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8D6B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B517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035B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5392D">
            <w:pPr>
              <w:jc w:val="center"/>
              <w:rPr>
                <w:rFonts w:hint="eastAsia" w:ascii="仿宋" w:hAnsi="仿宋" w:eastAsia="仿宋" w:cs="仿宋"/>
                <w:i w:val="0"/>
                <w:iCs w:val="0"/>
                <w:color w:val="000000"/>
                <w:sz w:val="12"/>
                <w:szCs w:val="12"/>
                <w:u w:val="none"/>
              </w:rPr>
            </w:pPr>
          </w:p>
        </w:tc>
      </w:tr>
      <w:tr w14:paraId="64C4E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51CAF">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64</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0B72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对项目专职安全生产管理人员未对专项施工方案实施情况进行现场监督的处罚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F3ED4">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8376D">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04A2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【规章】《危险性较大的分部分项工程安全管理规定》（2018年3月8日住房和城乡建设部令第37号）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第三十三条第三项：施工单位有下列行为之一的，依照《中华人民共和国安全生产法》《建设工程安全生产管理条例》对单位和相关责任人员进行处罚：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（三）项目专职安全生产管理人员未对专项施工方案实施情况进行现场监督的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85D3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56A96">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7D04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B88A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BCE4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2C44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E261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CE7C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B511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9295B">
            <w:pPr>
              <w:jc w:val="center"/>
              <w:rPr>
                <w:rFonts w:hint="eastAsia" w:ascii="仿宋" w:hAnsi="仿宋" w:eastAsia="仿宋" w:cs="仿宋"/>
                <w:i w:val="0"/>
                <w:iCs w:val="0"/>
                <w:color w:val="000000"/>
                <w:sz w:val="12"/>
                <w:szCs w:val="12"/>
                <w:u w:val="none"/>
              </w:rPr>
            </w:pPr>
          </w:p>
        </w:tc>
      </w:tr>
      <w:tr w14:paraId="346F6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234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D0DE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65</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97BF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对施工单位违反大气污染法规定，未做好防治扬尘污染措施的处罚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99F6A">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6E772">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F6BC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规】《中华人民共和国大气污染防治法》（1987年9月5日第六届全国人民代表大会常务委员会第二十二次会议通过，根据2018年10月26日第十三届全国人民代表大会常务委员会第六次会议《关于修改〈中华人民共和国野生动物保护法〉等十五部法律的决定》第二次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第一百一十五条违反本法规定，施工单位有下列行为之一的，由县级以上人民政府住房城乡建设等主管部门按照职责责令改正，处一万元以上十万元以下的罚款；拒不改正的，责令停工整治：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施工工地未设置硬质密闭围挡，或者未采取覆盖、分段作业、择时施工、洒水抑尘、冲洗地面和车辆等有效防尘降尘措施的；（二）建筑土方、工程渣土、建筑垃圾未及时清运，或者未采用密闭式防尘网遮盖的。违反本法规定，建设单位未对暂时不能开工的建设用地的裸露地面进行覆盖，或者未对超过三个月不能开工的建设用地的裸露地面进行绿化、铺装或者遮盖的，由县级以上人民政府住房城乡建设等主管部门依照前款规定予以处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第七十条装卸物料应当采取密闭或者喷淋等方式防治扬尘污染。城市人民政府应当加强道路、广场、停车场和其他公共场所的清扫保洁管理，推行清洁动力机械化清扫等低尘作业方式，防治扬尘污染。</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9C3F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C673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AFEC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F4A2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C847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E7D2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0A69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9BF4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1F6D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BF174">
            <w:pPr>
              <w:jc w:val="center"/>
              <w:rPr>
                <w:rFonts w:hint="eastAsia" w:ascii="仿宋" w:hAnsi="仿宋" w:eastAsia="仿宋" w:cs="仿宋"/>
                <w:i w:val="0"/>
                <w:iCs w:val="0"/>
                <w:color w:val="000000"/>
                <w:sz w:val="12"/>
                <w:szCs w:val="12"/>
                <w:u w:val="none"/>
              </w:rPr>
            </w:pPr>
          </w:p>
        </w:tc>
      </w:tr>
      <w:tr w14:paraId="6E02C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A82E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66</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B886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对施工单位主要负责人、项目负责人未履行安全生产管理职责的处罚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363F6">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7EB3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C374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【法规】《建设工程安全生产管理条例》（2003年11月24日国务院令第393号）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六十六条违反本条例的规定,施工单位的主要负责人、项目负责人未履行安全生产管理职责的，责令限期改正；逾期未改正的，责令施工单位停业整顿；造成重大安全事故、重大伤亡事故或者其他严重后果，构成犯罪的，依照刑法有关规定追究刑事责任。作业人员不服管理、违反规章制度和操作规程冒险作业造成重大伤亡事故或者其他严重后果，构成犯罪的，依照刑法有关规定追究刑事责任。施工单位的主要负责人、项目负责人有前款违法行为，尚不够刑事处罚的，处2万元以上20万元以下的罚款或者按照管理权限给予撤职处分；自刑罚执行完毕或者受处分之日起，5年内不得担任任何施工单位的主要负责人、项目负责人。</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18D3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26FEB">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20BF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A0D1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9527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443B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310D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348E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25B6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D3431">
            <w:pPr>
              <w:jc w:val="center"/>
              <w:rPr>
                <w:rFonts w:hint="eastAsia" w:ascii="仿宋" w:hAnsi="仿宋" w:eastAsia="仿宋" w:cs="仿宋"/>
                <w:i w:val="0"/>
                <w:iCs w:val="0"/>
                <w:color w:val="000000"/>
                <w:sz w:val="12"/>
                <w:szCs w:val="12"/>
                <w:u w:val="none"/>
              </w:rPr>
            </w:pPr>
          </w:p>
        </w:tc>
      </w:tr>
      <w:tr w14:paraId="5D7F3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02F3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67</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D861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对未按照规定对从业人员、被派遣劳动者、实习学生进行安全生产教育和培训，或者未按照规定如实告知从业人员有关的安全生产事项的处罚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D7F67">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1BCE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6AC1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【法律】《安全生产法》（2002年6月29日第九届全国人民代表大会常务委员会第二十八次会议通过，2021年6月10日第十三届全国人民代表大会常务委员会第二十九次会议第三次修正）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九十七条生产经营单位有下列行为之一的，责令限期改正，处十万元以下的罚款；逾期未改正的，责令停产停业整顿，并处十万元以上二十万元以下的罚款，对其直接负责的主管人员和其他直接责任人员处二万元以上五万元以下的罚款:（三）未按照规定对从业人员、被派遣劳动者、实习学生进行安全生产教育和培训，或者未按照规定如实告知有关的安全生产事项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5AC7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B14D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B0E36">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A6E0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D02F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504A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5E61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8EF5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B66B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2E073">
            <w:pPr>
              <w:jc w:val="center"/>
              <w:rPr>
                <w:rFonts w:hint="eastAsia" w:ascii="仿宋" w:hAnsi="仿宋" w:eastAsia="仿宋" w:cs="仿宋"/>
                <w:i w:val="0"/>
                <w:iCs w:val="0"/>
                <w:color w:val="000000"/>
                <w:sz w:val="12"/>
                <w:szCs w:val="12"/>
                <w:u w:val="none"/>
              </w:rPr>
            </w:pPr>
          </w:p>
        </w:tc>
      </w:tr>
      <w:tr w14:paraId="3FEF4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AB9C6">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68</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556D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对未如实记录安全生产教育和培训情况的处罚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1989D">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B6AD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67F8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【法律】《安全生产法》（2002年6月29日第九届全国人民代表大会常务委员会第二十八次会议通过，2021年6月10日第十三届全国人民代表大会常务委员会第二十九次会议第三次修正）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九十七条生产经营单位有下列行为之一的，责令限期改正，处十万元以下的罚款；逾期未改正的，责令停产停业整顿，并处十万元以上二十万元以下的罚款，对其直接负责的主管人员和其他直接责任人员处二万元以上五万元以下的罚款:（四）未如实记录安全生产教育和培训情况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B209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3489B">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3D11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A4A0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C4F9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EF27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7C43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4DB8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A60C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279BA">
            <w:pPr>
              <w:jc w:val="center"/>
              <w:rPr>
                <w:rFonts w:hint="eastAsia" w:ascii="仿宋" w:hAnsi="仿宋" w:eastAsia="仿宋" w:cs="仿宋"/>
                <w:i w:val="0"/>
                <w:iCs w:val="0"/>
                <w:color w:val="000000"/>
                <w:sz w:val="12"/>
                <w:szCs w:val="12"/>
                <w:u w:val="none"/>
              </w:rPr>
            </w:pPr>
          </w:p>
        </w:tc>
      </w:tr>
      <w:tr w14:paraId="00F8D7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76DEE">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69</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884E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对未将事故隐患排查治理情况如实记录或者未向从业人员通报的处罚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2FAAB">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CC22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E0A0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【法律】《安全生产法》（2002年6月29日第九届全国人民代表大会常务委员会第二十八次会议通过，2021年6月10日第十三届全国人民代表大会常务委员会第二十九次会议第三次修正）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九十七条生产经营单位有下列行为之一的，责令限期改正，处十万元以下的罚款；逾期未改正的，责令停产停业整顿，并处十万元以上二十万元以下的罚款，对其直接负责的主管人员和其他直接责任人员处二万元以上五万元以下的罚款:（五）未将事故隐患排查治理情况如实记录或者未向从业人员通报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7E3C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8AFF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2728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F050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2DC9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67FD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25FB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F083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54FF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425FC">
            <w:pPr>
              <w:jc w:val="center"/>
              <w:rPr>
                <w:rFonts w:hint="eastAsia" w:ascii="仿宋" w:hAnsi="仿宋" w:eastAsia="仿宋" w:cs="仿宋"/>
                <w:i w:val="0"/>
                <w:iCs w:val="0"/>
                <w:color w:val="000000"/>
                <w:sz w:val="12"/>
                <w:szCs w:val="12"/>
                <w:u w:val="none"/>
              </w:rPr>
            </w:pPr>
          </w:p>
        </w:tc>
      </w:tr>
      <w:tr w14:paraId="74AFA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47DEF">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70</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04D2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对未按照规定制定生产安全事故应急救援预案或者未定期组织演练的处罚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30400">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889C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39AC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【法律】《安全生产法》（2002年6月29日第九届全国人民代表大会常务委员会第二十八次会议通过，2021年6月10日第十三届全国人民代表大会常务委员会第二十九次会议第三次修正）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九十七条生产经营单位有下列行为之一的，责令限期改正，处十万元以下的罚款；逾期未改正的，责令停产停业整顿，并处十万元以上二十万元以下的罚款，对其直接负责的主管人员和其他直接责任人员处二万元以上五万元以下的罚款:（六）未按照规定制定生产安全事故应急救援预案或者未定期组织演练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B16B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397CF">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96F6B">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A4D0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5B96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A959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A4AC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F61A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F696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CF208">
            <w:pPr>
              <w:jc w:val="center"/>
              <w:rPr>
                <w:rFonts w:hint="eastAsia" w:ascii="仿宋" w:hAnsi="仿宋" w:eastAsia="仿宋" w:cs="仿宋"/>
                <w:i w:val="0"/>
                <w:iCs w:val="0"/>
                <w:color w:val="000000"/>
                <w:sz w:val="12"/>
                <w:szCs w:val="12"/>
                <w:u w:val="none"/>
              </w:rPr>
            </w:pPr>
          </w:p>
        </w:tc>
      </w:tr>
      <w:tr w14:paraId="2BCDB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20012">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71</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0E88C">
            <w:pPr>
              <w:keepNext w:val="0"/>
              <w:keepLines w:val="0"/>
              <w:widowControl/>
              <w:suppressLineNumbers w:val="0"/>
              <w:jc w:val="both"/>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对未建立事故隐患排查治理制度，及对重大危险源未登记建档，或者未进行评估、监控，或者未制定应急预案的处罚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37B2A">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E97D7">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29245">
            <w:pPr>
              <w:keepNext w:val="0"/>
              <w:keepLines w:val="0"/>
              <w:widowControl/>
              <w:suppressLineNumbers w:val="0"/>
              <w:jc w:val="both"/>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【法律】《安全生产法》（2002年6月29日第九届全国人民代表大会常务委员会第二十八次会议通过，2021年6月10日第十三届全国人民代表大会常务委员会第二十九次会议第三次修正）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一百零一条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二）对重大危险源未登记建档，或者未进行评估、监控，或者未制定应急预案的;（五）未建立事故隐患排查治理制度，或者重大事故隐患排查治理情况未按照规定报告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6A86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CA40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88A0F">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4FCF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8429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7E1B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A885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B610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4D75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72AE6">
            <w:pPr>
              <w:jc w:val="center"/>
              <w:rPr>
                <w:rFonts w:hint="eastAsia" w:ascii="仿宋" w:hAnsi="仿宋" w:eastAsia="仿宋" w:cs="仿宋"/>
                <w:i w:val="0"/>
                <w:iCs w:val="0"/>
                <w:color w:val="000000"/>
                <w:sz w:val="12"/>
                <w:szCs w:val="12"/>
                <w:u w:val="none"/>
              </w:rPr>
            </w:pPr>
          </w:p>
        </w:tc>
      </w:tr>
      <w:tr w14:paraId="13CF1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FED5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72</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9EBC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对生产经营单位未采取措施消除事故隐患的处罚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00822">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251D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5D90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【法律】《安全生产法》（2002年6月29日第九届全国人民代表大会常务委员会第二十八次会议通过，2021年6月10日第十三届全国人民代表大会常务委员会第二十九次会议第三次修正）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一百零二条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07C9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823D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A1F0B">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E5FB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1FA8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67AC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A85C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DBA9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9633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C3445">
            <w:pPr>
              <w:jc w:val="center"/>
              <w:rPr>
                <w:rFonts w:hint="eastAsia" w:ascii="仿宋" w:hAnsi="仿宋" w:eastAsia="仿宋" w:cs="仿宋"/>
                <w:i w:val="0"/>
                <w:iCs w:val="0"/>
                <w:color w:val="000000"/>
                <w:sz w:val="12"/>
                <w:szCs w:val="12"/>
                <w:u w:val="none"/>
              </w:rPr>
            </w:pPr>
          </w:p>
        </w:tc>
      </w:tr>
      <w:tr w14:paraId="2AA5D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F8F8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73</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F6CE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对生产经营单位拒绝、阻碍负有安全生产监督管理职责的部门依法实施监督检查的处罚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2DEF8">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E3B8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6AF0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【法律】《安全生产法》（2002年6月29日第九届全国人民代表大会常务委员会第二十八次会议通过，2021年6月10日第十三届全国人民代表大会常务委员会第二十九次会议第三次修正）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一百零八条违反本法规定，生产经营单位拒绝、阻碍负有安全生产监督管理职责的部门依法实施监督检查的，责令改正；拒不改正的，处二万元以上二十万元以下的罚款；对其直接负责的主管人员和其他直接责任人员处一万元以上二万元以下的罚款；构成犯罪的，依照刑法有关规定追究刑事责任。</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617C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1669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65E3E">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6ED1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C801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3736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156B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416B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E7A2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6AE64">
            <w:pPr>
              <w:jc w:val="center"/>
              <w:rPr>
                <w:rFonts w:hint="eastAsia" w:ascii="仿宋" w:hAnsi="仿宋" w:eastAsia="仿宋" w:cs="仿宋"/>
                <w:i w:val="0"/>
                <w:iCs w:val="0"/>
                <w:color w:val="000000"/>
                <w:sz w:val="12"/>
                <w:szCs w:val="12"/>
                <w:u w:val="none"/>
              </w:rPr>
            </w:pPr>
          </w:p>
        </w:tc>
      </w:tr>
      <w:tr w14:paraId="59535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D972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74</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1AC4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对生产经营单位未与承包单位、承租单位签订专门的安全生产管理协议或者未在承包合同、租赁合同中明确各自的安全生产管理职责，或者未对承包单位、承租单位的安全生产统一协调、管理的处罚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3C555">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947A7">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A158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【法律】《安全生产法》（2002年6月29日第九届全国人民代表大会常务委员会第二十八次会议通过，2021年6月10日第十三届全国人民代表大会常务委员会第二十九次会议第三次修正）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一百零三条第二款生产经营单位未与承包单位、承租单位签订专门的安全生产管理协议或者未在承包合同、租赁合同中明确各自的安全生产管理职责，或者未对承包单位、承租单位的安全生产统一协调、管理的，责令限期改正，可以处五万元以下的罚款，对其直接负责的主管人员和其他直接责任人员可以处一万元以下的罚款；逾期未改正的，责令停产停业整顿。</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6CDE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94F0F">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8D01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DCA7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99C3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4E2D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7C40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DC23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6AB7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7E80B">
            <w:pPr>
              <w:jc w:val="center"/>
              <w:rPr>
                <w:rFonts w:hint="eastAsia" w:ascii="仿宋" w:hAnsi="仿宋" w:eastAsia="仿宋" w:cs="仿宋"/>
                <w:i w:val="0"/>
                <w:iCs w:val="0"/>
                <w:color w:val="000000"/>
                <w:sz w:val="12"/>
                <w:szCs w:val="12"/>
                <w:u w:val="none"/>
              </w:rPr>
            </w:pPr>
          </w:p>
        </w:tc>
      </w:tr>
      <w:tr w14:paraId="4B244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F030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75</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E86C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对两个以上生产经营单位在同一作业区域内进行可能危及对方安全生产的生产经营活动，未签订安全生产管理协议或者未指定专职安全生产管理人员进行安全检查与协调的处罚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6E9C3">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87E1D">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5661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【法律】《安全生产法》（2002年6月29日第九届全国人民代表大会常务委员会第二十八次会议通过，2021年6月10日第十三届全国人民代表大会常务委员会第二十九次会议第三次修正）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一百零四条两个以上生产经营单位在同一作业区域内进行可能危及对方安全生产的生产经营活动，未签订安全生产管理协议或者未指定专职安全生产管理人员进行安全检查与协调的，责令限期改正，处五万元以下的罚款，对其直接负责的主管人员和其他直接责任人员处一万元以下的罚款；逾期未改正的，责令停产停业。</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5727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9CD46">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F8A72">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D976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3B4F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A5EF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4C3C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CDF4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3457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416EE">
            <w:pPr>
              <w:jc w:val="center"/>
              <w:rPr>
                <w:rFonts w:hint="eastAsia" w:ascii="仿宋" w:hAnsi="仿宋" w:eastAsia="仿宋" w:cs="仿宋"/>
                <w:i w:val="0"/>
                <w:iCs w:val="0"/>
                <w:color w:val="000000"/>
                <w:sz w:val="12"/>
                <w:szCs w:val="12"/>
                <w:u w:val="none"/>
              </w:rPr>
            </w:pPr>
          </w:p>
        </w:tc>
      </w:tr>
      <w:tr w14:paraId="7BFC7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5AF6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76</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DE6E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对生产经营场所和员工宿舍未设有符合紧急疏散需要、标志明显、保持畅通的出口，或者封闭、堵塞生产经营场所或者员工宿舍出口的处罚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BDDD3">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7CED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CD3A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【法律】《安全生产法》（2002年6月29日第九届全国人民代表大会常务委员会第二十八次会议通过，2021年6月10日第十三届全国人民代表大会常务委员会第二十九次会议第三次修正）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一百零五条生产经营单位有下列行为之一的，责令限期改正，处五万元以下的罚款，对其直接负责的主管人员和其他直接责任人员处一万元以下的罚款；逾期未改正的，责令停产停业整顿；构成犯罪的，依照刑法有关规定追究刑事责任:（二）生产经营场所和员工宿舍未设有符合紧急疏散需要、标志明显、保持畅通的出口、疏散通道，或者占用、锁闭、封堵生产经营场所或者员工宿舍出口、疏散通道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43E5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F87C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F1297">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D203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AEE0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0D2D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E597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B746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458A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26C25">
            <w:pPr>
              <w:jc w:val="center"/>
              <w:rPr>
                <w:rFonts w:hint="eastAsia" w:ascii="仿宋" w:hAnsi="仿宋" w:eastAsia="仿宋" w:cs="仿宋"/>
                <w:i w:val="0"/>
                <w:iCs w:val="0"/>
                <w:color w:val="000000"/>
                <w:sz w:val="12"/>
                <w:szCs w:val="12"/>
                <w:u w:val="none"/>
              </w:rPr>
            </w:pPr>
          </w:p>
        </w:tc>
      </w:tr>
      <w:tr w14:paraId="68719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DC7BD">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77</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6831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对建设单位违反建设工程安全生产规定的处罚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01F7D">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ACFC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BF59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【规章】《乌鲁木齐市建设工程安全生产管理办法》（经2016年9月9日乌鲁木齐市十五届人民政府第32次常务会议通过，自2016年10月21日起施行）</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第三十七条建设单位违反本办法，有下列行为之一的，由建设行政主管部门责令限期整改，并处5000元以上20000元以下的罚款：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（一）未按照规定提供施工现场及毗邻区域内地下管线、相邻建(构)筑物、地下工程等建设工程相关资料的；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（二）建设工程存在严重的安全事故隐患，未按照规定要求施工单位停工整改的；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（三）建设工程被责令停工整改后，安全事故隐患未消除，明示或暗示施工单位继续施工作业的。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B770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167D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2F3D6">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0C9D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88A9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F921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59D8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2409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5E7D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A6873">
            <w:pPr>
              <w:jc w:val="center"/>
              <w:rPr>
                <w:rFonts w:hint="eastAsia" w:ascii="仿宋" w:hAnsi="仿宋" w:eastAsia="仿宋" w:cs="仿宋"/>
                <w:i w:val="0"/>
                <w:iCs w:val="0"/>
                <w:color w:val="000000"/>
                <w:sz w:val="12"/>
                <w:szCs w:val="12"/>
                <w:u w:val="none"/>
              </w:rPr>
            </w:pPr>
          </w:p>
        </w:tc>
      </w:tr>
      <w:tr w14:paraId="37F2F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3EE8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78</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0118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对施工单位违反建设工程安全生产管理规定的处罚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D293A">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5398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9110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【规章】《乌鲁木齐市建设工程安全生产管理办法》（经2016年9月9日乌鲁木齐市十五届人民政府第32次常务会议通过，自2016年10月21日起施行）</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第三十八条施工单位违反本办法，有下列行为之一的，由建设行政主管部门责令限期改正，并处5000元以上20000元以下的罚款：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（一）未按照建筑业安全作业规程、标准、施工方案和设计要求等相关规定进行施工的；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（二）未定期组织开展建设工程安全生产标准化自评和安全检查工作的；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（三）安全专项施工方案未按照相关规定结合现场实际情况进行编制或者未按照规定程序进行审核和论证的；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（四）未按照相关规定定期对安全防护用具、机械设备、施工机具及配件进行检查、检测、维修和保养的。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3ACE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1701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4086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8844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1467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C4E1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E789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9067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75F5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BEA77">
            <w:pPr>
              <w:jc w:val="center"/>
              <w:rPr>
                <w:rFonts w:hint="eastAsia" w:ascii="仿宋" w:hAnsi="仿宋" w:eastAsia="仿宋" w:cs="仿宋"/>
                <w:i w:val="0"/>
                <w:iCs w:val="0"/>
                <w:color w:val="000000"/>
                <w:sz w:val="12"/>
                <w:szCs w:val="12"/>
                <w:u w:val="none"/>
              </w:rPr>
            </w:pPr>
          </w:p>
        </w:tc>
      </w:tr>
      <w:tr w14:paraId="074A1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1435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79</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036F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对监理单位违反建设工程安全生产管理规定的处罚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36C2C">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E74AB">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3571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【规章】《乌鲁木齐市建设工程安全生产管理办法》（经2016年9月9日乌鲁木齐市十五届人民政府第32次常务会议通过，自2016年10月21日起施行）</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第三十九条监理单位违反本办法，有下列行为之一的，由建设行政主管部门责令限期改正，并处5000元以上20000元以下的罚款：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（一）建设工程监理规划未包含专门的安全监理内容的；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（二）未针对危险性较大的分部分项工程编制安全监理实施细则的；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（三）未对建设工程施工现场安全生产情况进行巡视检查或者未将检查、整改、复查等情况记录在监理日志、监理月报中的。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888F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C3B8E">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0AD9E">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7CDE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6876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2D15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F274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6F89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24AC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BA6AC">
            <w:pPr>
              <w:jc w:val="center"/>
              <w:rPr>
                <w:rFonts w:hint="eastAsia" w:ascii="仿宋" w:hAnsi="仿宋" w:eastAsia="仿宋" w:cs="仿宋"/>
                <w:i w:val="0"/>
                <w:iCs w:val="0"/>
                <w:color w:val="000000"/>
                <w:sz w:val="12"/>
                <w:szCs w:val="12"/>
                <w:u w:val="none"/>
              </w:rPr>
            </w:pPr>
          </w:p>
        </w:tc>
      </w:tr>
      <w:tr w14:paraId="78A577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665" w:hRule="atLeast"/>
        </w:trPr>
        <w:tc>
          <w:tcPr>
            <w:tcW w:w="423" w:type="dxa"/>
            <w:vMerge w:val="restart"/>
            <w:tcBorders>
              <w:top w:val="single" w:color="000000" w:sz="4" w:space="0"/>
              <w:left w:val="single" w:color="000000" w:sz="4" w:space="0"/>
              <w:right w:val="single" w:color="000000" w:sz="4" w:space="0"/>
            </w:tcBorders>
            <w:shd w:val="clear" w:color="auto" w:fill="auto"/>
            <w:vAlign w:val="center"/>
          </w:tcPr>
          <w:p w14:paraId="2ACBA5F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80</w:t>
            </w:r>
          </w:p>
        </w:tc>
        <w:tc>
          <w:tcPr>
            <w:tcW w:w="1422" w:type="dxa"/>
            <w:vMerge w:val="restart"/>
            <w:tcBorders>
              <w:top w:val="single" w:color="000000" w:sz="4" w:space="0"/>
              <w:left w:val="single" w:color="000000" w:sz="4" w:space="0"/>
              <w:right w:val="single" w:color="000000" w:sz="4" w:space="0"/>
            </w:tcBorders>
            <w:shd w:val="clear" w:color="auto" w:fill="auto"/>
            <w:vAlign w:val="center"/>
          </w:tcPr>
          <w:p w14:paraId="202F4EB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对监理单位总监理工程师违反《危险性较大的分部分项工程安全管理规定》的处罚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287E0">
            <w:pPr>
              <w:keepNext w:val="0"/>
              <w:keepLines w:val="0"/>
              <w:widowControl/>
              <w:suppressLineNumbers w:val="0"/>
              <w:jc w:val="left"/>
              <w:textAlignment w:val="center"/>
              <w:rPr>
                <w:rFonts w:hint="eastAsia" w:ascii="仿宋" w:hAnsi="仿宋" w:eastAsia="仿宋" w:cs="仿宋"/>
                <w:i w:val="0"/>
                <w:iCs w:val="0"/>
                <w:color w:val="000000"/>
                <w:sz w:val="12"/>
                <w:szCs w:val="12"/>
                <w:u w:val="none"/>
                <w:lang w:val="en-US" w:eastAsia="zh-CN"/>
              </w:rPr>
            </w:pPr>
            <w:r>
              <w:rPr>
                <w:rFonts w:hint="eastAsia" w:ascii="仿宋" w:hAnsi="仿宋" w:eastAsia="仿宋" w:cs="仿宋"/>
                <w:i w:val="0"/>
                <w:iCs w:val="0"/>
                <w:color w:val="000000"/>
                <w:sz w:val="12"/>
                <w:szCs w:val="12"/>
                <w:u w:val="none"/>
                <w:lang w:val="en-US" w:eastAsia="zh-CN"/>
              </w:rPr>
              <w:t>总监理工程师未按照本规定审查危大工程专项施工方案的</w:t>
            </w:r>
          </w:p>
        </w:tc>
        <w:tc>
          <w:tcPr>
            <w:tcW w:w="557" w:type="dxa"/>
            <w:vMerge w:val="restart"/>
            <w:tcBorders>
              <w:top w:val="single" w:color="000000" w:sz="4" w:space="0"/>
              <w:left w:val="single" w:color="000000" w:sz="4" w:space="0"/>
              <w:right w:val="single" w:color="000000" w:sz="4" w:space="0"/>
            </w:tcBorders>
            <w:shd w:val="clear" w:color="auto" w:fill="auto"/>
            <w:vAlign w:val="center"/>
          </w:tcPr>
          <w:p w14:paraId="35C1836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vMerge w:val="restart"/>
            <w:tcBorders>
              <w:top w:val="single" w:color="000000" w:sz="4" w:space="0"/>
              <w:left w:val="single" w:color="000000" w:sz="4" w:space="0"/>
              <w:right w:val="single" w:color="000000" w:sz="4" w:space="0"/>
            </w:tcBorders>
            <w:shd w:val="clear" w:color="auto" w:fill="auto"/>
            <w:vAlign w:val="center"/>
          </w:tcPr>
          <w:p w14:paraId="02B01F7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【规章】《危险性较大的分部分项工程安全管理规定》（2018年3月8日住房和城乡建设部令第37号）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第三十六条监理单位有下列行为之一的，依照《中华人民共和国安全生产法》《建设工程安全生产管理条例》对单位进行处罚；对直接负责的主管人员和其他直接责任人员处1000元以上5000元以下的罚款：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（一）总监理工程师未按照本规定审查危大工程专项施工方案的；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（二）发现施工单位未按照专项施工方案实施，未要求其整改或者停工的；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（三）施工单位拒不整改或者不停止施工时，未向建设单位和工程所在地住房城乡建设主管部门报告的。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《危险性较大的分部分项工程安全管理规定》第三十七条监理单位有下列行为之一的，责令限期改正，并处1万元以上3万元以下的罚款；对直接负责的主管人员和其他直接责任人员处1000元以上5000元以下的罚款：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（一）未按照本规定编制监理实施细则的；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（二）未对危大工程施工实施专项巡视检查的；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（三）未按照本规定参与组织危大工程验收的；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（四）未按照本规定建立危大工程安全管理档案的。</w:t>
            </w:r>
          </w:p>
        </w:tc>
        <w:tc>
          <w:tcPr>
            <w:tcW w:w="814" w:type="dxa"/>
            <w:vMerge w:val="restart"/>
            <w:tcBorders>
              <w:top w:val="single" w:color="000000" w:sz="4" w:space="0"/>
              <w:left w:val="single" w:color="000000" w:sz="4" w:space="0"/>
              <w:right w:val="single" w:color="000000" w:sz="4" w:space="0"/>
            </w:tcBorders>
            <w:shd w:val="clear" w:color="auto" w:fill="auto"/>
            <w:vAlign w:val="center"/>
          </w:tcPr>
          <w:p w14:paraId="03A9325D">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vMerge w:val="restart"/>
            <w:tcBorders>
              <w:top w:val="single" w:color="000000" w:sz="4" w:space="0"/>
              <w:left w:val="single" w:color="000000" w:sz="4" w:space="0"/>
              <w:right w:val="single" w:color="000000" w:sz="4" w:space="0"/>
            </w:tcBorders>
            <w:shd w:val="clear" w:color="auto" w:fill="auto"/>
            <w:vAlign w:val="center"/>
          </w:tcPr>
          <w:p w14:paraId="4B70A1E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vMerge w:val="restart"/>
            <w:tcBorders>
              <w:top w:val="single" w:color="000000" w:sz="4" w:space="0"/>
              <w:left w:val="single" w:color="000000" w:sz="4" w:space="0"/>
              <w:right w:val="single" w:color="000000" w:sz="4" w:space="0"/>
            </w:tcBorders>
            <w:shd w:val="clear" w:color="auto" w:fill="auto"/>
            <w:vAlign w:val="center"/>
          </w:tcPr>
          <w:p w14:paraId="3F96C68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vMerge w:val="restart"/>
            <w:tcBorders>
              <w:top w:val="single" w:color="000000" w:sz="4" w:space="0"/>
              <w:left w:val="single" w:color="000000" w:sz="4" w:space="0"/>
              <w:right w:val="single" w:color="000000" w:sz="4" w:space="0"/>
            </w:tcBorders>
            <w:shd w:val="clear" w:color="auto" w:fill="auto"/>
            <w:vAlign w:val="center"/>
          </w:tcPr>
          <w:p w14:paraId="5A79C83B">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vMerge w:val="restart"/>
            <w:tcBorders>
              <w:top w:val="single" w:color="000000" w:sz="4" w:space="0"/>
              <w:left w:val="single" w:color="000000" w:sz="4" w:space="0"/>
              <w:right w:val="single" w:color="000000" w:sz="4" w:space="0"/>
            </w:tcBorders>
            <w:shd w:val="clear" w:color="auto" w:fill="auto"/>
            <w:vAlign w:val="center"/>
          </w:tcPr>
          <w:p w14:paraId="44E19C1E">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vMerge w:val="restart"/>
            <w:tcBorders>
              <w:top w:val="single" w:color="000000" w:sz="4" w:space="0"/>
              <w:left w:val="single" w:color="000000" w:sz="4" w:space="0"/>
              <w:right w:val="single" w:color="000000" w:sz="4" w:space="0"/>
            </w:tcBorders>
            <w:shd w:val="clear" w:color="auto" w:fill="auto"/>
            <w:vAlign w:val="center"/>
          </w:tcPr>
          <w:p w14:paraId="3D30996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vMerge w:val="restart"/>
            <w:tcBorders>
              <w:top w:val="single" w:color="000000" w:sz="4" w:space="0"/>
              <w:left w:val="single" w:color="000000" w:sz="4" w:space="0"/>
              <w:right w:val="single" w:color="000000" w:sz="4" w:space="0"/>
            </w:tcBorders>
            <w:shd w:val="clear" w:color="auto" w:fill="auto"/>
            <w:vAlign w:val="center"/>
          </w:tcPr>
          <w:p w14:paraId="753BF89B">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vMerge w:val="restart"/>
            <w:tcBorders>
              <w:top w:val="single" w:color="000000" w:sz="4" w:space="0"/>
              <w:left w:val="single" w:color="000000" w:sz="4" w:space="0"/>
              <w:right w:val="single" w:color="000000" w:sz="4" w:space="0"/>
            </w:tcBorders>
            <w:shd w:val="clear" w:color="auto" w:fill="auto"/>
            <w:vAlign w:val="center"/>
          </w:tcPr>
          <w:p w14:paraId="4AB9A9C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vMerge w:val="restart"/>
            <w:tcBorders>
              <w:top w:val="single" w:color="000000" w:sz="4" w:space="0"/>
              <w:left w:val="single" w:color="000000" w:sz="4" w:space="0"/>
              <w:right w:val="single" w:color="000000" w:sz="4" w:space="0"/>
            </w:tcBorders>
            <w:shd w:val="clear" w:color="auto" w:fill="auto"/>
            <w:vAlign w:val="center"/>
          </w:tcPr>
          <w:p w14:paraId="760F89B2">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vMerge w:val="restart"/>
            <w:tcBorders>
              <w:top w:val="single" w:color="000000" w:sz="4" w:space="0"/>
              <w:left w:val="single" w:color="000000" w:sz="4" w:space="0"/>
              <w:right w:val="single" w:color="000000" w:sz="4" w:space="0"/>
            </w:tcBorders>
            <w:shd w:val="clear" w:color="auto" w:fill="auto"/>
            <w:vAlign w:val="center"/>
          </w:tcPr>
          <w:p w14:paraId="487AB95C">
            <w:pPr>
              <w:jc w:val="center"/>
              <w:rPr>
                <w:rFonts w:hint="eastAsia" w:ascii="仿宋" w:hAnsi="仿宋" w:eastAsia="仿宋" w:cs="仿宋"/>
                <w:i w:val="0"/>
                <w:iCs w:val="0"/>
                <w:color w:val="000000"/>
                <w:sz w:val="12"/>
                <w:szCs w:val="12"/>
                <w:u w:val="none"/>
              </w:rPr>
            </w:pPr>
          </w:p>
        </w:tc>
      </w:tr>
      <w:tr w14:paraId="3AF91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310" w:hRule="atLeast"/>
        </w:trPr>
        <w:tc>
          <w:tcPr>
            <w:tcW w:w="423" w:type="dxa"/>
            <w:vMerge w:val="continue"/>
            <w:tcBorders>
              <w:left w:val="single" w:color="000000" w:sz="4" w:space="0"/>
              <w:right w:val="single" w:color="000000" w:sz="4" w:space="0"/>
            </w:tcBorders>
            <w:shd w:val="clear" w:color="auto" w:fill="auto"/>
            <w:vAlign w:val="center"/>
          </w:tcPr>
          <w:p w14:paraId="20500659">
            <w:pPr>
              <w:keepNext w:val="0"/>
              <w:keepLines w:val="0"/>
              <w:widowControl/>
              <w:suppressLineNumbers w:val="0"/>
              <w:jc w:val="left"/>
              <w:textAlignment w:val="center"/>
            </w:pPr>
          </w:p>
        </w:tc>
        <w:tc>
          <w:tcPr>
            <w:tcW w:w="1422" w:type="dxa"/>
            <w:vMerge w:val="continue"/>
            <w:tcBorders>
              <w:left w:val="single" w:color="000000" w:sz="4" w:space="0"/>
              <w:right w:val="single" w:color="000000" w:sz="4" w:space="0"/>
            </w:tcBorders>
            <w:shd w:val="clear" w:color="auto" w:fill="auto"/>
            <w:vAlign w:val="center"/>
          </w:tcPr>
          <w:p w14:paraId="6A6AFAC4">
            <w:pPr>
              <w:keepNext w:val="0"/>
              <w:keepLines w:val="0"/>
              <w:widowControl/>
              <w:suppressLineNumbers w:val="0"/>
              <w:jc w:val="left"/>
              <w:textAlignment w:val="cente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D87D3">
            <w:pPr>
              <w:keepNext w:val="0"/>
              <w:keepLines w:val="0"/>
              <w:widowControl/>
              <w:suppressLineNumbers w:val="0"/>
              <w:jc w:val="left"/>
              <w:textAlignment w:val="center"/>
              <w:rPr>
                <w:rFonts w:hint="eastAsia" w:ascii="仿宋" w:hAnsi="仿宋" w:eastAsia="仿宋" w:cs="仿宋"/>
                <w:i w:val="0"/>
                <w:iCs w:val="0"/>
                <w:color w:val="000000"/>
                <w:sz w:val="12"/>
                <w:szCs w:val="12"/>
                <w:u w:val="none"/>
                <w:lang w:eastAsia="zh-CN"/>
              </w:rPr>
            </w:pPr>
            <w:r>
              <w:rPr>
                <w:rFonts w:hint="eastAsia" w:ascii="仿宋" w:hAnsi="仿宋" w:eastAsia="仿宋" w:cs="仿宋"/>
                <w:i w:val="0"/>
                <w:iCs w:val="0"/>
                <w:color w:val="000000"/>
                <w:sz w:val="12"/>
                <w:szCs w:val="12"/>
                <w:u w:val="none"/>
                <w:lang w:eastAsia="zh-CN"/>
              </w:rPr>
              <w:t>发现施工单位未按照专项施工方案实施，未要求其整改或者停工的</w:t>
            </w:r>
          </w:p>
        </w:tc>
        <w:tc>
          <w:tcPr>
            <w:tcW w:w="557" w:type="dxa"/>
            <w:vMerge w:val="continue"/>
            <w:tcBorders>
              <w:left w:val="single" w:color="000000" w:sz="4" w:space="0"/>
              <w:right w:val="single" w:color="000000" w:sz="4" w:space="0"/>
            </w:tcBorders>
            <w:shd w:val="clear" w:color="auto" w:fill="auto"/>
            <w:vAlign w:val="center"/>
          </w:tcPr>
          <w:p w14:paraId="2DD5A5B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2336" w:type="dxa"/>
            <w:vMerge w:val="continue"/>
            <w:tcBorders>
              <w:left w:val="single" w:color="000000" w:sz="4" w:space="0"/>
              <w:right w:val="single" w:color="000000" w:sz="4" w:space="0"/>
            </w:tcBorders>
            <w:shd w:val="clear" w:color="auto" w:fill="auto"/>
            <w:vAlign w:val="center"/>
          </w:tcPr>
          <w:p w14:paraId="4D571A3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814" w:type="dxa"/>
            <w:vMerge w:val="continue"/>
            <w:tcBorders>
              <w:left w:val="single" w:color="000000" w:sz="4" w:space="0"/>
              <w:right w:val="single" w:color="000000" w:sz="4" w:space="0"/>
            </w:tcBorders>
            <w:shd w:val="clear" w:color="auto" w:fill="auto"/>
            <w:vAlign w:val="center"/>
          </w:tcPr>
          <w:p w14:paraId="04CD3E4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831" w:type="dxa"/>
            <w:vMerge w:val="continue"/>
            <w:tcBorders>
              <w:left w:val="single" w:color="000000" w:sz="4" w:space="0"/>
              <w:right w:val="single" w:color="000000" w:sz="4" w:space="0"/>
            </w:tcBorders>
            <w:shd w:val="clear" w:color="auto" w:fill="auto"/>
            <w:vAlign w:val="center"/>
          </w:tcPr>
          <w:p w14:paraId="65DCAEF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536" w:type="dxa"/>
            <w:vMerge w:val="continue"/>
            <w:tcBorders>
              <w:left w:val="single" w:color="000000" w:sz="4" w:space="0"/>
              <w:right w:val="single" w:color="000000" w:sz="4" w:space="0"/>
            </w:tcBorders>
            <w:shd w:val="clear" w:color="auto" w:fill="auto"/>
            <w:vAlign w:val="center"/>
          </w:tcPr>
          <w:p w14:paraId="568C350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900" w:type="dxa"/>
            <w:vMerge w:val="continue"/>
            <w:tcBorders>
              <w:left w:val="single" w:color="000000" w:sz="4" w:space="0"/>
              <w:right w:val="single" w:color="000000" w:sz="4" w:space="0"/>
            </w:tcBorders>
            <w:shd w:val="clear" w:color="auto" w:fill="auto"/>
            <w:vAlign w:val="center"/>
          </w:tcPr>
          <w:p w14:paraId="00E9432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692" w:type="dxa"/>
            <w:vMerge w:val="continue"/>
            <w:tcBorders>
              <w:left w:val="single" w:color="000000" w:sz="4" w:space="0"/>
              <w:right w:val="single" w:color="000000" w:sz="4" w:space="0"/>
            </w:tcBorders>
            <w:shd w:val="clear" w:color="auto" w:fill="auto"/>
            <w:vAlign w:val="center"/>
          </w:tcPr>
          <w:p w14:paraId="64A0D93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1174" w:type="dxa"/>
            <w:vMerge w:val="continue"/>
            <w:tcBorders>
              <w:left w:val="single" w:color="000000" w:sz="4" w:space="0"/>
              <w:right w:val="single" w:color="000000" w:sz="4" w:space="0"/>
            </w:tcBorders>
            <w:shd w:val="clear" w:color="auto" w:fill="auto"/>
            <w:vAlign w:val="center"/>
          </w:tcPr>
          <w:p w14:paraId="17FF013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1178" w:type="dxa"/>
            <w:vMerge w:val="continue"/>
            <w:tcBorders>
              <w:left w:val="single" w:color="000000" w:sz="4" w:space="0"/>
              <w:right w:val="single" w:color="000000" w:sz="4" w:space="0"/>
            </w:tcBorders>
            <w:shd w:val="clear" w:color="auto" w:fill="auto"/>
            <w:vAlign w:val="center"/>
          </w:tcPr>
          <w:p w14:paraId="49B3360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472" w:type="dxa"/>
            <w:vMerge w:val="continue"/>
            <w:tcBorders>
              <w:left w:val="single" w:color="000000" w:sz="4" w:space="0"/>
              <w:right w:val="single" w:color="000000" w:sz="4" w:space="0"/>
            </w:tcBorders>
            <w:shd w:val="clear" w:color="auto" w:fill="auto"/>
            <w:vAlign w:val="center"/>
          </w:tcPr>
          <w:p w14:paraId="3B1A285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9291" w:type="dxa"/>
            <w:vMerge w:val="continue"/>
            <w:tcBorders>
              <w:left w:val="single" w:color="000000" w:sz="4" w:space="0"/>
              <w:right w:val="single" w:color="000000" w:sz="4" w:space="0"/>
            </w:tcBorders>
            <w:shd w:val="clear" w:color="auto" w:fill="auto"/>
            <w:vAlign w:val="center"/>
          </w:tcPr>
          <w:p w14:paraId="12A28D5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626" w:type="dxa"/>
            <w:vMerge w:val="continue"/>
            <w:tcBorders>
              <w:left w:val="single" w:color="000000" w:sz="4" w:space="0"/>
              <w:right w:val="single" w:color="000000" w:sz="4" w:space="0"/>
            </w:tcBorders>
            <w:shd w:val="clear" w:color="auto" w:fill="auto"/>
            <w:vAlign w:val="center"/>
          </w:tcPr>
          <w:p w14:paraId="035AE3A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r>
      <w:tr w14:paraId="764D7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310" w:hRule="atLeast"/>
        </w:trPr>
        <w:tc>
          <w:tcPr>
            <w:tcW w:w="423" w:type="dxa"/>
            <w:vMerge w:val="continue"/>
            <w:tcBorders>
              <w:left w:val="single" w:color="000000" w:sz="4" w:space="0"/>
              <w:right w:val="single" w:color="000000" w:sz="4" w:space="0"/>
            </w:tcBorders>
            <w:shd w:val="clear" w:color="auto" w:fill="auto"/>
            <w:vAlign w:val="center"/>
          </w:tcPr>
          <w:p w14:paraId="36E5591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1422" w:type="dxa"/>
            <w:vMerge w:val="continue"/>
            <w:tcBorders>
              <w:left w:val="single" w:color="000000" w:sz="4" w:space="0"/>
              <w:right w:val="single" w:color="000000" w:sz="4" w:space="0"/>
            </w:tcBorders>
            <w:shd w:val="clear" w:color="auto" w:fill="auto"/>
            <w:vAlign w:val="center"/>
          </w:tcPr>
          <w:p w14:paraId="61AC4E6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68E14">
            <w:pPr>
              <w:keepNext w:val="0"/>
              <w:keepLines w:val="0"/>
              <w:widowControl/>
              <w:suppressLineNumbers w:val="0"/>
              <w:jc w:val="left"/>
              <w:textAlignment w:val="center"/>
              <w:rPr>
                <w:rFonts w:hint="eastAsia" w:ascii="仿宋" w:hAnsi="仿宋" w:eastAsia="仿宋" w:cs="仿宋"/>
                <w:i w:val="0"/>
                <w:iCs w:val="0"/>
                <w:color w:val="000000"/>
                <w:sz w:val="12"/>
                <w:szCs w:val="12"/>
                <w:u w:val="none"/>
                <w:lang w:eastAsia="zh-CN"/>
              </w:rPr>
            </w:pPr>
            <w:r>
              <w:rPr>
                <w:rFonts w:hint="eastAsia" w:ascii="仿宋" w:hAnsi="仿宋" w:eastAsia="仿宋" w:cs="仿宋"/>
                <w:i w:val="0"/>
                <w:iCs w:val="0"/>
                <w:color w:val="000000"/>
                <w:sz w:val="12"/>
                <w:szCs w:val="12"/>
                <w:u w:val="none"/>
                <w:lang w:eastAsia="zh-CN"/>
              </w:rPr>
              <w:t>施工单位拒不整改或者不停止施工时，未向建设单位和工程所在地住房城乡建设主管部门报告的</w:t>
            </w:r>
          </w:p>
        </w:tc>
        <w:tc>
          <w:tcPr>
            <w:tcW w:w="557" w:type="dxa"/>
            <w:vMerge w:val="continue"/>
            <w:tcBorders>
              <w:left w:val="single" w:color="000000" w:sz="4" w:space="0"/>
              <w:right w:val="single" w:color="000000" w:sz="4" w:space="0"/>
            </w:tcBorders>
            <w:shd w:val="clear" w:color="auto" w:fill="auto"/>
            <w:vAlign w:val="center"/>
          </w:tcPr>
          <w:p w14:paraId="289B559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2336" w:type="dxa"/>
            <w:vMerge w:val="continue"/>
            <w:tcBorders>
              <w:left w:val="single" w:color="000000" w:sz="4" w:space="0"/>
              <w:right w:val="single" w:color="000000" w:sz="4" w:space="0"/>
            </w:tcBorders>
            <w:shd w:val="clear" w:color="auto" w:fill="auto"/>
            <w:vAlign w:val="center"/>
          </w:tcPr>
          <w:p w14:paraId="449A372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814" w:type="dxa"/>
            <w:vMerge w:val="continue"/>
            <w:tcBorders>
              <w:left w:val="single" w:color="000000" w:sz="4" w:space="0"/>
              <w:right w:val="single" w:color="000000" w:sz="4" w:space="0"/>
            </w:tcBorders>
            <w:shd w:val="clear" w:color="auto" w:fill="auto"/>
            <w:vAlign w:val="center"/>
          </w:tcPr>
          <w:p w14:paraId="4EF31D4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831" w:type="dxa"/>
            <w:vMerge w:val="continue"/>
            <w:tcBorders>
              <w:left w:val="single" w:color="000000" w:sz="4" w:space="0"/>
              <w:right w:val="single" w:color="000000" w:sz="4" w:space="0"/>
            </w:tcBorders>
            <w:shd w:val="clear" w:color="auto" w:fill="auto"/>
            <w:vAlign w:val="center"/>
          </w:tcPr>
          <w:p w14:paraId="5700539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536" w:type="dxa"/>
            <w:vMerge w:val="continue"/>
            <w:tcBorders>
              <w:left w:val="single" w:color="000000" w:sz="4" w:space="0"/>
              <w:right w:val="single" w:color="000000" w:sz="4" w:space="0"/>
            </w:tcBorders>
            <w:shd w:val="clear" w:color="auto" w:fill="auto"/>
            <w:vAlign w:val="center"/>
          </w:tcPr>
          <w:p w14:paraId="470F883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900" w:type="dxa"/>
            <w:vMerge w:val="continue"/>
            <w:tcBorders>
              <w:left w:val="single" w:color="000000" w:sz="4" w:space="0"/>
              <w:right w:val="single" w:color="000000" w:sz="4" w:space="0"/>
            </w:tcBorders>
            <w:shd w:val="clear" w:color="auto" w:fill="auto"/>
            <w:vAlign w:val="center"/>
          </w:tcPr>
          <w:p w14:paraId="1ACC742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692" w:type="dxa"/>
            <w:vMerge w:val="continue"/>
            <w:tcBorders>
              <w:left w:val="single" w:color="000000" w:sz="4" w:space="0"/>
              <w:right w:val="single" w:color="000000" w:sz="4" w:space="0"/>
            </w:tcBorders>
            <w:shd w:val="clear" w:color="auto" w:fill="auto"/>
            <w:vAlign w:val="center"/>
          </w:tcPr>
          <w:p w14:paraId="46B8523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1174" w:type="dxa"/>
            <w:vMerge w:val="continue"/>
            <w:tcBorders>
              <w:left w:val="single" w:color="000000" w:sz="4" w:space="0"/>
              <w:right w:val="single" w:color="000000" w:sz="4" w:space="0"/>
            </w:tcBorders>
            <w:shd w:val="clear" w:color="auto" w:fill="auto"/>
            <w:vAlign w:val="center"/>
          </w:tcPr>
          <w:p w14:paraId="6726860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1178" w:type="dxa"/>
            <w:vMerge w:val="continue"/>
            <w:tcBorders>
              <w:left w:val="single" w:color="000000" w:sz="4" w:space="0"/>
              <w:right w:val="single" w:color="000000" w:sz="4" w:space="0"/>
            </w:tcBorders>
            <w:shd w:val="clear" w:color="auto" w:fill="auto"/>
            <w:vAlign w:val="center"/>
          </w:tcPr>
          <w:p w14:paraId="498508F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472" w:type="dxa"/>
            <w:vMerge w:val="continue"/>
            <w:tcBorders>
              <w:left w:val="single" w:color="000000" w:sz="4" w:space="0"/>
              <w:right w:val="single" w:color="000000" w:sz="4" w:space="0"/>
            </w:tcBorders>
            <w:shd w:val="clear" w:color="auto" w:fill="auto"/>
            <w:vAlign w:val="center"/>
          </w:tcPr>
          <w:p w14:paraId="6D9331C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9291" w:type="dxa"/>
            <w:vMerge w:val="continue"/>
            <w:tcBorders>
              <w:left w:val="single" w:color="000000" w:sz="4" w:space="0"/>
              <w:right w:val="single" w:color="000000" w:sz="4" w:space="0"/>
            </w:tcBorders>
            <w:shd w:val="clear" w:color="auto" w:fill="auto"/>
            <w:vAlign w:val="center"/>
          </w:tcPr>
          <w:p w14:paraId="7E0662F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626" w:type="dxa"/>
            <w:vMerge w:val="continue"/>
            <w:tcBorders>
              <w:left w:val="single" w:color="000000" w:sz="4" w:space="0"/>
              <w:right w:val="single" w:color="000000" w:sz="4" w:space="0"/>
            </w:tcBorders>
            <w:shd w:val="clear" w:color="auto" w:fill="auto"/>
            <w:vAlign w:val="center"/>
          </w:tcPr>
          <w:p w14:paraId="5C24204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r>
      <w:tr w14:paraId="769EA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310" w:hRule="atLeast"/>
        </w:trPr>
        <w:tc>
          <w:tcPr>
            <w:tcW w:w="423" w:type="dxa"/>
            <w:vMerge w:val="continue"/>
            <w:tcBorders>
              <w:left w:val="single" w:color="000000" w:sz="4" w:space="0"/>
              <w:right w:val="single" w:color="000000" w:sz="4" w:space="0"/>
            </w:tcBorders>
            <w:shd w:val="clear" w:color="auto" w:fill="auto"/>
            <w:vAlign w:val="center"/>
          </w:tcPr>
          <w:p w14:paraId="1AD9BA0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1422" w:type="dxa"/>
            <w:vMerge w:val="continue"/>
            <w:tcBorders>
              <w:left w:val="single" w:color="000000" w:sz="4" w:space="0"/>
              <w:right w:val="single" w:color="000000" w:sz="4" w:space="0"/>
            </w:tcBorders>
            <w:shd w:val="clear" w:color="auto" w:fill="auto"/>
            <w:vAlign w:val="center"/>
          </w:tcPr>
          <w:p w14:paraId="5AC71DB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EC241">
            <w:pPr>
              <w:keepNext w:val="0"/>
              <w:keepLines w:val="0"/>
              <w:widowControl/>
              <w:suppressLineNumbers w:val="0"/>
              <w:jc w:val="left"/>
              <w:textAlignment w:val="center"/>
              <w:rPr>
                <w:rFonts w:hint="eastAsia" w:ascii="仿宋" w:hAnsi="仿宋" w:eastAsia="仿宋" w:cs="仿宋"/>
                <w:i w:val="0"/>
                <w:iCs w:val="0"/>
                <w:color w:val="000000"/>
                <w:sz w:val="12"/>
                <w:szCs w:val="12"/>
                <w:u w:val="none"/>
                <w:lang w:eastAsia="zh-CN"/>
              </w:rPr>
            </w:pPr>
            <w:r>
              <w:rPr>
                <w:rFonts w:hint="eastAsia" w:ascii="仿宋" w:hAnsi="仿宋" w:eastAsia="仿宋" w:cs="仿宋"/>
                <w:i w:val="0"/>
                <w:iCs w:val="0"/>
                <w:color w:val="000000"/>
                <w:sz w:val="12"/>
                <w:szCs w:val="12"/>
                <w:u w:val="none"/>
                <w:lang w:eastAsia="zh-CN"/>
              </w:rPr>
              <w:t>未按照本规定编制监理实施细则的</w:t>
            </w:r>
          </w:p>
        </w:tc>
        <w:tc>
          <w:tcPr>
            <w:tcW w:w="557" w:type="dxa"/>
            <w:vMerge w:val="continue"/>
            <w:tcBorders>
              <w:left w:val="single" w:color="000000" w:sz="4" w:space="0"/>
              <w:right w:val="single" w:color="000000" w:sz="4" w:space="0"/>
            </w:tcBorders>
            <w:shd w:val="clear" w:color="auto" w:fill="auto"/>
            <w:vAlign w:val="center"/>
          </w:tcPr>
          <w:p w14:paraId="4DD9C15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2336" w:type="dxa"/>
            <w:vMerge w:val="continue"/>
            <w:tcBorders>
              <w:left w:val="single" w:color="000000" w:sz="4" w:space="0"/>
              <w:right w:val="single" w:color="000000" w:sz="4" w:space="0"/>
            </w:tcBorders>
            <w:shd w:val="clear" w:color="auto" w:fill="auto"/>
            <w:vAlign w:val="center"/>
          </w:tcPr>
          <w:p w14:paraId="68BA1B8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814" w:type="dxa"/>
            <w:vMerge w:val="continue"/>
            <w:tcBorders>
              <w:left w:val="single" w:color="000000" w:sz="4" w:space="0"/>
              <w:right w:val="single" w:color="000000" w:sz="4" w:space="0"/>
            </w:tcBorders>
            <w:shd w:val="clear" w:color="auto" w:fill="auto"/>
            <w:vAlign w:val="center"/>
          </w:tcPr>
          <w:p w14:paraId="2957835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831" w:type="dxa"/>
            <w:vMerge w:val="continue"/>
            <w:tcBorders>
              <w:left w:val="single" w:color="000000" w:sz="4" w:space="0"/>
              <w:right w:val="single" w:color="000000" w:sz="4" w:space="0"/>
            </w:tcBorders>
            <w:shd w:val="clear" w:color="auto" w:fill="auto"/>
            <w:vAlign w:val="center"/>
          </w:tcPr>
          <w:p w14:paraId="566CA63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536" w:type="dxa"/>
            <w:vMerge w:val="continue"/>
            <w:tcBorders>
              <w:left w:val="single" w:color="000000" w:sz="4" w:space="0"/>
              <w:right w:val="single" w:color="000000" w:sz="4" w:space="0"/>
            </w:tcBorders>
            <w:shd w:val="clear" w:color="auto" w:fill="auto"/>
            <w:vAlign w:val="center"/>
          </w:tcPr>
          <w:p w14:paraId="734185F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900" w:type="dxa"/>
            <w:vMerge w:val="continue"/>
            <w:tcBorders>
              <w:left w:val="single" w:color="000000" w:sz="4" w:space="0"/>
              <w:right w:val="single" w:color="000000" w:sz="4" w:space="0"/>
            </w:tcBorders>
            <w:shd w:val="clear" w:color="auto" w:fill="auto"/>
            <w:vAlign w:val="center"/>
          </w:tcPr>
          <w:p w14:paraId="3026C1B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692" w:type="dxa"/>
            <w:vMerge w:val="continue"/>
            <w:tcBorders>
              <w:left w:val="single" w:color="000000" w:sz="4" w:space="0"/>
              <w:right w:val="single" w:color="000000" w:sz="4" w:space="0"/>
            </w:tcBorders>
            <w:shd w:val="clear" w:color="auto" w:fill="auto"/>
            <w:vAlign w:val="center"/>
          </w:tcPr>
          <w:p w14:paraId="2029E22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1174" w:type="dxa"/>
            <w:vMerge w:val="continue"/>
            <w:tcBorders>
              <w:left w:val="single" w:color="000000" w:sz="4" w:space="0"/>
              <w:right w:val="single" w:color="000000" w:sz="4" w:space="0"/>
            </w:tcBorders>
            <w:shd w:val="clear" w:color="auto" w:fill="auto"/>
            <w:vAlign w:val="center"/>
          </w:tcPr>
          <w:p w14:paraId="013180F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1178" w:type="dxa"/>
            <w:vMerge w:val="continue"/>
            <w:tcBorders>
              <w:left w:val="single" w:color="000000" w:sz="4" w:space="0"/>
              <w:right w:val="single" w:color="000000" w:sz="4" w:space="0"/>
            </w:tcBorders>
            <w:shd w:val="clear" w:color="auto" w:fill="auto"/>
            <w:vAlign w:val="center"/>
          </w:tcPr>
          <w:p w14:paraId="1356522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472" w:type="dxa"/>
            <w:vMerge w:val="continue"/>
            <w:tcBorders>
              <w:left w:val="single" w:color="000000" w:sz="4" w:space="0"/>
              <w:right w:val="single" w:color="000000" w:sz="4" w:space="0"/>
            </w:tcBorders>
            <w:shd w:val="clear" w:color="auto" w:fill="auto"/>
            <w:vAlign w:val="center"/>
          </w:tcPr>
          <w:p w14:paraId="6204200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9291" w:type="dxa"/>
            <w:vMerge w:val="continue"/>
            <w:tcBorders>
              <w:left w:val="single" w:color="000000" w:sz="4" w:space="0"/>
              <w:right w:val="single" w:color="000000" w:sz="4" w:space="0"/>
            </w:tcBorders>
            <w:shd w:val="clear" w:color="auto" w:fill="auto"/>
            <w:vAlign w:val="center"/>
          </w:tcPr>
          <w:p w14:paraId="248F9D6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626" w:type="dxa"/>
            <w:vMerge w:val="continue"/>
            <w:tcBorders>
              <w:left w:val="single" w:color="000000" w:sz="4" w:space="0"/>
              <w:right w:val="single" w:color="000000" w:sz="4" w:space="0"/>
            </w:tcBorders>
            <w:shd w:val="clear" w:color="auto" w:fill="auto"/>
            <w:vAlign w:val="center"/>
          </w:tcPr>
          <w:p w14:paraId="1C72FA8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r>
      <w:tr w14:paraId="62502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310" w:hRule="atLeast"/>
        </w:trPr>
        <w:tc>
          <w:tcPr>
            <w:tcW w:w="423" w:type="dxa"/>
            <w:vMerge w:val="continue"/>
            <w:tcBorders>
              <w:left w:val="single" w:color="000000" w:sz="4" w:space="0"/>
              <w:right w:val="single" w:color="000000" w:sz="4" w:space="0"/>
            </w:tcBorders>
            <w:shd w:val="clear" w:color="auto" w:fill="auto"/>
            <w:vAlign w:val="center"/>
          </w:tcPr>
          <w:p w14:paraId="1C83165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1422" w:type="dxa"/>
            <w:vMerge w:val="continue"/>
            <w:tcBorders>
              <w:left w:val="single" w:color="000000" w:sz="4" w:space="0"/>
              <w:right w:val="single" w:color="000000" w:sz="4" w:space="0"/>
            </w:tcBorders>
            <w:shd w:val="clear" w:color="auto" w:fill="auto"/>
            <w:vAlign w:val="center"/>
          </w:tcPr>
          <w:p w14:paraId="11BCBD8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F3DBD">
            <w:pPr>
              <w:keepNext w:val="0"/>
              <w:keepLines w:val="0"/>
              <w:widowControl/>
              <w:suppressLineNumbers w:val="0"/>
              <w:jc w:val="left"/>
              <w:textAlignment w:val="center"/>
              <w:rPr>
                <w:rFonts w:hint="eastAsia" w:ascii="仿宋" w:hAnsi="仿宋" w:eastAsia="仿宋" w:cs="仿宋"/>
                <w:i w:val="0"/>
                <w:iCs w:val="0"/>
                <w:color w:val="000000"/>
                <w:sz w:val="12"/>
                <w:szCs w:val="12"/>
                <w:u w:val="none"/>
                <w:lang w:eastAsia="zh-CN"/>
              </w:rPr>
            </w:pPr>
            <w:r>
              <w:rPr>
                <w:rFonts w:hint="eastAsia" w:ascii="仿宋" w:hAnsi="仿宋" w:eastAsia="仿宋" w:cs="仿宋"/>
                <w:i w:val="0"/>
                <w:iCs w:val="0"/>
                <w:color w:val="000000"/>
                <w:sz w:val="12"/>
                <w:szCs w:val="12"/>
                <w:u w:val="none"/>
                <w:lang w:eastAsia="zh-CN"/>
              </w:rPr>
              <w:t>未对危大工程施工实施专项巡视检查的</w:t>
            </w:r>
          </w:p>
        </w:tc>
        <w:tc>
          <w:tcPr>
            <w:tcW w:w="557" w:type="dxa"/>
            <w:vMerge w:val="continue"/>
            <w:tcBorders>
              <w:left w:val="single" w:color="000000" w:sz="4" w:space="0"/>
              <w:right w:val="single" w:color="000000" w:sz="4" w:space="0"/>
            </w:tcBorders>
            <w:shd w:val="clear" w:color="auto" w:fill="auto"/>
            <w:vAlign w:val="center"/>
          </w:tcPr>
          <w:p w14:paraId="531FF04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2336" w:type="dxa"/>
            <w:vMerge w:val="continue"/>
            <w:tcBorders>
              <w:left w:val="single" w:color="000000" w:sz="4" w:space="0"/>
              <w:right w:val="single" w:color="000000" w:sz="4" w:space="0"/>
            </w:tcBorders>
            <w:shd w:val="clear" w:color="auto" w:fill="auto"/>
            <w:vAlign w:val="center"/>
          </w:tcPr>
          <w:p w14:paraId="146E4B0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814" w:type="dxa"/>
            <w:vMerge w:val="continue"/>
            <w:tcBorders>
              <w:left w:val="single" w:color="000000" w:sz="4" w:space="0"/>
              <w:right w:val="single" w:color="000000" w:sz="4" w:space="0"/>
            </w:tcBorders>
            <w:shd w:val="clear" w:color="auto" w:fill="auto"/>
            <w:vAlign w:val="center"/>
          </w:tcPr>
          <w:p w14:paraId="3B59491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831" w:type="dxa"/>
            <w:vMerge w:val="continue"/>
            <w:tcBorders>
              <w:left w:val="single" w:color="000000" w:sz="4" w:space="0"/>
              <w:right w:val="single" w:color="000000" w:sz="4" w:space="0"/>
            </w:tcBorders>
            <w:shd w:val="clear" w:color="auto" w:fill="auto"/>
            <w:vAlign w:val="center"/>
          </w:tcPr>
          <w:p w14:paraId="172C74E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536" w:type="dxa"/>
            <w:vMerge w:val="continue"/>
            <w:tcBorders>
              <w:left w:val="single" w:color="000000" w:sz="4" w:space="0"/>
              <w:right w:val="single" w:color="000000" w:sz="4" w:space="0"/>
            </w:tcBorders>
            <w:shd w:val="clear" w:color="auto" w:fill="auto"/>
            <w:vAlign w:val="center"/>
          </w:tcPr>
          <w:p w14:paraId="501DD83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900" w:type="dxa"/>
            <w:vMerge w:val="continue"/>
            <w:tcBorders>
              <w:left w:val="single" w:color="000000" w:sz="4" w:space="0"/>
              <w:right w:val="single" w:color="000000" w:sz="4" w:space="0"/>
            </w:tcBorders>
            <w:shd w:val="clear" w:color="auto" w:fill="auto"/>
            <w:vAlign w:val="center"/>
          </w:tcPr>
          <w:p w14:paraId="56BD9DD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692" w:type="dxa"/>
            <w:vMerge w:val="continue"/>
            <w:tcBorders>
              <w:left w:val="single" w:color="000000" w:sz="4" w:space="0"/>
              <w:right w:val="single" w:color="000000" w:sz="4" w:space="0"/>
            </w:tcBorders>
            <w:shd w:val="clear" w:color="auto" w:fill="auto"/>
            <w:vAlign w:val="center"/>
          </w:tcPr>
          <w:p w14:paraId="30EEF53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1174" w:type="dxa"/>
            <w:vMerge w:val="continue"/>
            <w:tcBorders>
              <w:left w:val="single" w:color="000000" w:sz="4" w:space="0"/>
              <w:right w:val="single" w:color="000000" w:sz="4" w:space="0"/>
            </w:tcBorders>
            <w:shd w:val="clear" w:color="auto" w:fill="auto"/>
            <w:vAlign w:val="center"/>
          </w:tcPr>
          <w:p w14:paraId="3DEEA33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1178" w:type="dxa"/>
            <w:vMerge w:val="continue"/>
            <w:tcBorders>
              <w:left w:val="single" w:color="000000" w:sz="4" w:space="0"/>
              <w:right w:val="single" w:color="000000" w:sz="4" w:space="0"/>
            </w:tcBorders>
            <w:shd w:val="clear" w:color="auto" w:fill="auto"/>
            <w:vAlign w:val="center"/>
          </w:tcPr>
          <w:p w14:paraId="4CBBF36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472" w:type="dxa"/>
            <w:vMerge w:val="continue"/>
            <w:tcBorders>
              <w:left w:val="single" w:color="000000" w:sz="4" w:space="0"/>
              <w:right w:val="single" w:color="000000" w:sz="4" w:space="0"/>
            </w:tcBorders>
            <w:shd w:val="clear" w:color="auto" w:fill="auto"/>
            <w:vAlign w:val="center"/>
          </w:tcPr>
          <w:p w14:paraId="6C36AC4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9291" w:type="dxa"/>
            <w:vMerge w:val="continue"/>
            <w:tcBorders>
              <w:left w:val="single" w:color="000000" w:sz="4" w:space="0"/>
              <w:right w:val="single" w:color="000000" w:sz="4" w:space="0"/>
            </w:tcBorders>
            <w:shd w:val="clear" w:color="auto" w:fill="auto"/>
            <w:vAlign w:val="center"/>
          </w:tcPr>
          <w:p w14:paraId="52481A8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626" w:type="dxa"/>
            <w:vMerge w:val="continue"/>
            <w:tcBorders>
              <w:left w:val="single" w:color="000000" w:sz="4" w:space="0"/>
              <w:right w:val="single" w:color="000000" w:sz="4" w:space="0"/>
            </w:tcBorders>
            <w:shd w:val="clear" w:color="auto" w:fill="auto"/>
            <w:vAlign w:val="center"/>
          </w:tcPr>
          <w:p w14:paraId="781129F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r>
      <w:tr w14:paraId="3DEFA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310" w:hRule="atLeast"/>
        </w:trPr>
        <w:tc>
          <w:tcPr>
            <w:tcW w:w="423" w:type="dxa"/>
            <w:vMerge w:val="continue"/>
            <w:tcBorders>
              <w:left w:val="single" w:color="000000" w:sz="4" w:space="0"/>
              <w:right w:val="single" w:color="000000" w:sz="4" w:space="0"/>
            </w:tcBorders>
            <w:shd w:val="clear" w:color="auto" w:fill="auto"/>
            <w:vAlign w:val="center"/>
          </w:tcPr>
          <w:p w14:paraId="17D4ABA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1422" w:type="dxa"/>
            <w:vMerge w:val="continue"/>
            <w:tcBorders>
              <w:left w:val="single" w:color="000000" w:sz="4" w:space="0"/>
              <w:right w:val="single" w:color="000000" w:sz="4" w:space="0"/>
            </w:tcBorders>
            <w:shd w:val="clear" w:color="auto" w:fill="auto"/>
            <w:vAlign w:val="center"/>
          </w:tcPr>
          <w:p w14:paraId="75571CA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8D3B3">
            <w:pPr>
              <w:keepNext w:val="0"/>
              <w:keepLines w:val="0"/>
              <w:widowControl/>
              <w:suppressLineNumbers w:val="0"/>
              <w:jc w:val="left"/>
              <w:textAlignment w:val="center"/>
              <w:rPr>
                <w:rFonts w:hint="eastAsia" w:ascii="仿宋" w:hAnsi="仿宋" w:eastAsia="仿宋" w:cs="仿宋"/>
                <w:i w:val="0"/>
                <w:iCs w:val="0"/>
                <w:color w:val="000000"/>
                <w:sz w:val="12"/>
                <w:szCs w:val="12"/>
                <w:u w:val="none"/>
                <w:lang w:eastAsia="zh-CN"/>
              </w:rPr>
            </w:pPr>
            <w:r>
              <w:rPr>
                <w:rFonts w:hint="eastAsia" w:ascii="仿宋" w:hAnsi="仿宋" w:eastAsia="仿宋" w:cs="仿宋"/>
                <w:i w:val="0"/>
                <w:iCs w:val="0"/>
                <w:color w:val="000000"/>
                <w:sz w:val="12"/>
                <w:szCs w:val="12"/>
                <w:u w:val="none"/>
                <w:lang w:eastAsia="zh-CN"/>
              </w:rPr>
              <w:t>未按照本规定参与组织危大工程验收的</w:t>
            </w:r>
          </w:p>
        </w:tc>
        <w:tc>
          <w:tcPr>
            <w:tcW w:w="557" w:type="dxa"/>
            <w:vMerge w:val="continue"/>
            <w:tcBorders>
              <w:left w:val="single" w:color="000000" w:sz="4" w:space="0"/>
              <w:right w:val="single" w:color="000000" w:sz="4" w:space="0"/>
            </w:tcBorders>
            <w:shd w:val="clear" w:color="auto" w:fill="auto"/>
            <w:vAlign w:val="center"/>
          </w:tcPr>
          <w:p w14:paraId="4B7DE40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2336" w:type="dxa"/>
            <w:vMerge w:val="continue"/>
            <w:tcBorders>
              <w:left w:val="single" w:color="000000" w:sz="4" w:space="0"/>
              <w:right w:val="single" w:color="000000" w:sz="4" w:space="0"/>
            </w:tcBorders>
            <w:shd w:val="clear" w:color="auto" w:fill="auto"/>
            <w:vAlign w:val="center"/>
          </w:tcPr>
          <w:p w14:paraId="4A739BB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814" w:type="dxa"/>
            <w:vMerge w:val="continue"/>
            <w:tcBorders>
              <w:left w:val="single" w:color="000000" w:sz="4" w:space="0"/>
              <w:right w:val="single" w:color="000000" w:sz="4" w:space="0"/>
            </w:tcBorders>
            <w:shd w:val="clear" w:color="auto" w:fill="auto"/>
            <w:vAlign w:val="center"/>
          </w:tcPr>
          <w:p w14:paraId="5365B70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831" w:type="dxa"/>
            <w:vMerge w:val="continue"/>
            <w:tcBorders>
              <w:left w:val="single" w:color="000000" w:sz="4" w:space="0"/>
              <w:right w:val="single" w:color="000000" w:sz="4" w:space="0"/>
            </w:tcBorders>
            <w:shd w:val="clear" w:color="auto" w:fill="auto"/>
            <w:vAlign w:val="center"/>
          </w:tcPr>
          <w:p w14:paraId="1FE24F1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536" w:type="dxa"/>
            <w:vMerge w:val="continue"/>
            <w:tcBorders>
              <w:left w:val="single" w:color="000000" w:sz="4" w:space="0"/>
              <w:right w:val="single" w:color="000000" w:sz="4" w:space="0"/>
            </w:tcBorders>
            <w:shd w:val="clear" w:color="auto" w:fill="auto"/>
            <w:vAlign w:val="center"/>
          </w:tcPr>
          <w:p w14:paraId="7D12979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900" w:type="dxa"/>
            <w:vMerge w:val="continue"/>
            <w:tcBorders>
              <w:left w:val="single" w:color="000000" w:sz="4" w:space="0"/>
              <w:right w:val="single" w:color="000000" w:sz="4" w:space="0"/>
            </w:tcBorders>
            <w:shd w:val="clear" w:color="auto" w:fill="auto"/>
            <w:vAlign w:val="center"/>
          </w:tcPr>
          <w:p w14:paraId="34920AA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692" w:type="dxa"/>
            <w:vMerge w:val="continue"/>
            <w:tcBorders>
              <w:left w:val="single" w:color="000000" w:sz="4" w:space="0"/>
              <w:right w:val="single" w:color="000000" w:sz="4" w:space="0"/>
            </w:tcBorders>
            <w:shd w:val="clear" w:color="auto" w:fill="auto"/>
            <w:vAlign w:val="center"/>
          </w:tcPr>
          <w:p w14:paraId="44562F0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1174" w:type="dxa"/>
            <w:vMerge w:val="continue"/>
            <w:tcBorders>
              <w:left w:val="single" w:color="000000" w:sz="4" w:space="0"/>
              <w:right w:val="single" w:color="000000" w:sz="4" w:space="0"/>
            </w:tcBorders>
            <w:shd w:val="clear" w:color="auto" w:fill="auto"/>
            <w:vAlign w:val="center"/>
          </w:tcPr>
          <w:p w14:paraId="63454B7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1178" w:type="dxa"/>
            <w:vMerge w:val="continue"/>
            <w:tcBorders>
              <w:left w:val="single" w:color="000000" w:sz="4" w:space="0"/>
              <w:right w:val="single" w:color="000000" w:sz="4" w:space="0"/>
            </w:tcBorders>
            <w:shd w:val="clear" w:color="auto" w:fill="auto"/>
            <w:vAlign w:val="center"/>
          </w:tcPr>
          <w:p w14:paraId="122DD6C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472" w:type="dxa"/>
            <w:vMerge w:val="continue"/>
            <w:tcBorders>
              <w:left w:val="single" w:color="000000" w:sz="4" w:space="0"/>
              <w:right w:val="single" w:color="000000" w:sz="4" w:space="0"/>
            </w:tcBorders>
            <w:shd w:val="clear" w:color="auto" w:fill="auto"/>
            <w:vAlign w:val="center"/>
          </w:tcPr>
          <w:p w14:paraId="5E49EC0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9291" w:type="dxa"/>
            <w:vMerge w:val="continue"/>
            <w:tcBorders>
              <w:left w:val="single" w:color="000000" w:sz="4" w:space="0"/>
              <w:right w:val="single" w:color="000000" w:sz="4" w:space="0"/>
            </w:tcBorders>
            <w:shd w:val="clear" w:color="auto" w:fill="auto"/>
            <w:vAlign w:val="center"/>
          </w:tcPr>
          <w:p w14:paraId="349E607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626" w:type="dxa"/>
            <w:vMerge w:val="continue"/>
            <w:tcBorders>
              <w:left w:val="single" w:color="000000" w:sz="4" w:space="0"/>
              <w:right w:val="single" w:color="000000" w:sz="4" w:space="0"/>
            </w:tcBorders>
            <w:shd w:val="clear" w:color="auto" w:fill="auto"/>
            <w:vAlign w:val="center"/>
          </w:tcPr>
          <w:p w14:paraId="73EBB79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r>
      <w:tr w14:paraId="2D285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310" w:hRule="atLeast"/>
        </w:trPr>
        <w:tc>
          <w:tcPr>
            <w:tcW w:w="423" w:type="dxa"/>
            <w:vMerge w:val="continue"/>
            <w:tcBorders>
              <w:left w:val="single" w:color="000000" w:sz="4" w:space="0"/>
              <w:bottom w:val="single" w:color="000000" w:sz="4" w:space="0"/>
              <w:right w:val="single" w:color="000000" w:sz="4" w:space="0"/>
            </w:tcBorders>
            <w:shd w:val="clear" w:color="auto" w:fill="auto"/>
            <w:vAlign w:val="center"/>
          </w:tcPr>
          <w:p w14:paraId="5CFD764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1422" w:type="dxa"/>
            <w:vMerge w:val="continue"/>
            <w:tcBorders>
              <w:left w:val="single" w:color="000000" w:sz="4" w:space="0"/>
              <w:bottom w:val="single" w:color="000000" w:sz="4" w:space="0"/>
              <w:right w:val="single" w:color="000000" w:sz="4" w:space="0"/>
            </w:tcBorders>
            <w:shd w:val="clear" w:color="auto" w:fill="auto"/>
            <w:vAlign w:val="center"/>
          </w:tcPr>
          <w:p w14:paraId="4E374D9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EE1E8">
            <w:pPr>
              <w:keepNext w:val="0"/>
              <w:keepLines w:val="0"/>
              <w:widowControl/>
              <w:suppressLineNumbers w:val="0"/>
              <w:jc w:val="left"/>
              <w:textAlignment w:val="center"/>
              <w:rPr>
                <w:rFonts w:hint="eastAsia" w:ascii="仿宋" w:hAnsi="仿宋" w:eastAsia="仿宋" w:cs="仿宋"/>
                <w:i w:val="0"/>
                <w:iCs w:val="0"/>
                <w:color w:val="000000"/>
                <w:sz w:val="12"/>
                <w:szCs w:val="12"/>
                <w:u w:val="none"/>
                <w:lang w:eastAsia="zh-CN"/>
              </w:rPr>
            </w:pPr>
            <w:r>
              <w:rPr>
                <w:rFonts w:hint="eastAsia" w:ascii="仿宋" w:hAnsi="仿宋" w:eastAsia="仿宋" w:cs="仿宋"/>
                <w:i w:val="0"/>
                <w:iCs w:val="0"/>
                <w:color w:val="000000"/>
                <w:sz w:val="12"/>
                <w:szCs w:val="12"/>
                <w:u w:val="none"/>
                <w:lang w:eastAsia="zh-CN"/>
              </w:rPr>
              <w:t>未按照本规定建立危大工程安全管理档案的</w:t>
            </w:r>
          </w:p>
        </w:tc>
        <w:tc>
          <w:tcPr>
            <w:tcW w:w="557" w:type="dxa"/>
            <w:vMerge w:val="continue"/>
            <w:tcBorders>
              <w:left w:val="single" w:color="000000" w:sz="4" w:space="0"/>
              <w:bottom w:val="single" w:color="000000" w:sz="4" w:space="0"/>
              <w:right w:val="single" w:color="000000" w:sz="4" w:space="0"/>
            </w:tcBorders>
            <w:shd w:val="clear" w:color="auto" w:fill="auto"/>
            <w:vAlign w:val="center"/>
          </w:tcPr>
          <w:p w14:paraId="113C55E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2336" w:type="dxa"/>
            <w:vMerge w:val="continue"/>
            <w:tcBorders>
              <w:left w:val="single" w:color="000000" w:sz="4" w:space="0"/>
              <w:bottom w:val="single" w:color="000000" w:sz="4" w:space="0"/>
              <w:right w:val="single" w:color="000000" w:sz="4" w:space="0"/>
            </w:tcBorders>
            <w:shd w:val="clear" w:color="auto" w:fill="auto"/>
            <w:vAlign w:val="center"/>
          </w:tcPr>
          <w:p w14:paraId="2AD09E0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814" w:type="dxa"/>
            <w:vMerge w:val="continue"/>
            <w:tcBorders>
              <w:left w:val="single" w:color="000000" w:sz="4" w:space="0"/>
              <w:bottom w:val="single" w:color="000000" w:sz="4" w:space="0"/>
              <w:right w:val="single" w:color="000000" w:sz="4" w:space="0"/>
            </w:tcBorders>
            <w:shd w:val="clear" w:color="auto" w:fill="auto"/>
            <w:vAlign w:val="center"/>
          </w:tcPr>
          <w:p w14:paraId="104EB16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831" w:type="dxa"/>
            <w:vMerge w:val="continue"/>
            <w:tcBorders>
              <w:left w:val="single" w:color="000000" w:sz="4" w:space="0"/>
              <w:bottom w:val="single" w:color="000000" w:sz="4" w:space="0"/>
              <w:right w:val="single" w:color="000000" w:sz="4" w:space="0"/>
            </w:tcBorders>
            <w:shd w:val="clear" w:color="auto" w:fill="auto"/>
            <w:vAlign w:val="center"/>
          </w:tcPr>
          <w:p w14:paraId="5720159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536" w:type="dxa"/>
            <w:vMerge w:val="continue"/>
            <w:tcBorders>
              <w:left w:val="single" w:color="000000" w:sz="4" w:space="0"/>
              <w:bottom w:val="single" w:color="000000" w:sz="4" w:space="0"/>
              <w:right w:val="single" w:color="000000" w:sz="4" w:space="0"/>
            </w:tcBorders>
            <w:shd w:val="clear" w:color="auto" w:fill="auto"/>
            <w:vAlign w:val="center"/>
          </w:tcPr>
          <w:p w14:paraId="24D4625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900" w:type="dxa"/>
            <w:vMerge w:val="continue"/>
            <w:tcBorders>
              <w:left w:val="single" w:color="000000" w:sz="4" w:space="0"/>
              <w:bottom w:val="single" w:color="000000" w:sz="4" w:space="0"/>
              <w:right w:val="single" w:color="000000" w:sz="4" w:space="0"/>
            </w:tcBorders>
            <w:shd w:val="clear" w:color="auto" w:fill="auto"/>
            <w:vAlign w:val="center"/>
          </w:tcPr>
          <w:p w14:paraId="6709CDB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692" w:type="dxa"/>
            <w:vMerge w:val="continue"/>
            <w:tcBorders>
              <w:left w:val="single" w:color="000000" w:sz="4" w:space="0"/>
              <w:bottom w:val="single" w:color="000000" w:sz="4" w:space="0"/>
              <w:right w:val="single" w:color="000000" w:sz="4" w:space="0"/>
            </w:tcBorders>
            <w:shd w:val="clear" w:color="auto" w:fill="auto"/>
            <w:vAlign w:val="center"/>
          </w:tcPr>
          <w:p w14:paraId="218D17E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1174" w:type="dxa"/>
            <w:vMerge w:val="continue"/>
            <w:tcBorders>
              <w:left w:val="single" w:color="000000" w:sz="4" w:space="0"/>
              <w:bottom w:val="single" w:color="000000" w:sz="4" w:space="0"/>
              <w:right w:val="single" w:color="000000" w:sz="4" w:space="0"/>
            </w:tcBorders>
            <w:shd w:val="clear" w:color="auto" w:fill="auto"/>
            <w:vAlign w:val="center"/>
          </w:tcPr>
          <w:p w14:paraId="142E2CA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1178" w:type="dxa"/>
            <w:vMerge w:val="continue"/>
            <w:tcBorders>
              <w:left w:val="single" w:color="000000" w:sz="4" w:space="0"/>
              <w:bottom w:val="single" w:color="000000" w:sz="4" w:space="0"/>
              <w:right w:val="single" w:color="000000" w:sz="4" w:space="0"/>
            </w:tcBorders>
            <w:shd w:val="clear" w:color="auto" w:fill="auto"/>
            <w:vAlign w:val="center"/>
          </w:tcPr>
          <w:p w14:paraId="31CD811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472" w:type="dxa"/>
            <w:vMerge w:val="continue"/>
            <w:tcBorders>
              <w:left w:val="single" w:color="000000" w:sz="4" w:space="0"/>
              <w:bottom w:val="single" w:color="000000" w:sz="4" w:space="0"/>
              <w:right w:val="single" w:color="000000" w:sz="4" w:space="0"/>
            </w:tcBorders>
            <w:shd w:val="clear" w:color="auto" w:fill="auto"/>
            <w:vAlign w:val="center"/>
          </w:tcPr>
          <w:p w14:paraId="6E4CC33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9291" w:type="dxa"/>
            <w:vMerge w:val="continue"/>
            <w:tcBorders>
              <w:left w:val="single" w:color="000000" w:sz="4" w:space="0"/>
              <w:bottom w:val="single" w:color="000000" w:sz="4" w:space="0"/>
              <w:right w:val="single" w:color="000000" w:sz="4" w:space="0"/>
            </w:tcBorders>
            <w:shd w:val="clear" w:color="auto" w:fill="auto"/>
            <w:vAlign w:val="center"/>
          </w:tcPr>
          <w:p w14:paraId="294AFAB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626" w:type="dxa"/>
            <w:vMerge w:val="continue"/>
            <w:tcBorders>
              <w:left w:val="single" w:color="000000" w:sz="4" w:space="0"/>
              <w:bottom w:val="single" w:color="000000" w:sz="4" w:space="0"/>
              <w:right w:val="single" w:color="000000" w:sz="4" w:space="0"/>
            </w:tcBorders>
            <w:shd w:val="clear" w:color="auto" w:fill="auto"/>
            <w:vAlign w:val="center"/>
          </w:tcPr>
          <w:p w14:paraId="36EBB87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r>
      <w:tr w14:paraId="18994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245" w:hRule="atLeast"/>
        </w:trPr>
        <w:tc>
          <w:tcPr>
            <w:tcW w:w="423" w:type="dxa"/>
            <w:vMerge w:val="restart"/>
            <w:tcBorders>
              <w:top w:val="single" w:color="000000" w:sz="4" w:space="0"/>
              <w:left w:val="single" w:color="000000" w:sz="4" w:space="0"/>
              <w:right w:val="single" w:color="000000" w:sz="4" w:space="0"/>
            </w:tcBorders>
            <w:shd w:val="clear" w:color="auto" w:fill="auto"/>
            <w:vAlign w:val="center"/>
          </w:tcPr>
          <w:p w14:paraId="0D58C95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81</w:t>
            </w:r>
          </w:p>
        </w:tc>
        <w:tc>
          <w:tcPr>
            <w:tcW w:w="1422" w:type="dxa"/>
            <w:vMerge w:val="restart"/>
            <w:tcBorders>
              <w:top w:val="single" w:color="000000" w:sz="4" w:space="0"/>
              <w:left w:val="single" w:color="000000" w:sz="4" w:space="0"/>
              <w:right w:val="single" w:color="000000" w:sz="4" w:space="0"/>
            </w:tcBorders>
            <w:shd w:val="clear" w:color="auto" w:fill="auto"/>
            <w:vAlign w:val="center"/>
          </w:tcPr>
          <w:p w14:paraId="5ABED97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对监测单位违反《危险性较大的分部分项工程安全管理规定》的处罚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5487F">
            <w:pPr>
              <w:keepNext w:val="0"/>
              <w:keepLines w:val="0"/>
              <w:widowControl/>
              <w:suppressLineNumbers w:val="0"/>
              <w:jc w:val="left"/>
              <w:textAlignment w:val="center"/>
              <w:rPr>
                <w:rFonts w:hint="eastAsia" w:ascii="仿宋" w:hAnsi="仿宋" w:eastAsia="仿宋" w:cs="仿宋"/>
                <w:i w:val="0"/>
                <w:iCs w:val="0"/>
                <w:color w:val="000000"/>
                <w:sz w:val="12"/>
                <w:szCs w:val="12"/>
                <w:u w:val="none"/>
                <w:lang w:eastAsia="zh-CN"/>
              </w:rPr>
            </w:pPr>
            <w:r>
              <w:rPr>
                <w:rFonts w:hint="eastAsia" w:ascii="仿宋" w:hAnsi="仿宋" w:eastAsia="仿宋" w:cs="仿宋"/>
                <w:i w:val="0"/>
                <w:iCs w:val="0"/>
                <w:color w:val="000000"/>
                <w:sz w:val="12"/>
                <w:szCs w:val="12"/>
                <w:u w:val="none"/>
                <w:lang w:eastAsia="zh-CN"/>
              </w:rPr>
              <w:t>未取得相应勘察资质从事第三方监测的</w:t>
            </w:r>
          </w:p>
        </w:tc>
        <w:tc>
          <w:tcPr>
            <w:tcW w:w="557" w:type="dxa"/>
            <w:vMerge w:val="restart"/>
            <w:tcBorders>
              <w:top w:val="single" w:color="000000" w:sz="4" w:space="0"/>
              <w:left w:val="single" w:color="000000" w:sz="4" w:space="0"/>
              <w:right w:val="single" w:color="000000" w:sz="4" w:space="0"/>
            </w:tcBorders>
            <w:shd w:val="clear" w:color="auto" w:fill="auto"/>
            <w:vAlign w:val="center"/>
          </w:tcPr>
          <w:p w14:paraId="46F35486">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vMerge w:val="restart"/>
            <w:tcBorders>
              <w:top w:val="single" w:color="000000" w:sz="4" w:space="0"/>
              <w:left w:val="single" w:color="000000" w:sz="4" w:space="0"/>
              <w:right w:val="single" w:color="000000" w:sz="4" w:space="0"/>
            </w:tcBorders>
            <w:shd w:val="clear" w:color="auto" w:fill="auto"/>
            <w:vAlign w:val="center"/>
          </w:tcPr>
          <w:p w14:paraId="2F6D754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【规章】《危险性较大的分部分项工程安全管理规定》（2018年3月8日住房和城乡建设部令第37号）</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第三十八条监测单位有下列行为之一的，责令限期改正，并处1万元以上3万元以下的罚款；对直接负责的主管人员和其他直接责任人员处1000元以上5000元以下的罚款：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（一）未取得相应勘察资质从事第三方监测的；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（二）未按照本规定编制监测方案的；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（三）未按照监测方案开展监测的；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（四）发现异常未及时报告的。</w:t>
            </w:r>
          </w:p>
        </w:tc>
        <w:tc>
          <w:tcPr>
            <w:tcW w:w="814" w:type="dxa"/>
            <w:vMerge w:val="restart"/>
            <w:tcBorders>
              <w:top w:val="single" w:color="000000" w:sz="4" w:space="0"/>
              <w:left w:val="single" w:color="000000" w:sz="4" w:space="0"/>
              <w:right w:val="single" w:color="000000" w:sz="4" w:space="0"/>
            </w:tcBorders>
            <w:shd w:val="clear" w:color="auto" w:fill="auto"/>
            <w:vAlign w:val="center"/>
          </w:tcPr>
          <w:p w14:paraId="25635EBD">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vMerge w:val="restart"/>
            <w:tcBorders>
              <w:top w:val="single" w:color="000000" w:sz="4" w:space="0"/>
              <w:left w:val="single" w:color="000000" w:sz="4" w:space="0"/>
              <w:right w:val="single" w:color="000000" w:sz="4" w:space="0"/>
            </w:tcBorders>
            <w:shd w:val="clear" w:color="auto" w:fill="auto"/>
            <w:vAlign w:val="center"/>
          </w:tcPr>
          <w:p w14:paraId="1E39ABAB">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vMerge w:val="restart"/>
            <w:tcBorders>
              <w:top w:val="single" w:color="000000" w:sz="4" w:space="0"/>
              <w:left w:val="single" w:color="000000" w:sz="4" w:space="0"/>
              <w:right w:val="single" w:color="000000" w:sz="4" w:space="0"/>
            </w:tcBorders>
            <w:shd w:val="clear" w:color="auto" w:fill="auto"/>
            <w:vAlign w:val="center"/>
          </w:tcPr>
          <w:p w14:paraId="6CEB03F6">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vMerge w:val="restart"/>
            <w:tcBorders>
              <w:top w:val="single" w:color="000000" w:sz="4" w:space="0"/>
              <w:left w:val="single" w:color="000000" w:sz="4" w:space="0"/>
              <w:right w:val="single" w:color="000000" w:sz="4" w:space="0"/>
            </w:tcBorders>
            <w:shd w:val="clear" w:color="auto" w:fill="auto"/>
            <w:vAlign w:val="center"/>
          </w:tcPr>
          <w:p w14:paraId="59ED8B6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vMerge w:val="restart"/>
            <w:tcBorders>
              <w:top w:val="single" w:color="000000" w:sz="4" w:space="0"/>
              <w:left w:val="single" w:color="000000" w:sz="4" w:space="0"/>
              <w:right w:val="single" w:color="000000" w:sz="4" w:space="0"/>
            </w:tcBorders>
            <w:shd w:val="clear" w:color="auto" w:fill="auto"/>
            <w:vAlign w:val="center"/>
          </w:tcPr>
          <w:p w14:paraId="16EFC48E">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vMerge w:val="restart"/>
            <w:tcBorders>
              <w:top w:val="single" w:color="000000" w:sz="4" w:space="0"/>
              <w:left w:val="single" w:color="000000" w:sz="4" w:space="0"/>
              <w:right w:val="single" w:color="000000" w:sz="4" w:space="0"/>
            </w:tcBorders>
            <w:shd w:val="clear" w:color="auto" w:fill="auto"/>
            <w:vAlign w:val="center"/>
          </w:tcPr>
          <w:p w14:paraId="015B362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vMerge w:val="restart"/>
            <w:tcBorders>
              <w:top w:val="single" w:color="000000" w:sz="4" w:space="0"/>
              <w:left w:val="single" w:color="000000" w:sz="4" w:space="0"/>
              <w:right w:val="single" w:color="000000" w:sz="4" w:space="0"/>
            </w:tcBorders>
            <w:shd w:val="clear" w:color="auto" w:fill="auto"/>
            <w:vAlign w:val="center"/>
          </w:tcPr>
          <w:p w14:paraId="3A482E7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vMerge w:val="restart"/>
            <w:tcBorders>
              <w:top w:val="single" w:color="000000" w:sz="4" w:space="0"/>
              <w:left w:val="single" w:color="000000" w:sz="4" w:space="0"/>
              <w:right w:val="single" w:color="000000" w:sz="4" w:space="0"/>
            </w:tcBorders>
            <w:shd w:val="clear" w:color="auto" w:fill="auto"/>
            <w:vAlign w:val="center"/>
          </w:tcPr>
          <w:p w14:paraId="0ADF218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vMerge w:val="restart"/>
            <w:tcBorders>
              <w:top w:val="single" w:color="000000" w:sz="4" w:space="0"/>
              <w:left w:val="single" w:color="000000" w:sz="4" w:space="0"/>
              <w:right w:val="single" w:color="000000" w:sz="4" w:space="0"/>
            </w:tcBorders>
            <w:shd w:val="clear" w:color="auto" w:fill="auto"/>
            <w:vAlign w:val="center"/>
          </w:tcPr>
          <w:p w14:paraId="58874F8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vMerge w:val="restart"/>
            <w:tcBorders>
              <w:top w:val="single" w:color="000000" w:sz="4" w:space="0"/>
              <w:left w:val="single" w:color="000000" w:sz="4" w:space="0"/>
              <w:right w:val="single" w:color="000000" w:sz="4" w:space="0"/>
            </w:tcBorders>
            <w:shd w:val="clear" w:color="auto" w:fill="auto"/>
            <w:vAlign w:val="center"/>
          </w:tcPr>
          <w:p w14:paraId="4018007E">
            <w:pPr>
              <w:jc w:val="center"/>
              <w:rPr>
                <w:rFonts w:hint="eastAsia" w:ascii="仿宋" w:hAnsi="仿宋" w:eastAsia="仿宋" w:cs="仿宋"/>
                <w:i w:val="0"/>
                <w:iCs w:val="0"/>
                <w:color w:val="000000"/>
                <w:sz w:val="12"/>
                <w:szCs w:val="12"/>
                <w:u w:val="none"/>
              </w:rPr>
            </w:pPr>
          </w:p>
        </w:tc>
      </w:tr>
      <w:tr w14:paraId="21E11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245" w:hRule="atLeast"/>
        </w:trPr>
        <w:tc>
          <w:tcPr>
            <w:tcW w:w="423" w:type="dxa"/>
            <w:vMerge w:val="continue"/>
            <w:tcBorders>
              <w:left w:val="single" w:color="000000" w:sz="4" w:space="0"/>
              <w:right w:val="single" w:color="000000" w:sz="4" w:space="0"/>
            </w:tcBorders>
            <w:shd w:val="clear" w:color="auto" w:fill="auto"/>
            <w:vAlign w:val="center"/>
          </w:tcPr>
          <w:p w14:paraId="54943777">
            <w:pPr>
              <w:keepNext w:val="0"/>
              <w:keepLines w:val="0"/>
              <w:widowControl/>
              <w:suppressLineNumbers w:val="0"/>
              <w:jc w:val="left"/>
              <w:textAlignment w:val="center"/>
            </w:pPr>
          </w:p>
        </w:tc>
        <w:tc>
          <w:tcPr>
            <w:tcW w:w="1422" w:type="dxa"/>
            <w:vMerge w:val="continue"/>
            <w:tcBorders>
              <w:left w:val="single" w:color="000000" w:sz="4" w:space="0"/>
              <w:right w:val="single" w:color="000000" w:sz="4" w:space="0"/>
            </w:tcBorders>
            <w:shd w:val="clear" w:color="auto" w:fill="auto"/>
            <w:vAlign w:val="center"/>
          </w:tcPr>
          <w:p w14:paraId="71163AD3">
            <w:pPr>
              <w:keepNext w:val="0"/>
              <w:keepLines w:val="0"/>
              <w:widowControl/>
              <w:suppressLineNumbers w:val="0"/>
              <w:jc w:val="left"/>
              <w:textAlignment w:val="cente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00C24">
            <w:pPr>
              <w:keepNext w:val="0"/>
              <w:keepLines w:val="0"/>
              <w:widowControl/>
              <w:suppressLineNumbers w:val="0"/>
              <w:jc w:val="left"/>
              <w:textAlignment w:val="center"/>
              <w:rPr>
                <w:rFonts w:hint="eastAsia" w:ascii="仿宋" w:hAnsi="仿宋" w:eastAsia="仿宋" w:cs="仿宋"/>
                <w:i w:val="0"/>
                <w:iCs w:val="0"/>
                <w:color w:val="000000"/>
                <w:sz w:val="12"/>
                <w:szCs w:val="12"/>
                <w:u w:val="none"/>
                <w:lang w:eastAsia="zh-CN"/>
              </w:rPr>
            </w:pPr>
            <w:r>
              <w:rPr>
                <w:rFonts w:hint="eastAsia" w:ascii="仿宋" w:hAnsi="仿宋" w:eastAsia="仿宋" w:cs="仿宋"/>
                <w:i w:val="0"/>
                <w:iCs w:val="0"/>
                <w:color w:val="000000"/>
                <w:sz w:val="12"/>
                <w:szCs w:val="12"/>
                <w:u w:val="none"/>
                <w:lang w:eastAsia="zh-CN"/>
              </w:rPr>
              <w:t>未按照本规定编制监测方案的</w:t>
            </w:r>
          </w:p>
        </w:tc>
        <w:tc>
          <w:tcPr>
            <w:tcW w:w="557" w:type="dxa"/>
            <w:vMerge w:val="continue"/>
            <w:tcBorders>
              <w:left w:val="single" w:color="000000" w:sz="4" w:space="0"/>
              <w:right w:val="single" w:color="000000" w:sz="4" w:space="0"/>
            </w:tcBorders>
            <w:shd w:val="clear" w:color="auto" w:fill="auto"/>
            <w:vAlign w:val="center"/>
          </w:tcPr>
          <w:p w14:paraId="10C69B4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2336" w:type="dxa"/>
            <w:vMerge w:val="continue"/>
            <w:tcBorders>
              <w:left w:val="single" w:color="000000" w:sz="4" w:space="0"/>
              <w:right w:val="single" w:color="000000" w:sz="4" w:space="0"/>
            </w:tcBorders>
            <w:shd w:val="clear" w:color="auto" w:fill="auto"/>
            <w:vAlign w:val="center"/>
          </w:tcPr>
          <w:p w14:paraId="0AEEA9B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814" w:type="dxa"/>
            <w:vMerge w:val="continue"/>
            <w:tcBorders>
              <w:left w:val="single" w:color="000000" w:sz="4" w:space="0"/>
              <w:right w:val="single" w:color="000000" w:sz="4" w:space="0"/>
            </w:tcBorders>
            <w:shd w:val="clear" w:color="auto" w:fill="auto"/>
            <w:vAlign w:val="center"/>
          </w:tcPr>
          <w:p w14:paraId="50204A9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831" w:type="dxa"/>
            <w:vMerge w:val="continue"/>
            <w:tcBorders>
              <w:left w:val="single" w:color="000000" w:sz="4" w:space="0"/>
              <w:right w:val="single" w:color="000000" w:sz="4" w:space="0"/>
            </w:tcBorders>
            <w:shd w:val="clear" w:color="auto" w:fill="auto"/>
            <w:vAlign w:val="center"/>
          </w:tcPr>
          <w:p w14:paraId="19E7D38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536" w:type="dxa"/>
            <w:vMerge w:val="continue"/>
            <w:tcBorders>
              <w:left w:val="single" w:color="000000" w:sz="4" w:space="0"/>
              <w:right w:val="single" w:color="000000" w:sz="4" w:space="0"/>
            </w:tcBorders>
            <w:shd w:val="clear" w:color="auto" w:fill="auto"/>
            <w:vAlign w:val="center"/>
          </w:tcPr>
          <w:p w14:paraId="33F8B14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900" w:type="dxa"/>
            <w:vMerge w:val="continue"/>
            <w:tcBorders>
              <w:left w:val="single" w:color="000000" w:sz="4" w:space="0"/>
              <w:right w:val="single" w:color="000000" w:sz="4" w:space="0"/>
            </w:tcBorders>
            <w:shd w:val="clear" w:color="auto" w:fill="auto"/>
            <w:vAlign w:val="center"/>
          </w:tcPr>
          <w:p w14:paraId="6F5BAF5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692" w:type="dxa"/>
            <w:vMerge w:val="continue"/>
            <w:tcBorders>
              <w:left w:val="single" w:color="000000" w:sz="4" w:space="0"/>
              <w:right w:val="single" w:color="000000" w:sz="4" w:space="0"/>
            </w:tcBorders>
            <w:shd w:val="clear" w:color="auto" w:fill="auto"/>
            <w:vAlign w:val="center"/>
          </w:tcPr>
          <w:p w14:paraId="0E51181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1174" w:type="dxa"/>
            <w:vMerge w:val="continue"/>
            <w:tcBorders>
              <w:left w:val="single" w:color="000000" w:sz="4" w:space="0"/>
              <w:right w:val="single" w:color="000000" w:sz="4" w:space="0"/>
            </w:tcBorders>
            <w:shd w:val="clear" w:color="auto" w:fill="auto"/>
            <w:vAlign w:val="center"/>
          </w:tcPr>
          <w:p w14:paraId="5880716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1178" w:type="dxa"/>
            <w:vMerge w:val="continue"/>
            <w:tcBorders>
              <w:left w:val="single" w:color="000000" w:sz="4" w:space="0"/>
              <w:right w:val="single" w:color="000000" w:sz="4" w:space="0"/>
            </w:tcBorders>
            <w:shd w:val="clear" w:color="auto" w:fill="auto"/>
            <w:vAlign w:val="center"/>
          </w:tcPr>
          <w:p w14:paraId="6CE2255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472" w:type="dxa"/>
            <w:vMerge w:val="continue"/>
            <w:tcBorders>
              <w:left w:val="single" w:color="000000" w:sz="4" w:space="0"/>
              <w:right w:val="single" w:color="000000" w:sz="4" w:space="0"/>
            </w:tcBorders>
            <w:shd w:val="clear" w:color="auto" w:fill="auto"/>
            <w:vAlign w:val="center"/>
          </w:tcPr>
          <w:p w14:paraId="4858965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9291" w:type="dxa"/>
            <w:vMerge w:val="continue"/>
            <w:tcBorders>
              <w:left w:val="single" w:color="000000" w:sz="4" w:space="0"/>
              <w:right w:val="single" w:color="000000" w:sz="4" w:space="0"/>
            </w:tcBorders>
            <w:shd w:val="clear" w:color="auto" w:fill="auto"/>
            <w:vAlign w:val="center"/>
          </w:tcPr>
          <w:p w14:paraId="4107410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626" w:type="dxa"/>
            <w:vMerge w:val="continue"/>
            <w:tcBorders>
              <w:left w:val="single" w:color="000000" w:sz="4" w:space="0"/>
              <w:right w:val="single" w:color="000000" w:sz="4" w:space="0"/>
            </w:tcBorders>
            <w:shd w:val="clear" w:color="auto" w:fill="auto"/>
            <w:vAlign w:val="center"/>
          </w:tcPr>
          <w:p w14:paraId="154690E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r>
      <w:tr w14:paraId="5C974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245" w:hRule="atLeast"/>
        </w:trPr>
        <w:tc>
          <w:tcPr>
            <w:tcW w:w="423" w:type="dxa"/>
            <w:vMerge w:val="continue"/>
            <w:tcBorders>
              <w:left w:val="single" w:color="000000" w:sz="4" w:space="0"/>
              <w:right w:val="single" w:color="000000" w:sz="4" w:space="0"/>
            </w:tcBorders>
            <w:shd w:val="clear" w:color="auto" w:fill="auto"/>
            <w:vAlign w:val="center"/>
          </w:tcPr>
          <w:p w14:paraId="14D66FF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1422" w:type="dxa"/>
            <w:vMerge w:val="continue"/>
            <w:tcBorders>
              <w:left w:val="single" w:color="000000" w:sz="4" w:space="0"/>
              <w:right w:val="single" w:color="000000" w:sz="4" w:space="0"/>
            </w:tcBorders>
            <w:shd w:val="clear" w:color="auto" w:fill="auto"/>
            <w:vAlign w:val="center"/>
          </w:tcPr>
          <w:p w14:paraId="74784BA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E8292">
            <w:pPr>
              <w:keepNext w:val="0"/>
              <w:keepLines w:val="0"/>
              <w:widowControl/>
              <w:suppressLineNumbers w:val="0"/>
              <w:jc w:val="left"/>
              <w:textAlignment w:val="center"/>
              <w:rPr>
                <w:rFonts w:hint="eastAsia" w:ascii="仿宋" w:hAnsi="仿宋" w:eastAsia="仿宋" w:cs="仿宋"/>
                <w:i w:val="0"/>
                <w:iCs w:val="0"/>
                <w:color w:val="000000"/>
                <w:sz w:val="12"/>
                <w:szCs w:val="12"/>
                <w:u w:val="none"/>
                <w:lang w:eastAsia="zh-CN"/>
              </w:rPr>
            </w:pPr>
            <w:r>
              <w:rPr>
                <w:rFonts w:hint="eastAsia" w:ascii="仿宋" w:hAnsi="仿宋" w:eastAsia="仿宋" w:cs="仿宋"/>
                <w:i w:val="0"/>
                <w:iCs w:val="0"/>
                <w:color w:val="000000"/>
                <w:sz w:val="12"/>
                <w:szCs w:val="12"/>
                <w:u w:val="none"/>
                <w:lang w:eastAsia="zh-CN"/>
              </w:rPr>
              <w:t>未按照监测方案开展监测的</w:t>
            </w:r>
          </w:p>
        </w:tc>
        <w:tc>
          <w:tcPr>
            <w:tcW w:w="557" w:type="dxa"/>
            <w:vMerge w:val="continue"/>
            <w:tcBorders>
              <w:left w:val="single" w:color="000000" w:sz="4" w:space="0"/>
              <w:right w:val="single" w:color="000000" w:sz="4" w:space="0"/>
            </w:tcBorders>
            <w:shd w:val="clear" w:color="auto" w:fill="auto"/>
            <w:vAlign w:val="center"/>
          </w:tcPr>
          <w:p w14:paraId="1BBA956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2336" w:type="dxa"/>
            <w:vMerge w:val="continue"/>
            <w:tcBorders>
              <w:left w:val="single" w:color="000000" w:sz="4" w:space="0"/>
              <w:right w:val="single" w:color="000000" w:sz="4" w:space="0"/>
            </w:tcBorders>
            <w:shd w:val="clear" w:color="auto" w:fill="auto"/>
            <w:vAlign w:val="center"/>
          </w:tcPr>
          <w:p w14:paraId="4A2C3C3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814" w:type="dxa"/>
            <w:vMerge w:val="continue"/>
            <w:tcBorders>
              <w:left w:val="single" w:color="000000" w:sz="4" w:space="0"/>
              <w:right w:val="single" w:color="000000" w:sz="4" w:space="0"/>
            </w:tcBorders>
            <w:shd w:val="clear" w:color="auto" w:fill="auto"/>
            <w:vAlign w:val="center"/>
          </w:tcPr>
          <w:p w14:paraId="3F3A5C7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831" w:type="dxa"/>
            <w:vMerge w:val="continue"/>
            <w:tcBorders>
              <w:left w:val="single" w:color="000000" w:sz="4" w:space="0"/>
              <w:right w:val="single" w:color="000000" w:sz="4" w:space="0"/>
            </w:tcBorders>
            <w:shd w:val="clear" w:color="auto" w:fill="auto"/>
            <w:vAlign w:val="center"/>
          </w:tcPr>
          <w:p w14:paraId="23DCED1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536" w:type="dxa"/>
            <w:vMerge w:val="continue"/>
            <w:tcBorders>
              <w:left w:val="single" w:color="000000" w:sz="4" w:space="0"/>
              <w:right w:val="single" w:color="000000" w:sz="4" w:space="0"/>
            </w:tcBorders>
            <w:shd w:val="clear" w:color="auto" w:fill="auto"/>
            <w:vAlign w:val="center"/>
          </w:tcPr>
          <w:p w14:paraId="16B0CA8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900" w:type="dxa"/>
            <w:vMerge w:val="continue"/>
            <w:tcBorders>
              <w:left w:val="single" w:color="000000" w:sz="4" w:space="0"/>
              <w:right w:val="single" w:color="000000" w:sz="4" w:space="0"/>
            </w:tcBorders>
            <w:shd w:val="clear" w:color="auto" w:fill="auto"/>
            <w:vAlign w:val="center"/>
          </w:tcPr>
          <w:p w14:paraId="7A41111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692" w:type="dxa"/>
            <w:vMerge w:val="continue"/>
            <w:tcBorders>
              <w:left w:val="single" w:color="000000" w:sz="4" w:space="0"/>
              <w:right w:val="single" w:color="000000" w:sz="4" w:space="0"/>
            </w:tcBorders>
            <w:shd w:val="clear" w:color="auto" w:fill="auto"/>
            <w:vAlign w:val="center"/>
          </w:tcPr>
          <w:p w14:paraId="77563B9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1174" w:type="dxa"/>
            <w:vMerge w:val="continue"/>
            <w:tcBorders>
              <w:left w:val="single" w:color="000000" w:sz="4" w:space="0"/>
              <w:right w:val="single" w:color="000000" w:sz="4" w:space="0"/>
            </w:tcBorders>
            <w:shd w:val="clear" w:color="auto" w:fill="auto"/>
            <w:vAlign w:val="center"/>
          </w:tcPr>
          <w:p w14:paraId="7B68A65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1178" w:type="dxa"/>
            <w:vMerge w:val="continue"/>
            <w:tcBorders>
              <w:left w:val="single" w:color="000000" w:sz="4" w:space="0"/>
              <w:right w:val="single" w:color="000000" w:sz="4" w:space="0"/>
            </w:tcBorders>
            <w:shd w:val="clear" w:color="auto" w:fill="auto"/>
            <w:vAlign w:val="center"/>
          </w:tcPr>
          <w:p w14:paraId="61F15C2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472" w:type="dxa"/>
            <w:vMerge w:val="continue"/>
            <w:tcBorders>
              <w:left w:val="single" w:color="000000" w:sz="4" w:space="0"/>
              <w:right w:val="single" w:color="000000" w:sz="4" w:space="0"/>
            </w:tcBorders>
            <w:shd w:val="clear" w:color="auto" w:fill="auto"/>
            <w:vAlign w:val="center"/>
          </w:tcPr>
          <w:p w14:paraId="1490ECF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9291" w:type="dxa"/>
            <w:vMerge w:val="continue"/>
            <w:tcBorders>
              <w:left w:val="single" w:color="000000" w:sz="4" w:space="0"/>
              <w:right w:val="single" w:color="000000" w:sz="4" w:space="0"/>
            </w:tcBorders>
            <w:shd w:val="clear" w:color="auto" w:fill="auto"/>
            <w:vAlign w:val="center"/>
          </w:tcPr>
          <w:p w14:paraId="275D6F5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626" w:type="dxa"/>
            <w:vMerge w:val="continue"/>
            <w:tcBorders>
              <w:left w:val="single" w:color="000000" w:sz="4" w:space="0"/>
              <w:right w:val="single" w:color="000000" w:sz="4" w:space="0"/>
            </w:tcBorders>
            <w:shd w:val="clear" w:color="auto" w:fill="auto"/>
            <w:vAlign w:val="center"/>
          </w:tcPr>
          <w:p w14:paraId="0C530D4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r>
      <w:tr w14:paraId="7593D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245" w:hRule="atLeast"/>
        </w:trPr>
        <w:tc>
          <w:tcPr>
            <w:tcW w:w="423" w:type="dxa"/>
            <w:vMerge w:val="continue"/>
            <w:tcBorders>
              <w:left w:val="single" w:color="000000" w:sz="4" w:space="0"/>
              <w:bottom w:val="single" w:color="000000" w:sz="4" w:space="0"/>
              <w:right w:val="single" w:color="000000" w:sz="4" w:space="0"/>
            </w:tcBorders>
            <w:shd w:val="clear" w:color="auto" w:fill="auto"/>
            <w:vAlign w:val="center"/>
          </w:tcPr>
          <w:p w14:paraId="2619BD9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1422" w:type="dxa"/>
            <w:vMerge w:val="continue"/>
            <w:tcBorders>
              <w:left w:val="single" w:color="000000" w:sz="4" w:space="0"/>
              <w:bottom w:val="single" w:color="000000" w:sz="4" w:space="0"/>
              <w:right w:val="single" w:color="000000" w:sz="4" w:space="0"/>
            </w:tcBorders>
            <w:shd w:val="clear" w:color="auto" w:fill="auto"/>
            <w:vAlign w:val="center"/>
          </w:tcPr>
          <w:p w14:paraId="53BFEC7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C8F64">
            <w:pPr>
              <w:keepNext w:val="0"/>
              <w:keepLines w:val="0"/>
              <w:widowControl/>
              <w:suppressLineNumbers w:val="0"/>
              <w:jc w:val="left"/>
              <w:textAlignment w:val="center"/>
              <w:rPr>
                <w:rFonts w:hint="eastAsia" w:ascii="仿宋" w:hAnsi="仿宋" w:eastAsia="仿宋" w:cs="仿宋"/>
                <w:i w:val="0"/>
                <w:iCs w:val="0"/>
                <w:color w:val="000000"/>
                <w:sz w:val="12"/>
                <w:szCs w:val="12"/>
                <w:u w:val="none"/>
                <w:lang w:eastAsia="zh-CN"/>
              </w:rPr>
            </w:pPr>
            <w:r>
              <w:rPr>
                <w:rFonts w:hint="eastAsia" w:ascii="仿宋" w:hAnsi="仿宋" w:eastAsia="仿宋" w:cs="仿宋"/>
                <w:i w:val="0"/>
                <w:iCs w:val="0"/>
                <w:color w:val="000000"/>
                <w:sz w:val="12"/>
                <w:szCs w:val="12"/>
                <w:u w:val="none"/>
                <w:lang w:eastAsia="zh-CN"/>
              </w:rPr>
              <w:t>发现异常未及时报告的</w:t>
            </w:r>
          </w:p>
        </w:tc>
        <w:tc>
          <w:tcPr>
            <w:tcW w:w="557" w:type="dxa"/>
            <w:vMerge w:val="continue"/>
            <w:tcBorders>
              <w:left w:val="single" w:color="000000" w:sz="4" w:space="0"/>
              <w:bottom w:val="single" w:color="000000" w:sz="4" w:space="0"/>
              <w:right w:val="single" w:color="000000" w:sz="4" w:space="0"/>
            </w:tcBorders>
            <w:shd w:val="clear" w:color="auto" w:fill="auto"/>
            <w:vAlign w:val="center"/>
          </w:tcPr>
          <w:p w14:paraId="0B04239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2336" w:type="dxa"/>
            <w:vMerge w:val="continue"/>
            <w:tcBorders>
              <w:left w:val="single" w:color="000000" w:sz="4" w:space="0"/>
              <w:bottom w:val="single" w:color="000000" w:sz="4" w:space="0"/>
              <w:right w:val="single" w:color="000000" w:sz="4" w:space="0"/>
            </w:tcBorders>
            <w:shd w:val="clear" w:color="auto" w:fill="auto"/>
            <w:vAlign w:val="center"/>
          </w:tcPr>
          <w:p w14:paraId="737BE57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814" w:type="dxa"/>
            <w:vMerge w:val="continue"/>
            <w:tcBorders>
              <w:left w:val="single" w:color="000000" w:sz="4" w:space="0"/>
              <w:bottom w:val="single" w:color="000000" w:sz="4" w:space="0"/>
              <w:right w:val="single" w:color="000000" w:sz="4" w:space="0"/>
            </w:tcBorders>
            <w:shd w:val="clear" w:color="auto" w:fill="auto"/>
            <w:vAlign w:val="center"/>
          </w:tcPr>
          <w:p w14:paraId="78D305A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831" w:type="dxa"/>
            <w:vMerge w:val="continue"/>
            <w:tcBorders>
              <w:left w:val="single" w:color="000000" w:sz="4" w:space="0"/>
              <w:bottom w:val="single" w:color="000000" w:sz="4" w:space="0"/>
              <w:right w:val="single" w:color="000000" w:sz="4" w:space="0"/>
            </w:tcBorders>
            <w:shd w:val="clear" w:color="auto" w:fill="auto"/>
            <w:vAlign w:val="center"/>
          </w:tcPr>
          <w:p w14:paraId="02C9552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536" w:type="dxa"/>
            <w:vMerge w:val="continue"/>
            <w:tcBorders>
              <w:left w:val="single" w:color="000000" w:sz="4" w:space="0"/>
              <w:bottom w:val="single" w:color="000000" w:sz="4" w:space="0"/>
              <w:right w:val="single" w:color="000000" w:sz="4" w:space="0"/>
            </w:tcBorders>
            <w:shd w:val="clear" w:color="auto" w:fill="auto"/>
            <w:vAlign w:val="center"/>
          </w:tcPr>
          <w:p w14:paraId="683A17C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900" w:type="dxa"/>
            <w:vMerge w:val="continue"/>
            <w:tcBorders>
              <w:left w:val="single" w:color="000000" w:sz="4" w:space="0"/>
              <w:bottom w:val="single" w:color="000000" w:sz="4" w:space="0"/>
              <w:right w:val="single" w:color="000000" w:sz="4" w:space="0"/>
            </w:tcBorders>
            <w:shd w:val="clear" w:color="auto" w:fill="auto"/>
            <w:vAlign w:val="center"/>
          </w:tcPr>
          <w:p w14:paraId="2A00BD5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692" w:type="dxa"/>
            <w:vMerge w:val="continue"/>
            <w:tcBorders>
              <w:left w:val="single" w:color="000000" w:sz="4" w:space="0"/>
              <w:bottom w:val="single" w:color="000000" w:sz="4" w:space="0"/>
              <w:right w:val="single" w:color="000000" w:sz="4" w:space="0"/>
            </w:tcBorders>
            <w:shd w:val="clear" w:color="auto" w:fill="auto"/>
            <w:vAlign w:val="center"/>
          </w:tcPr>
          <w:p w14:paraId="1D0C981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1174" w:type="dxa"/>
            <w:vMerge w:val="continue"/>
            <w:tcBorders>
              <w:left w:val="single" w:color="000000" w:sz="4" w:space="0"/>
              <w:bottom w:val="single" w:color="000000" w:sz="4" w:space="0"/>
              <w:right w:val="single" w:color="000000" w:sz="4" w:space="0"/>
            </w:tcBorders>
            <w:shd w:val="clear" w:color="auto" w:fill="auto"/>
            <w:vAlign w:val="center"/>
          </w:tcPr>
          <w:p w14:paraId="215E2ED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1178" w:type="dxa"/>
            <w:vMerge w:val="continue"/>
            <w:tcBorders>
              <w:left w:val="single" w:color="000000" w:sz="4" w:space="0"/>
              <w:bottom w:val="single" w:color="000000" w:sz="4" w:space="0"/>
              <w:right w:val="single" w:color="000000" w:sz="4" w:space="0"/>
            </w:tcBorders>
            <w:shd w:val="clear" w:color="auto" w:fill="auto"/>
            <w:vAlign w:val="center"/>
          </w:tcPr>
          <w:p w14:paraId="339F523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472" w:type="dxa"/>
            <w:vMerge w:val="continue"/>
            <w:tcBorders>
              <w:left w:val="single" w:color="000000" w:sz="4" w:space="0"/>
              <w:bottom w:val="single" w:color="000000" w:sz="4" w:space="0"/>
              <w:right w:val="single" w:color="000000" w:sz="4" w:space="0"/>
            </w:tcBorders>
            <w:shd w:val="clear" w:color="auto" w:fill="auto"/>
            <w:vAlign w:val="center"/>
          </w:tcPr>
          <w:p w14:paraId="4CE33A4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9291" w:type="dxa"/>
            <w:vMerge w:val="continue"/>
            <w:tcBorders>
              <w:left w:val="single" w:color="000000" w:sz="4" w:space="0"/>
              <w:bottom w:val="single" w:color="000000" w:sz="4" w:space="0"/>
              <w:right w:val="single" w:color="000000" w:sz="4" w:space="0"/>
            </w:tcBorders>
            <w:shd w:val="clear" w:color="auto" w:fill="auto"/>
            <w:vAlign w:val="center"/>
          </w:tcPr>
          <w:p w14:paraId="7E80E99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c>
          <w:tcPr>
            <w:tcW w:w="626" w:type="dxa"/>
            <w:vMerge w:val="continue"/>
            <w:tcBorders>
              <w:left w:val="single" w:color="000000" w:sz="4" w:space="0"/>
              <w:bottom w:val="single" w:color="000000" w:sz="4" w:space="0"/>
              <w:right w:val="single" w:color="000000" w:sz="4" w:space="0"/>
            </w:tcBorders>
            <w:shd w:val="clear" w:color="auto" w:fill="auto"/>
            <w:vAlign w:val="center"/>
          </w:tcPr>
          <w:p w14:paraId="54D91D9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p>
        </w:tc>
      </w:tr>
      <w:tr w14:paraId="23860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216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1F5B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82</w:t>
            </w:r>
          </w:p>
        </w:tc>
        <w:tc>
          <w:tcPr>
            <w:tcW w:w="142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16C9E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对《建设工程质量检测管理办法》第四十七条禁止行为的处罚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7BD7F">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C30E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0D2D6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【规章】《建设工程质量检测管理办法》（2022年12月29日建设部令第57号发布,自2023年3月1日起施行）</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四十七条违反本办法规定，建设、施工、监理等单位有下列行为之一的，由县级以上地方人民政府住房和城乡建设主管部门责令改正，处3万元以上10万元以下罚款；造成危害后果的，处10万元以上20万元以下罚款；构成犯罪的，依法追究刑事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（一）委托未取得相应资质的检测机构进行检测的；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（二）未将建设工程质量检测费用列入工程概预算并单独列支的；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（三）未按照规定实施见证的；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（四）提供的检测试样不满足符合性、真实性、代表性要求的；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（五）明示或者暗示检测机构出具虚假检测报告的；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（六）篡改或者伪造检测报告的；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（七）取样、制样和送检试样不符合规定和工程建设强制性标准的。</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4AD4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1062D">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1FD8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6A0E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75AA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90B0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C9A9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CE3E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AB61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7C512">
            <w:pPr>
              <w:jc w:val="center"/>
              <w:rPr>
                <w:rFonts w:hint="eastAsia" w:ascii="仿宋" w:hAnsi="仿宋" w:eastAsia="仿宋" w:cs="仿宋"/>
                <w:i w:val="0"/>
                <w:iCs w:val="0"/>
                <w:color w:val="000000"/>
                <w:sz w:val="12"/>
                <w:szCs w:val="12"/>
                <w:u w:val="none"/>
              </w:rPr>
            </w:pPr>
          </w:p>
        </w:tc>
      </w:tr>
      <w:tr w14:paraId="67310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5C67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83</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AE71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对施工单位拒不执行停止工地土石方作业或者建筑物拆除施工等重污染天气应急措施的处罚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4F3C7">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163E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A85B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规】《中华人民共和国大气污染防治法》（1987年9月5日第六届全国人民代表大会常务委员会第二十二次会议通过，根据2018年10月26日第十三届全国人民代表大会常务委员会第六次会议《关于修改〈中华人民共和国野生动物保护法〉等十五部法律的决定》第二次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第一百二十一条第二款：违反本法规定，拒不执行停止工地土石方作业或者建筑物拆除施工等重污染天气应急措施的，由县级以上地方人民政府确定的监督管理部门处一万元以上十万元以下的罚款。</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7776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439BF">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EE84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DD80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4D53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D7D1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7306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88FE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393F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91971">
            <w:pPr>
              <w:jc w:val="center"/>
              <w:rPr>
                <w:rFonts w:hint="eastAsia" w:ascii="仿宋" w:hAnsi="仿宋" w:eastAsia="仿宋" w:cs="仿宋"/>
                <w:i w:val="0"/>
                <w:iCs w:val="0"/>
                <w:color w:val="000000"/>
                <w:sz w:val="12"/>
                <w:szCs w:val="12"/>
                <w:u w:val="none"/>
              </w:rPr>
            </w:pPr>
          </w:p>
        </w:tc>
      </w:tr>
      <w:tr w14:paraId="21691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nil"/>
              <w:right w:val="single" w:color="000000" w:sz="4" w:space="0"/>
            </w:tcBorders>
            <w:shd w:val="clear" w:color="auto" w:fill="auto"/>
            <w:vAlign w:val="center"/>
          </w:tcPr>
          <w:p w14:paraId="74E69AE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84</w:t>
            </w:r>
          </w:p>
        </w:tc>
        <w:tc>
          <w:tcPr>
            <w:tcW w:w="1422" w:type="dxa"/>
            <w:tcBorders>
              <w:top w:val="single" w:color="000000" w:sz="4" w:space="0"/>
              <w:left w:val="single" w:color="000000" w:sz="4" w:space="0"/>
              <w:bottom w:val="nil"/>
              <w:right w:val="single" w:color="000000" w:sz="4" w:space="0"/>
            </w:tcBorders>
            <w:shd w:val="clear" w:color="auto" w:fill="auto"/>
            <w:vAlign w:val="center"/>
          </w:tcPr>
          <w:p w14:paraId="24A4EB2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对施工单位以拒绝进入现场等方式拒不接受米东区建设局负有相关大气环境保护监督管理职责的监督检查，或者在接受监督检查时弄虚作假的处罚</w:t>
            </w:r>
          </w:p>
        </w:tc>
        <w:tc>
          <w:tcPr>
            <w:tcW w:w="1093" w:type="dxa"/>
            <w:tcBorders>
              <w:top w:val="single" w:color="000000" w:sz="4" w:space="0"/>
              <w:left w:val="single" w:color="000000" w:sz="4" w:space="0"/>
              <w:bottom w:val="nil"/>
              <w:right w:val="single" w:color="000000" w:sz="4" w:space="0"/>
            </w:tcBorders>
            <w:shd w:val="clear" w:color="auto" w:fill="auto"/>
            <w:vAlign w:val="center"/>
          </w:tcPr>
          <w:p w14:paraId="139123C8">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nil"/>
              <w:right w:val="single" w:color="000000" w:sz="4" w:space="0"/>
            </w:tcBorders>
            <w:shd w:val="clear" w:color="auto" w:fill="auto"/>
            <w:vAlign w:val="center"/>
          </w:tcPr>
          <w:p w14:paraId="01847F0F">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nil"/>
              <w:right w:val="single" w:color="000000" w:sz="4" w:space="0"/>
            </w:tcBorders>
            <w:shd w:val="clear" w:color="auto" w:fill="auto"/>
            <w:vAlign w:val="center"/>
          </w:tcPr>
          <w:p w14:paraId="54A2F54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规】《中华人民共和国大气污染防治法》（1987年9月5日第六届全国人民代表大会常务委员会第二十二次会议通过，根据2018年10月26日第十三届全国人民代表大会常务委员会第六次会议《关于修改〈中华人民共和国野生动物保护法〉等十五部法律的决定》第二次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九十八条：违反本法规定，以拒绝进入现场等方式拒不接受环境保护主管部门及其委托的环境监察机构或者其他负有大气环境保护监督管理职责的部门的监督检查，或者在接受监督检查时弄虚作假的，由县级以上人民政府环境保护主管部门或者其他负有大气环境保护监督管理职责的部门责令改正，处二万元以上二十万元以下的罚款；构成违反治安管理行为的，由公安机关依法予以处罚。</w:t>
            </w:r>
          </w:p>
        </w:tc>
        <w:tc>
          <w:tcPr>
            <w:tcW w:w="814" w:type="dxa"/>
            <w:tcBorders>
              <w:top w:val="single" w:color="000000" w:sz="4" w:space="0"/>
              <w:left w:val="single" w:color="000000" w:sz="4" w:space="0"/>
              <w:bottom w:val="nil"/>
              <w:right w:val="single" w:color="000000" w:sz="4" w:space="0"/>
            </w:tcBorders>
            <w:shd w:val="clear" w:color="auto" w:fill="auto"/>
            <w:vAlign w:val="center"/>
          </w:tcPr>
          <w:p w14:paraId="6BCF384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nil"/>
              <w:right w:val="single" w:color="000000" w:sz="4" w:space="0"/>
            </w:tcBorders>
            <w:shd w:val="clear" w:color="auto" w:fill="auto"/>
            <w:vAlign w:val="center"/>
          </w:tcPr>
          <w:p w14:paraId="16F5EBD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nil"/>
              <w:right w:val="single" w:color="000000" w:sz="4" w:space="0"/>
            </w:tcBorders>
            <w:shd w:val="clear" w:color="auto" w:fill="auto"/>
            <w:vAlign w:val="center"/>
          </w:tcPr>
          <w:p w14:paraId="79EB5EE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nil"/>
              <w:right w:val="single" w:color="000000" w:sz="4" w:space="0"/>
            </w:tcBorders>
            <w:shd w:val="clear" w:color="auto" w:fill="auto"/>
            <w:vAlign w:val="center"/>
          </w:tcPr>
          <w:p w14:paraId="7085719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nil"/>
              <w:right w:val="single" w:color="000000" w:sz="4" w:space="0"/>
            </w:tcBorders>
            <w:shd w:val="clear" w:color="auto" w:fill="auto"/>
            <w:vAlign w:val="center"/>
          </w:tcPr>
          <w:p w14:paraId="54A66AE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nil"/>
              <w:right w:val="single" w:color="000000" w:sz="4" w:space="0"/>
            </w:tcBorders>
            <w:shd w:val="clear" w:color="auto" w:fill="auto"/>
            <w:vAlign w:val="center"/>
          </w:tcPr>
          <w:p w14:paraId="14BB51C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w:t>
            </w:r>
          </w:p>
        </w:tc>
        <w:tc>
          <w:tcPr>
            <w:tcW w:w="1178" w:type="dxa"/>
            <w:tcBorders>
              <w:top w:val="single" w:color="000000" w:sz="4" w:space="0"/>
              <w:left w:val="single" w:color="000000" w:sz="4" w:space="0"/>
              <w:bottom w:val="nil"/>
              <w:right w:val="single" w:color="000000" w:sz="4" w:space="0"/>
            </w:tcBorders>
            <w:shd w:val="clear" w:color="auto" w:fill="auto"/>
            <w:vAlign w:val="center"/>
          </w:tcPr>
          <w:p w14:paraId="7FD3478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nil"/>
              <w:right w:val="single" w:color="000000" w:sz="4" w:space="0"/>
            </w:tcBorders>
            <w:shd w:val="clear" w:color="auto" w:fill="auto"/>
            <w:vAlign w:val="center"/>
          </w:tcPr>
          <w:p w14:paraId="3C2D546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9291" w:type="dxa"/>
            <w:tcBorders>
              <w:top w:val="single" w:color="000000" w:sz="4" w:space="0"/>
              <w:left w:val="single" w:color="000000" w:sz="4" w:space="0"/>
              <w:bottom w:val="nil"/>
              <w:right w:val="single" w:color="000000" w:sz="4" w:space="0"/>
            </w:tcBorders>
            <w:shd w:val="clear" w:color="auto" w:fill="auto"/>
            <w:vAlign w:val="center"/>
          </w:tcPr>
          <w:p w14:paraId="6CC5B4D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nil"/>
              <w:right w:val="single" w:color="000000" w:sz="4" w:space="0"/>
            </w:tcBorders>
            <w:shd w:val="clear" w:color="auto" w:fill="auto"/>
            <w:vAlign w:val="center"/>
          </w:tcPr>
          <w:p w14:paraId="46AF245A">
            <w:pPr>
              <w:jc w:val="center"/>
              <w:rPr>
                <w:rFonts w:hint="eastAsia" w:ascii="仿宋" w:hAnsi="仿宋" w:eastAsia="仿宋" w:cs="仿宋"/>
                <w:i w:val="0"/>
                <w:iCs w:val="0"/>
                <w:color w:val="000000"/>
                <w:sz w:val="12"/>
                <w:szCs w:val="12"/>
                <w:u w:val="none"/>
              </w:rPr>
            </w:pPr>
          </w:p>
        </w:tc>
      </w:tr>
      <w:tr w14:paraId="428F8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216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49282">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85</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3195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对将没有防水要求的房间或者阳台改为卫生间、厨房间的，或者拆除连接阳台的砖、混凝土墙体等的处罚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99DF7">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0E50E">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35F7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《住宅室内装饰装修管理办法》第三十八条住宅室内装饰装修活动有下列行为之一的，由城市房地产行政主管部门责令改正，并处罚款：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（一）将没有防水要求的房间或者阳台改为卫生间、厨房间的，或者拆除连接阳台的砖、混凝土墙体的，对装修人处5百元以上1千元以下的罚款，对装饰装修企业处1千元以上1万元以下的罚款；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（二）损坏房屋原有节能设施或者降低节能效果的，对装修人处5百元以上1千元以下的罚款，对装饰装修企业处1千元以上5千元以下的罚款；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（三）擅自拆改供暖、燃气管道和设施的，对装修人处5百元以上1千元以下的罚款；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（四）未经原设计单位或者具有相应资质等级的设计单位提出设计方案，擅自超过设计标准或者规范增加楼面荷载的，对装修人处5百元以上1千元以下的罚款，对装饰装修企业处1千元以上1万元以下的罚款；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（五）其他影响建筑结构和使用安全的行为，依照有关法律、法规的规定处理。</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3041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B186B">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质监站</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B419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CE25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F999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C534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2E00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00D7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1.装修人（业主）；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2.装饰装修企业</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62F3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228E4">
            <w:pPr>
              <w:jc w:val="center"/>
              <w:rPr>
                <w:rFonts w:hint="eastAsia" w:ascii="仿宋" w:hAnsi="仿宋" w:eastAsia="仿宋" w:cs="仿宋"/>
                <w:i w:val="0"/>
                <w:iCs w:val="0"/>
                <w:color w:val="000000"/>
                <w:sz w:val="12"/>
                <w:szCs w:val="12"/>
                <w:u w:val="none"/>
              </w:rPr>
            </w:pPr>
          </w:p>
        </w:tc>
      </w:tr>
      <w:tr w14:paraId="530E7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4D4F7">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86</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8E00C">
            <w:pPr>
              <w:keepNext w:val="0"/>
              <w:keepLines w:val="0"/>
              <w:widowControl/>
              <w:suppressLineNumbers w:val="0"/>
              <w:jc w:val="left"/>
              <w:textAlignment w:val="center"/>
              <w:rPr>
                <w:rFonts w:ascii="仿宋_GB2312" w:hAnsi="等线" w:eastAsia="仿宋_GB2312" w:cs="仿宋_GB2312"/>
                <w:i w:val="0"/>
                <w:iCs w:val="0"/>
                <w:color w:val="000000"/>
                <w:sz w:val="12"/>
                <w:szCs w:val="12"/>
                <w:u w:val="none"/>
              </w:rPr>
            </w:pPr>
            <w:r>
              <w:rPr>
                <w:rFonts w:hint="eastAsia" w:ascii="仿宋_GB2312" w:hAnsi="等线" w:eastAsia="仿宋_GB2312" w:cs="仿宋_GB2312"/>
                <w:i w:val="0"/>
                <w:iCs w:val="0"/>
                <w:color w:val="000000"/>
                <w:kern w:val="0"/>
                <w:sz w:val="12"/>
                <w:szCs w:val="12"/>
                <w:u w:val="none"/>
                <w:lang w:val="en-US" w:eastAsia="zh-CN" w:bidi="ar"/>
              </w:rPr>
              <w:t>对建设单位擅自处分属于业主的物业共用部位、共用设施设备的所有权或者使用权的处罚</w:t>
            </w:r>
          </w:p>
        </w:tc>
        <w:tc>
          <w:tcPr>
            <w:tcW w:w="1093" w:type="dxa"/>
            <w:tcBorders>
              <w:top w:val="single" w:color="000000" w:sz="4" w:space="0"/>
              <w:left w:val="single" w:color="000000" w:sz="4" w:space="0"/>
              <w:bottom w:val="nil"/>
              <w:right w:val="single" w:color="000000" w:sz="4" w:space="0"/>
            </w:tcBorders>
            <w:shd w:val="clear" w:color="auto" w:fill="auto"/>
            <w:vAlign w:val="center"/>
          </w:tcPr>
          <w:p w14:paraId="236B8F1D">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76EB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nil"/>
              <w:right w:val="single" w:color="000000" w:sz="4" w:space="0"/>
            </w:tcBorders>
            <w:shd w:val="clear" w:color="auto" w:fill="auto"/>
            <w:vAlign w:val="center"/>
          </w:tcPr>
          <w:p w14:paraId="45ADFEA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《物业管理条例》（2018年3月19日国务院令第698号第三次修订）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十七条违反本条例的规定，建设单位擅自处分属于业主的物业共用部位、共用设施设备的所有权或者使用权的，由县级以上地方人民政府房地产行政主管部门处5万元以上20万元以下的罚款；给业主造成损失的，依法承担赔偿责任。</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B046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nil"/>
              <w:right w:val="single" w:color="000000" w:sz="4" w:space="0"/>
            </w:tcBorders>
            <w:shd w:val="clear" w:color="auto" w:fill="auto"/>
            <w:vAlign w:val="center"/>
          </w:tcPr>
          <w:p w14:paraId="13F1A54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米东区物业服务管理中心</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8B7AB">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6596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CD10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03F4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80BD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85EB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建设单位</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1A8A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nil"/>
              <w:right w:val="single" w:color="000000" w:sz="4" w:space="0"/>
            </w:tcBorders>
            <w:shd w:val="clear" w:color="auto" w:fill="auto"/>
            <w:vAlign w:val="center"/>
          </w:tcPr>
          <w:p w14:paraId="744B98F1">
            <w:pPr>
              <w:jc w:val="center"/>
              <w:rPr>
                <w:rFonts w:hint="eastAsia" w:ascii="仿宋" w:hAnsi="仿宋" w:eastAsia="仿宋" w:cs="仿宋"/>
                <w:i w:val="0"/>
                <w:iCs w:val="0"/>
                <w:color w:val="000000"/>
                <w:sz w:val="12"/>
                <w:szCs w:val="12"/>
                <w:u w:val="none"/>
              </w:rPr>
            </w:pPr>
          </w:p>
        </w:tc>
      </w:tr>
      <w:tr w14:paraId="4ECFB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2C83F">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87</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59625">
            <w:pPr>
              <w:keepNext w:val="0"/>
              <w:keepLines w:val="0"/>
              <w:widowControl/>
              <w:suppressLineNumbers w:val="0"/>
              <w:jc w:val="left"/>
              <w:textAlignment w:val="center"/>
              <w:rPr>
                <w:rFonts w:hint="eastAsia" w:ascii="仿宋_GB2312" w:hAnsi="等线" w:eastAsia="仿宋_GB2312" w:cs="仿宋_GB2312"/>
                <w:i w:val="0"/>
                <w:iCs w:val="0"/>
                <w:color w:val="000000"/>
                <w:sz w:val="12"/>
                <w:szCs w:val="12"/>
                <w:u w:val="none"/>
              </w:rPr>
            </w:pPr>
            <w:r>
              <w:rPr>
                <w:rFonts w:hint="eastAsia" w:ascii="仿宋_GB2312" w:hAnsi="等线" w:eastAsia="仿宋_GB2312" w:cs="仿宋_GB2312"/>
                <w:i w:val="0"/>
                <w:iCs w:val="0"/>
                <w:color w:val="000000"/>
                <w:kern w:val="0"/>
                <w:sz w:val="12"/>
                <w:szCs w:val="12"/>
                <w:u w:val="none"/>
                <w:lang w:val="en-US" w:eastAsia="zh-CN" w:bidi="ar"/>
              </w:rPr>
              <w:t>对物业服务企业将一个物业管理区域内的全部物业管理一并委托给他人的处罚</w:t>
            </w:r>
          </w:p>
        </w:tc>
        <w:tc>
          <w:tcPr>
            <w:tcW w:w="1093" w:type="dxa"/>
            <w:tcBorders>
              <w:top w:val="single" w:color="000000" w:sz="4" w:space="0"/>
              <w:left w:val="single" w:color="000000" w:sz="4" w:space="0"/>
              <w:bottom w:val="nil"/>
              <w:right w:val="single" w:color="000000" w:sz="4" w:space="0"/>
            </w:tcBorders>
            <w:shd w:val="clear" w:color="auto" w:fill="auto"/>
            <w:vAlign w:val="center"/>
          </w:tcPr>
          <w:p w14:paraId="5190511C">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B807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nil"/>
              <w:right w:val="single" w:color="000000" w:sz="4" w:space="0"/>
            </w:tcBorders>
            <w:shd w:val="clear" w:color="auto" w:fill="auto"/>
            <w:vAlign w:val="center"/>
          </w:tcPr>
          <w:p w14:paraId="173415B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《物业管理条例》（2018年3月19日国务院令第698号第三次修订）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十九条违反本条例的规定，物业服务企业将一个物业管理区域内的全部物业管理一并委托给他人的，由县级以上地方人民政府房地产行政主管部门责令限期改正，处委托合同价款30%以上50%以下的罚款。委托所得收益，用于物业管理区域内物业共用部位、共用设施设备的维修、养护，剩余部分按照业主大会的决定使用；给业主造成损失的，依法承担赔偿责任。</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FEBA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nil"/>
              <w:right w:val="single" w:color="000000" w:sz="4" w:space="0"/>
            </w:tcBorders>
            <w:shd w:val="clear" w:color="auto" w:fill="auto"/>
            <w:vAlign w:val="center"/>
          </w:tcPr>
          <w:p w14:paraId="372468B6">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米东区物业服务管理中心</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44D1D">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EF96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03F4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9BFF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6433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9329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物业企业</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0945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nil"/>
              <w:right w:val="single" w:color="000000" w:sz="4" w:space="0"/>
            </w:tcBorders>
            <w:shd w:val="clear" w:color="auto" w:fill="auto"/>
            <w:vAlign w:val="center"/>
          </w:tcPr>
          <w:p w14:paraId="23A77A78">
            <w:pPr>
              <w:jc w:val="center"/>
              <w:rPr>
                <w:rFonts w:hint="eastAsia" w:ascii="仿宋" w:hAnsi="仿宋" w:eastAsia="仿宋" w:cs="仿宋"/>
                <w:i w:val="0"/>
                <w:iCs w:val="0"/>
                <w:color w:val="000000"/>
                <w:sz w:val="12"/>
                <w:szCs w:val="12"/>
                <w:u w:val="none"/>
              </w:rPr>
            </w:pPr>
          </w:p>
        </w:tc>
      </w:tr>
      <w:tr w14:paraId="7EA15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AA3E9">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88</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69776">
            <w:pPr>
              <w:keepNext w:val="0"/>
              <w:keepLines w:val="0"/>
              <w:widowControl/>
              <w:suppressLineNumbers w:val="0"/>
              <w:jc w:val="left"/>
              <w:textAlignment w:val="center"/>
              <w:rPr>
                <w:rFonts w:hint="eastAsia" w:ascii="仿宋_GB2312" w:hAnsi="等线" w:eastAsia="仿宋_GB2312" w:cs="仿宋_GB2312"/>
                <w:i w:val="0"/>
                <w:iCs w:val="0"/>
                <w:color w:val="000000"/>
                <w:sz w:val="12"/>
                <w:szCs w:val="12"/>
                <w:u w:val="none"/>
              </w:rPr>
            </w:pPr>
            <w:r>
              <w:rPr>
                <w:rFonts w:hint="eastAsia" w:ascii="仿宋_GB2312" w:hAnsi="等线" w:eastAsia="仿宋_GB2312" w:cs="仿宋_GB2312"/>
                <w:i w:val="0"/>
                <w:iCs w:val="0"/>
                <w:color w:val="000000"/>
                <w:kern w:val="0"/>
                <w:sz w:val="12"/>
                <w:szCs w:val="12"/>
                <w:u w:val="none"/>
                <w:lang w:val="en-US" w:eastAsia="zh-CN" w:bidi="ar"/>
              </w:rPr>
              <w:t>对违反规定，未经业主大会同意，物业服务企业擅自改变物业管理用房的用途的处罚</w:t>
            </w:r>
          </w:p>
        </w:tc>
        <w:tc>
          <w:tcPr>
            <w:tcW w:w="1093" w:type="dxa"/>
            <w:tcBorders>
              <w:top w:val="single" w:color="000000" w:sz="4" w:space="0"/>
              <w:left w:val="single" w:color="000000" w:sz="4" w:space="0"/>
              <w:bottom w:val="nil"/>
              <w:right w:val="single" w:color="000000" w:sz="4" w:space="0"/>
            </w:tcBorders>
            <w:shd w:val="clear" w:color="auto" w:fill="auto"/>
            <w:vAlign w:val="center"/>
          </w:tcPr>
          <w:p w14:paraId="53C32F24">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D81B6">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nil"/>
              <w:right w:val="single" w:color="000000" w:sz="4" w:space="0"/>
            </w:tcBorders>
            <w:shd w:val="clear" w:color="auto" w:fill="auto"/>
            <w:vAlign w:val="center"/>
          </w:tcPr>
          <w:p w14:paraId="18DCCC2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《物业管理条例》（2018年3月19日国务院令第698号第三次修订）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六十二条违反本条例的规定，未经业主大会同意，物业服务企业擅自改变物业管理用房的用途的，由县级以上地方人民政府房地产行政主管部门责令限期改正，给予警告，并处1万元以上10万元以下的罚款；有收益的，所得收益用于物业管理区域内物业共用部位、共用设施设备的维修、养护，剩余部分按照业主大会的决定使用。</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B715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nil"/>
              <w:right w:val="single" w:color="000000" w:sz="4" w:space="0"/>
            </w:tcBorders>
            <w:shd w:val="clear" w:color="auto" w:fill="auto"/>
            <w:vAlign w:val="center"/>
          </w:tcPr>
          <w:p w14:paraId="4A757ED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米东区物业服务管理中心</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34A82">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60FB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7A99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3163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7882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C32FE">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物业企业、建设单位、自然人</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6DA4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nil"/>
              <w:right w:val="single" w:color="000000" w:sz="4" w:space="0"/>
            </w:tcBorders>
            <w:shd w:val="clear" w:color="auto" w:fill="auto"/>
            <w:vAlign w:val="center"/>
          </w:tcPr>
          <w:p w14:paraId="73DD194C">
            <w:pPr>
              <w:jc w:val="center"/>
              <w:rPr>
                <w:rFonts w:hint="eastAsia" w:ascii="仿宋" w:hAnsi="仿宋" w:eastAsia="仿宋" w:cs="仿宋"/>
                <w:i w:val="0"/>
                <w:iCs w:val="0"/>
                <w:color w:val="000000"/>
                <w:sz w:val="12"/>
                <w:szCs w:val="12"/>
                <w:u w:val="none"/>
              </w:rPr>
            </w:pPr>
          </w:p>
        </w:tc>
      </w:tr>
      <w:tr w14:paraId="22F87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570FA">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89</w:t>
            </w:r>
          </w:p>
        </w:tc>
        <w:tc>
          <w:tcPr>
            <w:tcW w:w="14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340A5">
            <w:pPr>
              <w:keepNext w:val="0"/>
              <w:keepLines w:val="0"/>
              <w:widowControl/>
              <w:suppressLineNumbers w:val="0"/>
              <w:jc w:val="both"/>
              <w:textAlignment w:val="center"/>
              <w:rPr>
                <w:rFonts w:ascii="方正仿宋_GBK" w:hAnsi="方正仿宋_GBK" w:eastAsia="方正仿宋_GBK" w:cs="方正仿宋_GBK"/>
                <w:i w:val="0"/>
                <w:iCs w:val="0"/>
                <w:color w:val="000000"/>
                <w:sz w:val="12"/>
                <w:szCs w:val="12"/>
                <w:u w:val="none"/>
              </w:rPr>
            </w:pPr>
            <w:r>
              <w:rPr>
                <w:rFonts w:hint="eastAsia" w:ascii="方正仿宋_GBK" w:hAnsi="方正仿宋_GBK" w:eastAsia="方正仿宋_GBK" w:cs="方正仿宋_GBK"/>
                <w:i w:val="0"/>
                <w:iCs w:val="0"/>
                <w:color w:val="000000"/>
                <w:kern w:val="0"/>
                <w:sz w:val="12"/>
                <w:szCs w:val="12"/>
                <w:u w:val="none"/>
                <w:lang w:val="en-US" w:eastAsia="zh-CN" w:bidi="ar"/>
              </w:rPr>
              <w:t>对《物业管理条例》第六十三条禁止行为的处罚</w:t>
            </w:r>
          </w:p>
        </w:tc>
        <w:tc>
          <w:tcPr>
            <w:tcW w:w="1093" w:type="dxa"/>
            <w:tcBorders>
              <w:top w:val="single" w:color="000000" w:sz="4" w:space="0"/>
              <w:left w:val="single" w:color="000000" w:sz="4" w:space="0"/>
              <w:bottom w:val="nil"/>
              <w:right w:val="single" w:color="000000" w:sz="4" w:space="0"/>
            </w:tcBorders>
            <w:shd w:val="clear" w:color="auto" w:fill="auto"/>
            <w:vAlign w:val="center"/>
          </w:tcPr>
          <w:p w14:paraId="455037FD">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F2CD6">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nil"/>
              <w:right w:val="single" w:color="000000" w:sz="4" w:space="0"/>
            </w:tcBorders>
            <w:shd w:val="clear" w:color="auto" w:fill="auto"/>
            <w:vAlign w:val="center"/>
          </w:tcPr>
          <w:p w14:paraId="2B4B89D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《物业管理条例》（2018年3月19日国务院令第698号第三次修订）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六十三条违反本条例的规定，有下列行为之一的，由县级以上地方人民政府房地产行政主管部门责令限期改正，给予警告，并按照本条第二款的规定处以罚款；所得收益，用于物业管理区域内物业共用部位、共用设施设备的维修、养护，剩余部分按照业主大会的决定使用：</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（一）擅自改变物业管理区域内按照规划建设的公共建筑和共用设施用途的；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（二）擅自占用、挖掘物业管理区域内道路、场地，损害业主共同利益的；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（三）擅自利用物业共用部位、共用设施设备进行经营的。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个人有前款规定行为之一的，处1000元以上1万元以下的罚款；单位有前款规定行为之一的，处5万元以上20万元以下的罚款。</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68E8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nil"/>
              <w:right w:val="single" w:color="000000" w:sz="4" w:space="0"/>
            </w:tcBorders>
            <w:shd w:val="clear" w:color="auto" w:fill="auto"/>
            <w:vAlign w:val="center"/>
          </w:tcPr>
          <w:p w14:paraId="2FC66427">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米东区物业服务管理中心</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7ADC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FA71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A537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DE64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9296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0E702">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物业企业、建设单位、自然人</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B118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nil"/>
              <w:right w:val="single" w:color="000000" w:sz="4" w:space="0"/>
            </w:tcBorders>
            <w:shd w:val="clear" w:color="auto" w:fill="auto"/>
            <w:vAlign w:val="center"/>
          </w:tcPr>
          <w:p w14:paraId="1AF5420C">
            <w:pPr>
              <w:jc w:val="center"/>
              <w:rPr>
                <w:rFonts w:hint="eastAsia" w:ascii="仿宋" w:hAnsi="仿宋" w:eastAsia="仿宋" w:cs="仿宋"/>
                <w:i w:val="0"/>
                <w:iCs w:val="0"/>
                <w:color w:val="000000"/>
                <w:sz w:val="12"/>
                <w:szCs w:val="12"/>
                <w:u w:val="none"/>
              </w:rPr>
            </w:pPr>
          </w:p>
        </w:tc>
      </w:tr>
      <w:tr w14:paraId="3AC3D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98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40805">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90</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87D4C">
            <w:pPr>
              <w:keepNext w:val="0"/>
              <w:keepLines w:val="0"/>
              <w:widowControl/>
              <w:suppressLineNumbers w:val="0"/>
              <w:jc w:val="left"/>
              <w:textAlignment w:val="center"/>
              <w:rPr>
                <w:rFonts w:hint="eastAsia" w:ascii="仿宋_GB2312" w:hAnsi="等线" w:eastAsia="仿宋_GB2312" w:cs="仿宋_GB2312"/>
                <w:i w:val="0"/>
                <w:iCs w:val="0"/>
                <w:color w:val="000000"/>
                <w:sz w:val="12"/>
                <w:szCs w:val="12"/>
                <w:u w:val="none"/>
              </w:rPr>
            </w:pPr>
            <w:r>
              <w:rPr>
                <w:rFonts w:hint="eastAsia" w:ascii="仿宋_GB2312" w:hAnsi="等线" w:eastAsia="仿宋_GB2312" w:cs="仿宋_GB2312"/>
                <w:i w:val="0"/>
                <w:iCs w:val="0"/>
                <w:color w:val="000000"/>
                <w:kern w:val="0"/>
                <w:sz w:val="12"/>
                <w:szCs w:val="12"/>
                <w:u w:val="none"/>
                <w:lang w:val="en-US" w:eastAsia="zh-CN" w:bidi="ar"/>
              </w:rPr>
              <w:t>对装修人未申报登记进行住宅室内装饰装修活动的处罚</w:t>
            </w:r>
          </w:p>
        </w:tc>
        <w:tc>
          <w:tcPr>
            <w:tcW w:w="1093" w:type="dxa"/>
            <w:tcBorders>
              <w:top w:val="single" w:color="000000" w:sz="4" w:space="0"/>
              <w:left w:val="single" w:color="000000" w:sz="4" w:space="0"/>
              <w:bottom w:val="nil"/>
              <w:right w:val="single" w:color="000000" w:sz="4" w:space="0"/>
            </w:tcBorders>
            <w:shd w:val="clear" w:color="auto" w:fill="auto"/>
            <w:vAlign w:val="center"/>
          </w:tcPr>
          <w:p w14:paraId="72788F8F">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A623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nil"/>
              <w:right w:val="single" w:color="000000" w:sz="4" w:space="0"/>
            </w:tcBorders>
            <w:shd w:val="clear" w:color="auto" w:fill="auto"/>
            <w:vAlign w:val="center"/>
          </w:tcPr>
          <w:p w14:paraId="5F57356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【部门规章】《住宅室内装饰装修管理办法》</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第六条第一款装修人从事住宅室内装饰装修活动，未经批准，不得有下列行为：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（一）搭建建筑物、构筑物；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（二）改变住宅外立面，在非承重外墙上开门、窗；</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（三）拆改供暖管道和设施；</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（四）拆改燃气管道和设施。</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第三十五条装修人未申报登记进行住宅室内装饰装修活动的，由城市房地产行政主管部门责令改正，处5百元以上1千元以下的罚款。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【行政规范性文件】《自治区人民政府关于赋予乡镇人民政府和街道办事处部分行政处罚权的决定》（新政发〔2023〕31号）乡镇（街道）行政处罚赋权事项指导目录（2023版）</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7190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nil"/>
              <w:right w:val="single" w:color="000000" w:sz="4" w:space="0"/>
            </w:tcBorders>
            <w:shd w:val="clear" w:color="auto" w:fill="auto"/>
            <w:vAlign w:val="center"/>
          </w:tcPr>
          <w:p w14:paraId="5844215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米东区物业服务管理中心</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CEB2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482C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5A97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614D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FCC1E">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BF8AD">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装修人</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3C1B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nil"/>
              <w:right w:val="single" w:color="000000" w:sz="4" w:space="0"/>
            </w:tcBorders>
            <w:shd w:val="clear" w:color="auto" w:fill="auto"/>
            <w:vAlign w:val="center"/>
          </w:tcPr>
          <w:p w14:paraId="3AF98352">
            <w:pPr>
              <w:jc w:val="center"/>
              <w:rPr>
                <w:rFonts w:hint="eastAsia" w:ascii="仿宋" w:hAnsi="仿宋" w:eastAsia="仿宋" w:cs="仿宋"/>
                <w:i w:val="0"/>
                <w:iCs w:val="0"/>
                <w:color w:val="000000"/>
                <w:sz w:val="12"/>
                <w:szCs w:val="12"/>
                <w:u w:val="none"/>
              </w:rPr>
            </w:pPr>
          </w:p>
        </w:tc>
      </w:tr>
      <w:tr w14:paraId="148CC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7A963">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91</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CB9A4">
            <w:pPr>
              <w:keepNext w:val="0"/>
              <w:keepLines w:val="0"/>
              <w:widowControl/>
              <w:suppressLineNumbers w:val="0"/>
              <w:jc w:val="left"/>
              <w:textAlignment w:val="center"/>
              <w:rPr>
                <w:rFonts w:hint="eastAsia" w:ascii="仿宋_GB2312" w:hAnsi="等线" w:eastAsia="仿宋_GB2312" w:cs="仿宋_GB2312"/>
                <w:i w:val="0"/>
                <w:iCs w:val="0"/>
                <w:color w:val="000000"/>
                <w:sz w:val="12"/>
                <w:szCs w:val="12"/>
                <w:u w:val="none"/>
              </w:rPr>
            </w:pPr>
            <w:r>
              <w:rPr>
                <w:rFonts w:hint="eastAsia" w:ascii="仿宋_GB2312" w:hAnsi="等线" w:eastAsia="仿宋_GB2312" w:cs="仿宋_GB2312"/>
                <w:i w:val="0"/>
                <w:iCs w:val="0"/>
                <w:color w:val="000000"/>
                <w:kern w:val="0"/>
                <w:sz w:val="12"/>
                <w:szCs w:val="12"/>
                <w:u w:val="none"/>
                <w:lang w:val="en-US" w:eastAsia="zh-CN" w:bidi="ar"/>
              </w:rPr>
              <w:t>对物业管理单位发现装修人或者装饰装修企业有违反《住宅室内装饰装修管理办法》规定的行为不及时向有关部门报告的处罚</w:t>
            </w:r>
          </w:p>
        </w:tc>
        <w:tc>
          <w:tcPr>
            <w:tcW w:w="1093" w:type="dxa"/>
            <w:tcBorders>
              <w:top w:val="single" w:color="000000" w:sz="4" w:space="0"/>
              <w:left w:val="single" w:color="000000" w:sz="4" w:space="0"/>
              <w:bottom w:val="nil"/>
              <w:right w:val="single" w:color="000000" w:sz="4" w:space="0"/>
            </w:tcBorders>
            <w:shd w:val="clear" w:color="auto" w:fill="auto"/>
            <w:vAlign w:val="center"/>
          </w:tcPr>
          <w:p w14:paraId="5C9428F6">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AB14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nil"/>
              <w:right w:val="single" w:color="000000" w:sz="4" w:space="0"/>
            </w:tcBorders>
            <w:shd w:val="clear" w:color="auto" w:fill="auto"/>
            <w:vAlign w:val="center"/>
          </w:tcPr>
          <w:p w14:paraId="0469F87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《住宅室内装饰装修管理办法》</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第四十二条物业管理单位发现装修人或者装饰装修企业有违反本办法规定的行为不及时向有关部门报告的，由房地产行政主管部门给予警告，可处装饰装修管理服务协议约定的装饰装修管理服务费2至3倍的罚款。</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C6C2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nil"/>
              <w:right w:val="single" w:color="000000" w:sz="4" w:space="0"/>
            </w:tcBorders>
            <w:shd w:val="clear" w:color="auto" w:fill="auto"/>
            <w:vAlign w:val="center"/>
          </w:tcPr>
          <w:p w14:paraId="22657F4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米东区物业服务管理中心</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8EE5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45E6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626B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6150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2EF3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48A90">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物业企业</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B013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nil"/>
              <w:right w:val="single" w:color="000000" w:sz="4" w:space="0"/>
            </w:tcBorders>
            <w:shd w:val="clear" w:color="auto" w:fill="auto"/>
            <w:vAlign w:val="center"/>
          </w:tcPr>
          <w:p w14:paraId="78822D63">
            <w:pPr>
              <w:jc w:val="center"/>
              <w:rPr>
                <w:rFonts w:hint="eastAsia" w:ascii="仿宋" w:hAnsi="仿宋" w:eastAsia="仿宋" w:cs="仿宋"/>
                <w:i w:val="0"/>
                <w:iCs w:val="0"/>
                <w:color w:val="000000"/>
                <w:sz w:val="12"/>
                <w:szCs w:val="12"/>
                <w:u w:val="none"/>
              </w:rPr>
            </w:pPr>
          </w:p>
        </w:tc>
      </w:tr>
      <w:tr w14:paraId="5826D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6409D">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92</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46580">
            <w:pPr>
              <w:keepNext w:val="0"/>
              <w:keepLines w:val="0"/>
              <w:widowControl/>
              <w:suppressLineNumbers w:val="0"/>
              <w:jc w:val="left"/>
              <w:textAlignment w:val="center"/>
              <w:rPr>
                <w:rFonts w:hint="eastAsia" w:ascii="仿宋_GB2312" w:hAnsi="等线" w:eastAsia="仿宋_GB2312" w:cs="仿宋_GB2312"/>
                <w:i w:val="0"/>
                <w:iCs w:val="0"/>
                <w:color w:val="000000"/>
                <w:sz w:val="12"/>
                <w:szCs w:val="12"/>
                <w:u w:val="none"/>
              </w:rPr>
            </w:pPr>
            <w:r>
              <w:rPr>
                <w:rFonts w:hint="eastAsia" w:ascii="仿宋_GB2312" w:hAnsi="等线" w:eastAsia="仿宋_GB2312" w:cs="仿宋_GB2312"/>
                <w:i w:val="0"/>
                <w:iCs w:val="0"/>
                <w:color w:val="000000"/>
                <w:kern w:val="0"/>
                <w:sz w:val="12"/>
                <w:szCs w:val="12"/>
                <w:u w:val="none"/>
                <w:lang w:val="en-US" w:eastAsia="zh-CN" w:bidi="ar"/>
              </w:rPr>
              <w:t>对将厨房、卫生间、阳台和地下储藏室等非原设计的房间出租的处罚</w:t>
            </w:r>
          </w:p>
        </w:tc>
        <w:tc>
          <w:tcPr>
            <w:tcW w:w="1093" w:type="dxa"/>
            <w:tcBorders>
              <w:top w:val="single" w:color="000000" w:sz="4" w:space="0"/>
              <w:left w:val="single" w:color="000000" w:sz="4" w:space="0"/>
              <w:bottom w:val="nil"/>
              <w:right w:val="single" w:color="000000" w:sz="4" w:space="0"/>
            </w:tcBorders>
            <w:shd w:val="clear" w:color="auto" w:fill="auto"/>
            <w:vAlign w:val="center"/>
          </w:tcPr>
          <w:p w14:paraId="6BD3FDB2">
            <w:pPr>
              <w:jc w:val="center"/>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92D7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nil"/>
              <w:right w:val="single" w:color="000000" w:sz="4" w:space="0"/>
            </w:tcBorders>
            <w:shd w:val="clear" w:color="auto" w:fill="auto"/>
            <w:vAlign w:val="center"/>
          </w:tcPr>
          <w:p w14:paraId="68FBBF4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商品房屋租赁管理办法》（建设部第8号令）第八条出租住房的，应当以原设计的房间为最小出租单位，人均租住建筑面积不得低于当地人民政府规定的最低标准。厨房、卫生间、阳台和地下储藏室等非居住空间不得出租用于居住。</w:t>
            </w:r>
          </w:p>
        </w:tc>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33FE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nil"/>
              <w:right w:val="single" w:color="000000" w:sz="4" w:space="0"/>
            </w:tcBorders>
            <w:shd w:val="clear" w:color="auto" w:fill="auto"/>
            <w:vAlign w:val="center"/>
          </w:tcPr>
          <w:p w14:paraId="207332C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米东区物业服务管理中心</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BDDF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3D78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AC35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查处住房城乡建设领域违法案件。</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918C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3.依法依规实施本级行政处罚事项，做出的行政处罚决定应当予以公开。</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3762E">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2EF56">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自然人</w:t>
            </w:r>
          </w:p>
        </w:tc>
        <w:tc>
          <w:tcPr>
            <w:tcW w:w="9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63AA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nil"/>
              <w:right w:val="single" w:color="000000" w:sz="4" w:space="0"/>
            </w:tcBorders>
            <w:shd w:val="clear" w:color="auto" w:fill="auto"/>
            <w:vAlign w:val="center"/>
          </w:tcPr>
          <w:p w14:paraId="19553008">
            <w:pPr>
              <w:jc w:val="center"/>
              <w:rPr>
                <w:rFonts w:hint="eastAsia" w:ascii="仿宋" w:hAnsi="仿宋" w:eastAsia="仿宋" w:cs="仿宋"/>
                <w:i w:val="0"/>
                <w:iCs w:val="0"/>
                <w:color w:val="000000"/>
                <w:sz w:val="12"/>
                <w:szCs w:val="12"/>
                <w:u w:val="none"/>
              </w:rPr>
            </w:pPr>
          </w:p>
        </w:tc>
      </w:tr>
      <w:tr w14:paraId="28289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9A0470">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93</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19CEC4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对工程造价咨询企业在建筑工程计价活动中，出具有虚假记载、误导性陈述的工程造价成果文件的处罚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89667E3">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7B0CA2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2C00AA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建筑工程施工发包与承包计价管理办法》（2013年12月11日住房和城乡建设部令第16号发布）第二十三条：工程造价咨询企业在建筑工程计价活动中，出具有虚假记载、误导性陈述的工程造价成果文件的，记入工程造价咨询企业信用档案，由县级以上地方人民政府住房城乡建设主管部门责令改正，处1万元以上3万元以下的罚款，并予以通报。</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9B45E1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5F2500E">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2F2753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B174B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7ACCF4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8D4E2E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099C85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【法律】《中华人民共和国行政处罚法》（1996年3月17日第八届全国人民代表大会第四次会议通过，2021年1月22日第十三届全国人民代表大会常务委员会第二十五次会议修订）</w:t>
            </w: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47470B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EFEB84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0FCFDB5">
            <w:pPr>
              <w:jc w:val="center"/>
              <w:rPr>
                <w:rFonts w:hint="eastAsia" w:ascii="仿宋" w:hAnsi="仿宋" w:eastAsia="仿宋" w:cs="仿宋"/>
                <w:i w:val="0"/>
                <w:iCs w:val="0"/>
                <w:color w:val="000000"/>
                <w:sz w:val="12"/>
                <w:szCs w:val="12"/>
                <w:u w:val="none"/>
              </w:rPr>
            </w:pPr>
          </w:p>
        </w:tc>
      </w:tr>
      <w:tr w14:paraId="49ACA3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5D7CC96">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94</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951126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对聘用单位为申请人提供虚假造价工程师注册材料的处罚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CAE497">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914E4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0FBB6D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注册造价工程师管理办法》（2006年12月25日建设部令第150号发布，2020年2月19日住房和城乡建设部令第50号第二次修正）第三十二条：聘用单位为申请人提供虚假注册材料的，由县级以上地方人民政府住房城乡建设主管部门或者其他有关部门给予警告，并可处以1万元以上3万元以下的罚款。</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8351B0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73992FF">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134999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87310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6B4359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B1AC6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1A6212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第五章、第六章、第七章。</w:t>
            </w: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F7BFB8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E7F27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EB94DE5">
            <w:pPr>
              <w:jc w:val="center"/>
              <w:rPr>
                <w:rFonts w:hint="eastAsia" w:ascii="仿宋" w:hAnsi="仿宋" w:eastAsia="仿宋" w:cs="仿宋"/>
                <w:i w:val="0"/>
                <w:iCs w:val="0"/>
                <w:color w:val="000000"/>
                <w:sz w:val="12"/>
                <w:szCs w:val="12"/>
                <w:u w:val="none"/>
              </w:rPr>
            </w:pPr>
          </w:p>
        </w:tc>
      </w:tr>
      <w:tr w14:paraId="2BF1F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E8D0BF6">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95</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1EE6CC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对以欺骗、贿赂等不正当手段取得造价工程师注册的处罚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1CDA5B">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C92BDD">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969424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注册造价工程师管理办法》（2006年12月25日建设部令第150号发布，2020年2月19日住房和城乡建设部令第50号第二次修正）第三十三条：以欺骗、贿赂等不正当手段取得造价工程师注册的，由注册机关撤销其注册，3年内不得再次申请注册，并由县级以上地方人民政府住房城乡建设主管部门处以罚款。其中，没有违法所得的，处以1万元以下罚款；有违法所得的，处以违法所得3倍以下且不超过3万元的罚款。</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DAC21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C0FFA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132C00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DC9BC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47AFC5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1ECB9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56BCDAF">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B67469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02FD1E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ECB933">
            <w:pPr>
              <w:jc w:val="center"/>
              <w:rPr>
                <w:rFonts w:hint="eastAsia" w:ascii="仿宋" w:hAnsi="仿宋" w:eastAsia="仿宋" w:cs="仿宋"/>
                <w:i w:val="0"/>
                <w:iCs w:val="0"/>
                <w:color w:val="000000"/>
                <w:sz w:val="12"/>
                <w:szCs w:val="12"/>
                <w:u w:val="none"/>
              </w:rPr>
            </w:pPr>
          </w:p>
        </w:tc>
      </w:tr>
      <w:tr w14:paraId="4AAB0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C15E0B">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96</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F2EC6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对未经注册而以注册造价工程师的名义从事工程造价活动的处罚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C242593">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968EB1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02AB2C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注册造价工程师管理办法》（2006年12月25日建设部令第150号发布，2020年2月19日住房和城乡建设部令第50号第二次修正）第三十四条：违反本办法规定，未经注册而以注册造价工程师的名义从事工程造价活动的，所签署的工程造价成果文件无效，由县级以上地方人民政府住房城乡建设主管部门或者其他有关部门给予警告，责令停止违法活动，并可处以1万元以上3万元以下的罚款。</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042D3E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82440D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8E5838D">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F2EA25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C3EF81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866643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405555C">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4587DD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A7D9B2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EAFF7A5">
            <w:pPr>
              <w:jc w:val="center"/>
              <w:rPr>
                <w:rFonts w:hint="eastAsia" w:ascii="仿宋" w:hAnsi="仿宋" w:eastAsia="仿宋" w:cs="仿宋"/>
                <w:i w:val="0"/>
                <w:iCs w:val="0"/>
                <w:color w:val="000000"/>
                <w:sz w:val="12"/>
                <w:szCs w:val="12"/>
                <w:u w:val="none"/>
              </w:rPr>
            </w:pPr>
          </w:p>
        </w:tc>
      </w:tr>
      <w:tr w14:paraId="1569E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B606B0C">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97</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0C7C23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对未办理变更注册而继续执业的处罚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8E9B588">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D265BB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74122D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注册造价工程师管理办法》（2006年12月25日建设部令第150号发布，2020年2月19日住房和城乡建设部令第50号第二次修正）第三十五条：违反本办法规定，未办理变更注册而继续执业的，由县级以上人民政府住房城乡建设主管部门或者其他有关部门责令限期改正；逾期不改的，可处以5000元以下的罚款。</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4543C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A78D5A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A9D0E5E">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6BD802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FFBE2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756118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BBF8BEF">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BBA602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A82AD5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2CAB34B">
            <w:pPr>
              <w:jc w:val="center"/>
              <w:rPr>
                <w:rFonts w:hint="eastAsia" w:ascii="仿宋" w:hAnsi="仿宋" w:eastAsia="仿宋" w:cs="仿宋"/>
                <w:i w:val="0"/>
                <w:iCs w:val="0"/>
                <w:color w:val="000000"/>
                <w:sz w:val="12"/>
                <w:szCs w:val="12"/>
                <w:u w:val="none"/>
              </w:rPr>
            </w:pPr>
          </w:p>
        </w:tc>
      </w:tr>
      <w:tr w14:paraId="39F03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342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E50425">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98</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B7B12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对《注册造价工程师管理办法》第二十条禁止行为的处罚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C24DE2C">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94C1B5F">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84A21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注册造价工程师管理办法》（2006年12月25日建设部令第150号发布，2020年2月19日住房和城乡建设部令第50号第二次修正）第三十六条：注册造价工程师有本办法第二十条规定行为之一的，由县级以上地方人民政府住房城乡建设主管部门或者其他有关部门给予警告，责令改正，没有违法所得的，处以1万元以下罚款，有违法所得的，处以违法所得3倍以下且不超过3万元的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第二十条：注册造价工程师不得有下列行为：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（一）不履行注册造价工程师义务；</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（二）在执业过程中，索贿、受贿或者谋取合同约定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费用以外的其他利益；</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（三）在执业过程中实施商业贿赂；</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（四）签署有虚假记载、误导性陈述的工程造价成果</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文件；</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（五）以个人名义承接工程造价业务；</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（六）允许他人以自己名义从事工程造价业务；</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（七）同时在两个或者两个以上单位执业；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（八）涂改、倒卖、出租、出借或者以其他形式非法</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转让注册证书或者执业印章；</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（九）超出执业范围、注册专业范围执业；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（十）法律、法规、规章禁止的其他行为。</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612103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54B2D7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3527DD">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949CE7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EACAB4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464406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C48F59C">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208048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1BD7B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3A07487">
            <w:pPr>
              <w:jc w:val="center"/>
              <w:rPr>
                <w:rFonts w:hint="eastAsia" w:ascii="仿宋" w:hAnsi="仿宋" w:eastAsia="仿宋" w:cs="仿宋"/>
                <w:i w:val="0"/>
                <w:iCs w:val="0"/>
                <w:color w:val="000000"/>
                <w:sz w:val="12"/>
                <w:szCs w:val="12"/>
                <w:u w:val="none"/>
              </w:rPr>
            </w:pPr>
          </w:p>
        </w:tc>
      </w:tr>
      <w:tr w14:paraId="63734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F48E215">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99</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A3D8C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对注册造价工程师或者其聘用单位未按照要求提供造价工程师信用档案信息的处罚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082E395">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8E8EB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77529E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注册造价工程师管理办法》（2006年12月25日建设部令第150号发布，2020年2月19日住房和城乡建设部令第50号第二次修正）第三十七条：违反本办法规定，注册造价工程师或者其聘用单位未按照要求提供造价工程师信用档案信息的，由县级以上地方人民政府住房城乡建设主管部门或者其他有关部门责令限期改正；逾期未改正的，可处以1000元以上1万元以下的罚款。</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26C0CA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09F36B">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2C6486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1FFAD2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1915E3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2A659F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7991BA6">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C1384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441E54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472680D">
            <w:pPr>
              <w:jc w:val="center"/>
              <w:rPr>
                <w:rFonts w:hint="eastAsia" w:ascii="仿宋" w:hAnsi="仿宋" w:eastAsia="仿宋" w:cs="仿宋"/>
                <w:i w:val="0"/>
                <w:iCs w:val="0"/>
                <w:color w:val="000000"/>
                <w:sz w:val="12"/>
                <w:szCs w:val="12"/>
                <w:u w:val="none"/>
              </w:rPr>
            </w:pPr>
          </w:p>
        </w:tc>
      </w:tr>
      <w:tr w14:paraId="78F42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216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93D6E5B">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100</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1A5F20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对《新疆维吾尔自治区建设工程造价管理办法》第十四条禁止行为的处罚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5B7824">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3356E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B438E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新疆维吾尔自治区建设工程造价管理办法》（2006年5月12日自治区人民政府令第138号发布，2010年12月13日自治区人民政府令第165号修正）第十四条：建设工程造价中的下列费用应当在工程总价中单独列项计取，不得列入招标投标的竞争性费用：</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(一)社会保障费；</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(二)危险作业意外伤害保险；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(三)工程排污费；</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(四)工程定额测定费；</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(五)住房公积金。</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建筑安装工程费中的安全防护、文明施工措施费列入限制竞争性费用，取费标准按照自治区统一规定的费率执行。</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第三十条：违反本办法第十四条规定的，由县级以上人民政府建设行政主管部门或者其他有关部门认定计价行为无效，责令限期改正，并处1万元以上3万元以下罚款。</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E98A0B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14ACD5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1A9DB17">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336BC7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0BADC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AEAC9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006C935">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628252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686195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F190394">
            <w:pPr>
              <w:jc w:val="center"/>
              <w:rPr>
                <w:rFonts w:hint="eastAsia" w:ascii="仿宋" w:hAnsi="仿宋" w:eastAsia="仿宋" w:cs="仿宋"/>
                <w:i w:val="0"/>
                <w:iCs w:val="0"/>
                <w:color w:val="000000"/>
                <w:sz w:val="12"/>
                <w:szCs w:val="12"/>
                <w:u w:val="none"/>
              </w:rPr>
            </w:pPr>
          </w:p>
        </w:tc>
      </w:tr>
      <w:tr w14:paraId="1E7A1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342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AE4AA53">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101</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B3C0D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对发包单位将工程发包或委托给不具有相应资质条件的承包单位的，或者违规将建筑工程肢解发包，以及未取得资质证书、骗取资质证书承揽工程的处罚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707C1E">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0213E8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F0848B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【法律】《中华人民共和国建筑法》（1997年11月1日第</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八届全国人大常委会第28次会议通过，2011年4月22日主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席令第46号修正，2019年4月23日主席令第29号第二次修正）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六十五条：发包单位将工程发包给不具有相应资质条件的承包单位的，或者违反本法规定将建筑工程肢解发包的，责令改正，处以罚款。超越本单位资质等级承揽工程的，责令停止违法行为，处以罚款，可以责令停业整顿，降低资质等级；情节严重的，吊销资质证书；有违法所得的，予以没收。</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未取得资质证书承揽工程的，予以取缔，并处罚款；有违法所得的，予以没收。以欺骗手段取得资质证书的，吊销资质证书，处以罚款；构成犯罪的，依法追究刑事责任。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【法规】《建设工程质量管理条例》（2000年国务院令</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第279号发布，根据2019年4月23日国务院令第714号修订）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第五十四条：违反本条例规定，建设单位将建设工程发包给不具有相应资质等级的勘察、设计、施工单位或者委托给不具有相应资质等级的工程监理单位的，责令改正，处50万元以上100万元以下的罚款。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五十五条：违反本条例规定，建设单位将建设工程肢解发包的，责令改正，处工程合同价款百分之零点五以上百分之一以下的罚款；对全部或者部分使用国有资金的项目，并可以暂停项目执行或者暂停资金拨付。</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第七十三条：依照本条例规定，给予单位罚款处罚的，对单位直接负责的主管人员和其他直接责任人员处单位罚款数额百分之五以上百分之十以下的罚款。</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F7077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E2E70D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44E9F1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40CC54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C01CCB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ABB818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2EBAAE7">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6779D4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D313C8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C2B327A">
            <w:pPr>
              <w:jc w:val="center"/>
              <w:rPr>
                <w:rFonts w:hint="eastAsia" w:ascii="仿宋" w:hAnsi="仿宋" w:eastAsia="仿宋" w:cs="仿宋"/>
                <w:i w:val="0"/>
                <w:iCs w:val="0"/>
                <w:color w:val="000000"/>
                <w:sz w:val="12"/>
                <w:szCs w:val="12"/>
                <w:u w:val="none"/>
              </w:rPr>
            </w:pPr>
          </w:p>
        </w:tc>
      </w:tr>
      <w:tr w14:paraId="67DF5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808CC51">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102</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B698E2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对工程发包与承包中索贿、受贿、行贿但尚未构成犯罪的行为的处罚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CBB5023">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A0DBCB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DAEF71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建筑法》（1997年11月1日第八届全国人大常委会第28次会议通过，2011年4月22日主席令第46号修正，2019年4月23日主席令第29号第二次修正）第六十八条：在工程发包与承包中索贿、受贿、行贿，构成犯罪的，依法追究刑事责任；不构成犯罪的，分别处以罚款，没收贿赂的财物，对直接负责的主管人员和其他直接责任人员给予处分。对在工程承包中行贿的承包单位，除依照前款规定处罚外，可以责令停业整顿，降低资质等级或者吊销资质证书。</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3E6D0E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7B035C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CF4D587">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B9ED6B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8286B2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85CBC2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F1A81D3">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5AE271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940F00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FEDF52B">
            <w:pPr>
              <w:jc w:val="center"/>
              <w:rPr>
                <w:rFonts w:hint="eastAsia" w:ascii="仿宋" w:hAnsi="仿宋" w:eastAsia="仿宋" w:cs="仿宋"/>
                <w:i w:val="0"/>
                <w:iCs w:val="0"/>
                <w:color w:val="000000"/>
                <w:sz w:val="12"/>
                <w:szCs w:val="12"/>
                <w:u w:val="none"/>
              </w:rPr>
            </w:pPr>
          </w:p>
        </w:tc>
      </w:tr>
      <w:tr w14:paraId="67B25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27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B688BE3">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103</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EC90B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对承包单位将承包的工程转包或者违法分包，工程监理单位转让工程监理业务的处罚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2030C97">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F30B4A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4DEFE9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建筑法》（1997年11月1日第八届全国人大常委会第28次会议通过，2011年4月22日主席令第46号修正，2019年4月23日主席令第29号第二次修正）第六十七条：承包单位将承包的工程转包的，或者违反本法规定进行分包的，责令改正，没收违法所得，并处罚款，可以责令停业整顿，降低资质等级；情节严重的，吊销资质证书；承包单位有前款规定的违法行为的，对因转包工程或者违法分包的工程不符合规定的质量标准造成的损失，与接受转包或者分包的单位承担连带赔偿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法规】《建设工程质量管理条例》（2000年1月10日国务院令第279号发布，根据2019年4月23日国务院令第714号修订）第六十二条：违反本条例规定，承包单位将承包的工程转包或者违法分包的，责令改正，没收违法所得，对勘察、设计单位处合同约定的勘察费、设计费百分之二十五以上百分之五十以下的罚款；对施工单位处工程合同价款百分之零点五以上百分之一以下的罚款；可以责令停业整顿，降低资质等级；情节严重的，吊销资质证书。工程监理单位转让工程监理业务的，责令改正，没收违法所得，处合同约定的监理酬金百分之二十五以上百分之五十以下的罚款；可以责令停业整顿，降低资质等</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级；情节严重的，吊销资质证书。第七十三条：依照本条例规定，给予单位罚款处罚的，对单位直接负责的主管人员和其他直接责任人员处单位罚款数额百分之五以上百分之十以下的罚款。</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3367E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179A6B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12C02BE">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E8EB5D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7CAB5D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AEDA9A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E2C91C">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BF2F2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3E251E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4CB6D48">
            <w:pPr>
              <w:jc w:val="center"/>
              <w:rPr>
                <w:rFonts w:hint="eastAsia" w:ascii="仿宋" w:hAnsi="仿宋" w:eastAsia="仿宋" w:cs="仿宋"/>
                <w:i w:val="0"/>
                <w:iCs w:val="0"/>
                <w:color w:val="000000"/>
                <w:sz w:val="12"/>
                <w:szCs w:val="12"/>
                <w:u w:val="none"/>
              </w:rPr>
            </w:pPr>
          </w:p>
        </w:tc>
      </w:tr>
      <w:tr w14:paraId="0C261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5140D68">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104</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7F0308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对建筑施工企业转让，出借资质证书或者以其他方式允许他人以本企业的名义承揽工程的处罚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7D5D5BB">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199518F">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378E71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建筑法》（1997年11月1日第八届全国人大常委会第28次会议通过，2011年4月22日主席令第46号修正，2019年4月23日主席令第29号第二次修正）第六十六条：建筑施工企业转让、出借资质证书或者以其他方式允许他人以本企业的名义承揽工程的，责令改正，没收违法所得，并处罚款，可以责令停业整顿，降低资质等级；情节严重的，吊销资质证书。对因该项承揽工程不符合规定的质量标准造成的损失，建筑施工企业与使用本企业名义的单位或者个人承担连带赔偿责任。</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872927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00D31C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F026E3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F311C0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9A13A5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CE2DF6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2B9028A">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61B1B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0327FC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E2A5A6E">
            <w:pPr>
              <w:jc w:val="center"/>
              <w:rPr>
                <w:rFonts w:hint="eastAsia" w:ascii="仿宋" w:hAnsi="仿宋" w:eastAsia="仿宋" w:cs="仿宋"/>
                <w:i w:val="0"/>
                <w:iCs w:val="0"/>
                <w:color w:val="000000"/>
                <w:sz w:val="12"/>
                <w:szCs w:val="12"/>
                <w:u w:val="none"/>
              </w:rPr>
            </w:pPr>
          </w:p>
        </w:tc>
      </w:tr>
      <w:tr w14:paraId="42E59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FCC3E2F">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105</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33DBA9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对建筑企业在接受监督检查时，不如实提供有关材料。或者拒绝、阻碍监督检查的处罚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707E4D">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A42A08B">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3FE05B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建筑业企业资质管理规定》（2015年1月22日住房和城乡建设部令第22号发布，2018年12月22日住房和城乡建设部令第45号修订）第三十九条：企业在接受监督检查时，不如实提供有关材料，或者拒绝、阻碍监督检查的，由县级以上地方人民政府住房城乡建设主管部门责令限期改正，并可以处3万元以下罚款。</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08D97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7EE26E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5113C0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295725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A2D0B5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A745BD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4E9F7B1">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D5ACD5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C5FD31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6A2EB75">
            <w:pPr>
              <w:jc w:val="center"/>
              <w:rPr>
                <w:rFonts w:hint="eastAsia" w:ascii="仿宋" w:hAnsi="仿宋" w:eastAsia="仿宋" w:cs="仿宋"/>
                <w:i w:val="0"/>
                <w:iCs w:val="0"/>
                <w:color w:val="000000"/>
                <w:sz w:val="12"/>
                <w:szCs w:val="12"/>
                <w:u w:val="none"/>
              </w:rPr>
            </w:pPr>
          </w:p>
        </w:tc>
      </w:tr>
      <w:tr w14:paraId="45546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4390DC">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106</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15384A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对建筑企业未按照要求提供企业信用档案信息的处罚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391DE7">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633F87">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8016BE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【规章】《建筑业企业资质管理规定》（2015年1月22日</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住房和城乡建设部令第22号发布，2018年12月22日住房和</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城乡建设部令第45号修订）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第四十条：企业未按照本规定要求提供企业信用档案</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信息的，由县级以上地方人民政府住房城乡建设主管部</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门或者其他有关部门给予警告，责令限期改正；逾期未</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改正的，可处以1000元以上1万元以下的罚款。</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FBF8D4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1508D8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6874D7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53E155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89D95F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A55656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B3E960">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71FC7E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2E46EF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DF044F4">
            <w:pPr>
              <w:jc w:val="center"/>
              <w:rPr>
                <w:rFonts w:hint="eastAsia" w:ascii="仿宋" w:hAnsi="仿宋" w:eastAsia="仿宋" w:cs="仿宋"/>
                <w:i w:val="0"/>
                <w:iCs w:val="0"/>
                <w:color w:val="000000"/>
                <w:sz w:val="12"/>
                <w:szCs w:val="12"/>
                <w:u w:val="none"/>
              </w:rPr>
            </w:pPr>
          </w:p>
        </w:tc>
      </w:tr>
      <w:tr w14:paraId="18E1C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E98A1AD">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107</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BD22D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对以欺骗、贿赂等不正当手段取得注册建造师注册证书的处罚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92125FD">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221AFE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E7AC25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【规章】《注册建造师管理规定》（2006年12月28日建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设部令第153号发布，2016年10月20日住房和城乡建设部</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令第32号修订）</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第三十四条：以欺骗、贿赂等不正当手段取得注册证</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书的，由注册机关撤销其注册，3年内不得再次申请注</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册，并由县级以上地方人民政府建设主管部门处以罚款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。其中没有违法所得的，处以1万元以下的罚款；有违法</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所得的，处以违法所得3倍以下且不超过3万元的罚款。</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EE46C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9675C3E">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768384D">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88E507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4451D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340E05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CE141D">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6585A6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46E25D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290D448">
            <w:pPr>
              <w:jc w:val="center"/>
              <w:rPr>
                <w:rFonts w:hint="eastAsia" w:ascii="仿宋" w:hAnsi="仿宋" w:eastAsia="仿宋" w:cs="仿宋"/>
                <w:i w:val="0"/>
                <w:iCs w:val="0"/>
                <w:color w:val="000000"/>
                <w:sz w:val="12"/>
                <w:szCs w:val="12"/>
                <w:u w:val="none"/>
              </w:rPr>
            </w:pPr>
          </w:p>
        </w:tc>
      </w:tr>
      <w:tr w14:paraId="317E3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98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6E15FDF">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108</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2AB97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对未取得注册证书和执业印章，担任大中型建设工程项目施工单位项目负责人，或者以注册建造师的名义从事相关活动的处罚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FBF7C10">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010390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9E3F86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【规章】《注册建造师管理规定》（2006年12月28日建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设部令153号发布，2016年10月20日依据《住房和城乡建设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部关于修改＜勘察设计注册工程师管理规定＞等11个部</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门规章的决定》（中华人民共和国住房和城乡建设部令</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第32号）修正）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第三十五条：违反本规定，未取得注册证书和执业印</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章，担任大中型建设工程项目施工单位项目负责人，或</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者以注册建造师的名义从事相关活动的，其所签署的工</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程文件无效，由县级以上地方人民政府建设主管部门或</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者其他有关部门给予警告，责令停止违法活动，并可处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以1万元以上3万元以下的罚款。</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87CA44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97AC882">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0DFB21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E8DF29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FBB673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E92CEE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EAEF34">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92F8A6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F1B2EA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86ADA1D">
            <w:pPr>
              <w:jc w:val="center"/>
              <w:rPr>
                <w:rFonts w:hint="eastAsia" w:ascii="仿宋" w:hAnsi="仿宋" w:eastAsia="仿宋" w:cs="仿宋"/>
                <w:i w:val="0"/>
                <w:iCs w:val="0"/>
                <w:color w:val="000000"/>
                <w:sz w:val="12"/>
                <w:szCs w:val="12"/>
                <w:u w:val="none"/>
              </w:rPr>
            </w:pPr>
          </w:p>
        </w:tc>
      </w:tr>
      <w:tr w14:paraId="0E7E2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9A3A71F">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109</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1FF75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对注册建造师未办理变更注册而继续执业的处罚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E797F4">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DBBEE2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059B11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注册建造师管理规定》（2006年12月28日建设部令153号发布，2016年10月20日依据《住房和城乡建设部关于修改＜勘察设计注册工程师管理规定＞等11个部门规章的决定》（中华人民共和国住房和城乡建设部令第32号）修正）第三十六条：违反本规定，未办理变更注册而继续执业的，由县级以上地方人民政府建设主管部门或者其他有关部门责令限期改正；逾期不改正的，可处以5000元以下的罚款。</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23C274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684FD9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4EAD7F6">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49FBA4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6CD05A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细化、量化行政处罚裁量基准的具体标准。建立健全对行政</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当予以公开。</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1C17CC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A9767D9">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CE6EE6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C7C719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C7D8F04">
            <w:pPr>
              <w:jc w:val="center"/>
              <w:rPr>
                <w:rFonts w:hint="eastAsia" w:ascii="仿宋" w:hAnsi="仿宋" w:eastAsia="仿宋" w:cs="仿宋"/>
                <w:i w:val="0"/>
                <w:iCs w:val="0"/>
                <w:color w:val="000000"/>
                <w:sz w:val="12"/>
                <w:szCs w:val="12"/>
                <w:u w:val="none"/>
              </w:rPr>
            </w:pPr>
          </w:p>
        </w:tc>
      </w:tr>
      <w:tr w14:paraId="4D53C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27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9E52B5B">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110</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5EA0D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对《注册建造师管理规定》第二十六条禁止行为的处罚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21D370B">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FF0E90B">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611EE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注册建造师管理规定》（2006年12月28日建设部令153号发布，2016年10月20日依据《住房和城乡建设部关于修改＜勘察设计注册工程师管理规定＞等11个部门规章的决定》（中华人民共和国住房和城乡建设部令第32号）修正）第三十七条：违反本规定，注册建造师在执业活动中有第二十六条所列行为之一的，由县级以上地方人民政府建设主管部门或者其他有关部门给予警告，责令改正，没有违法所得的，处以1万元以下的罚款；有违法所得的，处以违法所得3倍以下且不超过3万元的罚款。第二十六条：注册建造师不得有下列行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（一）不履行注册建造师义务；</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（二）在执业过程中，索贿、受贿或者谋取合同约定费用以外的其他利益；</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（三）在执业过程中实施商业贿赂；</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（四）签署有虚假记载等不合格的文件；</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（五）允许他人以自己的名义从事执业活动；</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（六）同时在两个或者两个以上单位受聘或者执业；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（七）涂改、倒卖、出租、出借或以其他形式非法转让资格证书、注册证书和执业印章；</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（八）超出执业范围和聘用单位业务范围内从事执业活动；</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（九）法律、法规、规章禁止的其他行为。</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2D32F4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9879B3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875B7A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05FE67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7120DA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75B11C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93DAAA">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768786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88F20D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167BDFD">
            <w:pPr>
              <w:jc w:val="center"/>
              <w:rPr>
                <w:rFonts w:hint="eastAsia" w:ascii="仿宋" w:hAnsi="仿宋" w:eastAsia="仿宋" w:cs="仿宋"/>
                <w:i w:val="0"/>
                <w:iCs w:val="0"/>
                <w:color w:val="000000"/>
                <w:sz w:val="12"/>
                <w:szCs w:val="12"/>
                <w:u w:val="none"/>
              </w:rPr>
            </w:pPr>
          </w:p>
        </w:tc>
      </w:tr>
      <w:tr w14:paraId="36EA0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581110A">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111</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C6EA21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对违反《注册建造师管理规定》，注册建造师或者其聘用单位未按照要求提供注册建造师信用档案信息的处罚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4E45B7F">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D4E4DC7">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674B8F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注册建造师管理规定》（2006年12月28日建设部令153号发布，2016年10月20日依据《住房和城乡建设部关于修改＜勘察设计注册工程师管理规定＞等11个部门规章的决定》（中华人民共和国住房和城乡建设部令第32号）修正）第三十八条：违反本规定，注册建造师或者其聘用单位未按照要求提供注册建造师信用档案信息的，由县级以上地方人民政府建设主管部门或者其他有关部门责令限期改正；逾期未改正的，可处以1000元以上1万元以下的罚款。</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104379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B8E36F6">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3943392">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8AD41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A8378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248E31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E622BC">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44D433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7837F8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08D293E">
            <w:pPr>
              <w:jc w:val="center"/>
              <w:rPr>
                <w:rFonts w:hint="eastAsia" w:ascii="仿宋" w:hAnsi="仿宋" w:eastAsia="仿宋" w:cs="仿宋"/>
                <w:i w:val="0"/>
                <w:iCs w:val="0"/>
                <w:color w:val="000000"/>
                <w:sz w:val="12"/>
                <w:szCs w:val="12"/>
                <w:u w:val="none"/>
              </w:rPr>
            </w:pPr>
          </w:p>
        </w:tc>
      </w:tr>
      <w:tr w14:paraId="3F626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C25BEAF">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112</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CADC1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对聘用单位为申请人提供虚假建造师注册材料的处罚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5009E70">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26969C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26CB18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【规章】《注册建造师管理规定》（2006年12月28日建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设部令153号发布，2016年10月20日依据《住房和城乡建设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部关于修改＜勘察设计注册工程师管理规定＞等11个部</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门规章的决定》（中华人民共和国住房和城乡建设部令</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第32号）修正）</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第三十九条：聘用单位为申请人提供虚假注册材料</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的，由县级以上地方人民政府建设主管部门或者其他有</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关部门给予警告，责令限期改正；逾期未改正的，可处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以1万元以上3万元以下的罚款。</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7EA437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FD2BD56">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021C4C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B29520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BC9F95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14ED9E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4C7E401">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AE500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95D6A2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42470B5">
            <w:pPr>
              <w:jc w:val="center"/>
              <w:rPr>
                <w:rFonts w:hint="eastAsia" w:ascii="仿宋" w:hAnsi="仿宋" w:eastAsia="仿宋" w:cs="仿宋"/>
                <w:i w:val="0"/>
                <w:iCs w:val="0"/>
                <w:color w:val="000000"/>
                <w:sz w:val="12"/>
                <w:szCs w:val="12"/>
                <w:u w:val="none"/>
              </w:rPr>
            </w:pPr>
          </w:p>
        </w:tc>
      </w:tr>
      <w:tr w14:paraId="1E5A9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1C6B6E">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113</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0529C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对以欺骗、贿赂等不正当手段取得工程监理企业资质证书的处罚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2FAAEE9">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FE9652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123501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工程监理企业资质管理规定》（2007年6月26日建设部令第158号发布，2018年12月22日住建部令第45号公布施行）第二十八条：以欺骗、贿赂等不正当手段取得工程监理企业资质证书的，由县级以上地方人民政府建设主管部门或者有关部门给予警告，并处1万元以上2万元以下的罚款，申请人3年内不得再次申请工程监理企业资质。</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D41D67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C6EFF06">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5043D4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E847FF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2DC84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4787A4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99B28AD">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92E0D8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899C38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AA3AA42">
            <w:pPr>
              <w:jc w:val="center"/>
              <w:rPr>
                <w:rFonts w:hint="eastAsia" w:ascii="仿宋" w:hAnsi="仿宋" w:eastAsia="仿宋" w:cs="仿宋"/>
                <w:i w:val="0"/>
                <w:iCs w:val="0"/>
                <w:color w:val="000000"/>
                <w:sz w:val="12"/>
                <w:szCs w:val="12"/>
                <w:u w:val="none"/>
              </w:rPr>
            </w:pPr>
          </w:p>
        </w:tc>
      </w:tr>
      <w:tr w14:paraId="591F7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DB664A">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114</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3C14BE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对未经注册，擅自以注册监理工程师的名义从事工程监理及相关业务活动的处罚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4D08A44">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F5E386F">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0D49AA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注册监理工程师管理规定》（2006年1月26日建设部令第147号发布，根据2016年10月20日住房和城乡建设部令第32号修订）第二十九条：违反本规定，未经注册，擅自以注册监理工程师的名义从事工程监理及相关业务活动的，由县级以上地方人民政府建设主管部门给予警告，责令停止违法行为，处以3万元以下罚款；造成损失的，依法承担赔偿责任。</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D8ED1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EAD502F">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CC1349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89E1BA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8F41E3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E50FB2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F87167">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318F5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B5F3AE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169E6C9">
            <w:pPr>
              <w:jc w:val="center"/>
              <w:rPr>
                <w:rFonts w:hint="eastAsia" w:ascii="仿宋" w:hAnsi="仿宋" w:eastAsia="仿宋" w:cs="仿宋"/>
                <w:i w:val="0"/>
                <w:iCs w:val="0"/>
                <w:color w:val="000000"/>
                <w:sz w:val="12"/>
                <w:szCs w:val="12"/>
                <w:u w:val="none"/>
              </w:rPr>
            </w:pPr>
          </w:p>
        </w:tc>
      </w:tr>
      <w:tr w14:paraId="71A826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A5C7453">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115</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24AFC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对注册监理工程师未办理变更注册仍执业的处罚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13E4C5">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80A96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2DAA8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注册监理工程师管理规定》（2006年1月26日建设部令第147号发布，根据2016年10月20日住房和城乡建设部令第32号修订）第三十条：违反本规定，未办理变更注册仍执业的，由县级以上地方人民政府建设主管部门给予警告，责令限期改正；逾期不改的，可处以5000元以下的罚款。</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6C96F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055770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49163A7">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CE492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76CF00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FCE3A6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FCD096">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FF332B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50B500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D417557">
            <w:pPr>
              <w:jc w:val="center"/>
              <w:rPr>
                <w:rFonts w:hint="eastAsia" w:ascii="仿宋" w:hAnsi="仿宋" w:eastAsia="仿宋" w:cs="仿宋"/>
                <w:i w:val="0"/>
                <w:iCs w:val="0"/>
                <w:color w:val="000000"/>
                <w:sz w:val="12"/>
                <w:szCs w:val="12"/>
                <w:u w:val="none"/>
              </w:rPr>
            </w:pPr>
          </w:p>
        </w:tc>
      </w:tr>
      <w:tr w14:paraId="7760C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216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A7279C1">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116</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EA3A5F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对注册监理工程师在执业活动中违反《注册监理工程师管理规定》第三十一条禁止行为的处罚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1BC464">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A4EE80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564B7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注册监理工程师管理规定》（2006年1月26日建设部令第147号，根据2016年10月20日住房和城乡建设部令第32号修订）第三十一条：注册监理工程师在执业活动中有下列行为之一的，由县级以上地方人民政府建设主管部门给予警告，责令其改正，没有违法所得的，处以1万元以下罚款，有违法所得的，处以违法所得3倍以下且不超过3万元的罚款；造成损失的，依法承担赔偿责任；构成犯罪的，依法追究刑事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（一）以个人名义承接业务的；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（二）涂改、倒卖、出租、出借或者以其他形式非法转让注册证书或者执业印章的；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（三）泄露执业中应当保守的秘密并造成严重后果的；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（四）超出规定执业范围或者聘用单位业务范围从事执业活动的；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（五）弄虚作假提供执业活动成果的；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（六）同时受聘于两个或者两个以上的单位，从事执业活动的；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（七）其他违反法律、法规、规章的行为。</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21880A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165E5C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9B129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29E5E4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2E9B07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1D2C4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F99FEC2">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9473B8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6F3924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5D6911">
            <w:pPr>
              <w:jc w:val="center"/>
              <w:rPr>
                <w:rFonts w:hint="eastAsia" w:ascii="仿宋" w:hAnsi="仿宋" w:eastAsia="仿宋" w:cs="仿宋"/>
                <w:i w:val="0"/>
                <w:iCs w:val="0"/>
                <w:color w:val="000000"/>
                <w:sz w:val="12"/>
                <w:szCs w:val="12"/>
                <w:u w:val="none"/>
              </w:rPr>
            </w:pPr>
          </w:p>
        </w:tc>
      </w:tr>
      <w:tr w14:paraId="66190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A8CBF5">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117</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51B2BE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对招标代理机构泄露应当保密的与招标投标活动有关的情况和资料的，或者与招标人、投标人串通损害国家利益、社会公共利益或者他人合法权益的处罚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2B71221">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6F010F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6662CB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招标投标法》（1999年8月30日第九届全国人民代表大会常务委员会第十一次会议通过。根据2017年12月27日第十二届全国人民代表大会常务委员会第三十一次会议《关于修改〈中华人民共和国招标投标法〉、〈中华人民共和国计量法〉的决定》修正）第五十条：招标代理机构违反本法规定，泄露应当保密的与招标投标活动有关的情况和资料的，或者与招标人、投标人串通损害国家利益、社会公共利益或者他人合法权益的，处五万元以上二十五万元以下的罚款，对单位直接负责的主管人员和其他直接责任人员处单位罚款数额百分之五以上百分之十以下的罚款；有违法所得的，并处没收违法所得；情节严重的，禁止其一年至二年内代理依法必须进行招标的项目并予以公告，直至由工商行政管理机关吊销营业执照；构成犯罪的，依法追究刑事责任。给他人造成损失的，依法承担赔偿责任。前款所列行为影响中标结果的，中标无效。</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132514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B851CFD">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40EA28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69C0E2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8F490D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AFFEF6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7EE9238">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24105A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AD928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064CB9A">
            <w:pPr>
              <w:jc w:val="center"/>
              <w:rPr>
                <w:rFonts w:hint="eastAsia" w:ascii="仿宋" w:hAnsi="仿宋" w:eastAsia="仿宋" w:cs="仿宋"/>
                <w:i w:val="0"/>
                <w:iCs w:val="0"/>
                <w:color w:val="000000"/>
                <w:sz w:val="12"/>
                <w:szCs w:val="12"/>
                <w:u w:val="none"/>
              </w:rPr>
            </w:pPr>
          </w:p>
        </w:tc>
      </w:tr>
      <w:tr w14:paraId="552D2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216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760354">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118</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2F4DD4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对招标人有相关限制或者排斥潜在投标人行为的处罚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36A855">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1D51A9F">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70ADD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法律】《中华人民共和国招标投标法》（1999年8月30日第九届全国人民代表大会常务委员会第十一次会议通过。根据2017年12月27日第十二届全国人民代表大会常务委员会第三十一次会议《关于修改〈中华人民共和国招标投标法〉、〈中华人民共和国计量法〉的决定》修正）第五十一条：招标人以不合理的条件限制或者排斥潜在投标人的，对潜在投标人实行歧视待遇的，强制要求投标人组成联合体共同投标的，或者限制投标人之间竞争的，责令改正，可以处一万元以上五万元以下的罚款。【规章】《工程建设项目施工招标投标办法》（2003年3月8日国家计委、建设部、铁道部、交通部、信息产业部、水利部、中国民用航空总局令第30号发布，2013年3月11日国家发展改革委、建设部、铁道部、交通运输部、信息产业部、水利部、中国民用航空总局令第23号修正）第七十三条第一款：招标人有下列限制或者排斥潜在投标人行为之一的，由有关行政监督部门依照招标投标法第五十一条的规定处罚；其中，构成依法必须进行施工招标的项目的招标人规避招标的，依照招标投标法第</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43F921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6F43E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F039D36">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BD90D5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79D47D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7BE904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E1A6E79">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4FA87C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85B729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9628D99">
            <w:pPr>
              <w:jc w:val="center"/>
              <w:rPr>
                <w:rFonts w:hint="eastAsia" w:ascii="仿宋" w:hAnsi="仿宋" w:eastAsia="仿宋" w:cs="仿宋"/>
                <w:i w:val="0"/>
                <w:iCs w:val="0"/>
                <w:color w:val="000000"/>
                <w:sz w:val="12"/>
                <w:szCs w:val="12"/>
                <w:u w:val="none"/>
              </w:rPr>
            </w:pPr>
          </w:p>
        </w:tc>
      </w:tr>
      <w:tr w14:paraId="7FBE1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7470605">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119</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F41019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对依法必须进行招标的项目的招标人向他人透露已获取招标文件的潜在投标人的名称、数量或者可能影响公平竞争的有关招标投标的其他情况的，或者泄露标底的处罚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80B019D">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B8DFA7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63310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招标投标法》（1999年8月30日第九届全国人民代表大会常务委员会第十一次会议通过。根据2017年12月27日第十二届全国人民代表大会常务委员会第三十一次会议《关于修改〈中华人民共和国招标投标法〉、〈中华人民共和国计量法〉的决定》修正）第五十二条：依法必须进行招标的项目的招标人向他人透露已获取招标文件的潜在投标人的名称、数量或者可能影响公平竞争的有关招标投标的其他情况的，或者泄露标底的，给予警告，可以并处一万元以上十万元以下的罚款；对单位直接负责的主管人员和其他直接责任人员依法给予处分；构成犯罪的，依法追究刑事责任。前款所列行为影响中标结果的，中标无效。</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4F49F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87CC86B">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21E427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F7137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EFCC14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3B294B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1AAE5DF">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614E5A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9568BF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49E9D5A">
            <w:pPr>
              <w:jc w:val="center"/>
              <w:rPr>
                <w:rFonts w:hint="eastAsia" w:ascii="仿宋" w:hAnsi="仿宋" w:eastAsia="仿宋" w:cs="仿宋"/>
                <w:i w:val="0"/>
                <w:iCs w:val="0"/>
                <w:color w:val="000000"/>
                <w:sz w:val="12"/>
                <w:szCs w:val="12"/>
                <w:u w:val="none"/>
              </w:rPr>
            </w:pPr>
          </w:p>
        </w:tc>
      </w:tr>
      <w:tr w14:paraId="5C444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5BC09B0">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120</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CE97BD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对投标人相互串通投标或者与招标人串通投标的，投标人以向招标人或者评标委员会成员行贿的手段谋取中标的处罚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E86FC2">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6A46DE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99BC29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招标投标法》（1999年8月30日第九届全国人民代表大会常务委员会第十一次会议通过。根据2017年12月27日第十二届全国人民代表大会常务委员会第三十一次会议《关于修改〈中华人民共和国招标投标法〉、〈中华人民共和国计量法〉的决定》修正）第五十三条：投标人相互串通投标或者与招标人串通投标的，投标人以向招标人或者评标委员会成员行贿的手段谋取中标的，中标无效，处中标项目金额千分之五以上千分之十以下的罚款，对单位直接负责的主管人员和其他直接责任人员处单位罚款数额百分之五以上百分之十以下的罚款；有违法所得的，并处没收违法所得；情节严重的，取消其一年至二年内参加依法必须进行招标的项目的投标资格并予以公告，直至由工商行政管理机关吊销营业执照；构成犯罪的，依法追究刑事责任。给他人造成损失的，依法承担赔偿责任。</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C2CC9C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D71C8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9D500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FEF064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733C3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818775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2A49B8D">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33A0A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49570A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EE474DF">
            <w:pPr>
              <w:jc w:val="center"/>
              <w:rPr>
                <w:rFonts w:hint="eastAsia" w:ascii="仿宋" w:hAnsi="仿宋" w:eastAsia="仿宋" w:cs="仿宋"/>
                <w:i w:val="0"/>
                <w:iCs w:val="0"/>
                <w:color w:val="000000"/>
                <w:sz w:val="12"/>
                <w:szCs w:val="12"/>
                <w:u w:val="none"/>
              </w:rPr>
            </w:pPr>
          </w:p>
        </w:tc>
      </w:tr>
      <w:tr w14:paraId="62A56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E15CA3">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121</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08A6A2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对投标人以他人名义投标或者以其他方式弄虚作假，骗取中标的处罚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4A7E707">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3837F0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055F29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招标投标法》（1999年8月30日第九届全国人民代表大会常务委员会第十一次会议通过。根据2017年12月27日第十二届全国人民代表大会常务委员会第三十一次会议《关于修改〈中华人民共和国招标投标法〉、〈中华人民共和国计量法〉的决定》修正）第五十四条：投标人以他人名义投标或者以其他方式弄虚作假，骗取中标的，中标无效，给招标人造成损失的，依法承担赔偿责任；构成犯罪的，依法追究刑事责任；依法必须进行招标的项目的投标人有前款所列行为尚未构成犯罪的，处中标项目金额千分之五以上千分之十以下的罚款对单位直接负责的主管人员和其他直接责任人员处单位罚款数额百分之五以上至百分之十以下的罚款；有违法所得的，并处没收违法所得；情节严重的，取消其一年至三年内参加依法必须进行招标的项目的投标资格并予以公告，直至由工商行政管理机关吊销营业执照。</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CF3A7C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44079E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D9AE60D">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5A48C3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719482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EEB8F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1C38DB">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94113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30F3FA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A798CDD">
            <w:pPr>
              <w:jc w:val="center"/>
              <w:rPr>
                <w:rFonts w:hint="eastAsia" w:ascii="仿宋" w:hAnsi="仿宋" w:eastAsia="仿宋" w:cs="仿宋"/>
                <w:i w:val="0"/>
                <w:iCs w:val="0"/>
                <w:color w:val="000000"/>
                <w:sz w:val="12"/>
                <w:szCs w:val="12"/>
                <w:u w:val="none"/>
              </w:rPr>
            </w:pPr>
          </w:p>
        </w:tc>
      </w:tr>
      <w:tr w14:paraId="150B5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DB87AC">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122</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3D2474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对依法必须进行招标的项目，招标人违反《中华人民共和国招标投标法》规定，与投标人就投标价格、投标方案等实质性内容进行谈判的处罚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EDD0C2B">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14F8A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9F7037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招标投标法》（1999年8月30日第九届全国人民代表大会常务委员会第十一次会议通过。根据2017年12月27日第十二届全国人民代表大会常务委员会第三十一次会议《关于修改〈中华人民共和国招标投标法〉、〈中华人民共和国计量法〉的决定》修正）第五十五条：依法必须进行招标的项目，招标人违反本法规定，与投标人就投标价格、投标方案等实质性内容进行谈判的，给予警告，对单位直接负责的主管人员和其他直接责任人员依法给予处分。前款所列行为影响中标结果的，中标无效。</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67DCE6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A51F9B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49A02F">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9F902B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FF74A9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195B3B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556DEAD">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A058D4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0210D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C5EEE68">
            <w:pPr>
              <w:jc w:val="center"/>
              <w:rPr>
                <w:rFonts w:hint="eastAsia" w:ascii="仿宋" w:hAnsi="仿宋" w:eastAsia="仿宋" w:cs="仿宋"/>
                <w:i w:val="0"/>
                <w:iCs w:val="0"/>
                <w:color w:val="000000"/>
                <w:sz w:val="12"/>
                <w:szCs w:val="12"/>
                <w:u w:val="none"/>
              </w:rPr>
            </w:pPr>
          </w:p>
        </w:tc>
      </w:tr>
      <w:tr w14:paraId="3FB76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2D16205">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123</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B43516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对评标委员会成员收受投标人的财物或者其他好处的，评标委员会成员或者参加评标的有关工作人员向他人透露对投标文件的评审和比较、中标候选人的推荐以及与评标有关的其他情况的处罚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29269EC">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73433B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A9A7B5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招标投标法》（1999年8月30日第九届全国人民代表大会常务委员会第十一次会议通过。根据2017年12月27日第十二届全国人民代表大会常务委员会第三十一次会议《关于修改〈中华人民共和国招标投标法〉、〈中华人民共和国计量法〉的决定》修正）第五十六条：评标委员会成员收受投标人的财物或者其他好处的，评标委员会成员或者参加评标的有关工作人员向他人透露对投标文件的评审和比较、中标候选人的推荐以及与评标有关的其他情况的，给予警告，没收收受的财物，可以并处三千元以上五万元以下的罚款，对有所列违法行为的评标委员会成员取消担任评标委员会成员的资格，不得再参加任何依法必须进行招标的项目的评标；构成犯罪的，依法追究刑事责任。</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24AB30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71366A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83FDB7F">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9EE9FF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56E45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AC1AE0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97C7BF">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743765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16DD9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9ED2007">
            <w:pPr>
              <w:jc w:val="center"/>
              <w:rPr>
                <w:rFonts w:hint="eastAsia" w:ascii="仿宋" w:hAnsi="仿宋" w:eastAsia="仿宋" w:cs="仿宋"/>
                <w:i w:val="0"/>
                <w:iCs w:val="0"/>
                <w:color w:val="000000"/>
                <w:sz w:val="12"/>
                <w:szCs w:val="12"/>
                <w:u w:val="none"/>
              </w:rPr>
            </w:pPr>
          </w:p>
        </w:tc>
      </w:tr>
      <w:tr w14:paraId="076F9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59C57E">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124</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519656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对招标人在评标委员会依法推荐的中标候选人以外确定中标人的，依法必须进行招标的项目在所有投标被评标委员会否决后自行确定中标人的处罚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93ABB8E">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23DEA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1B16AB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招标投标法》（1999年8月30日第九届全国人民代表大会常务委员会第十一次会议通过。根据2017年12月27日第十二届全国人民代表大会常务委员会第三十一次会议《关于修改〈中华人民共和国招标投标法〉、〈中华人民共和国计量法〉的决定》修正）第五十七条：招标人在评标委员会依法推荐的中标候选人以外确定中标人的，依法必须进行招标的项目在所有投标被评标委员会否决后自行确定中标人的，中标无效。责令改正，可以处中标项目金额千分之五以上千分之十以下的罚款；对单位直接负责的主管人员和其他直接责任人员依法给予处分。</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4803E7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831C1A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0F02B9B">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2B6B2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9A3642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95126B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95465B2">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153D7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5118F2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0803CD5">
            <w:pPr>
              <w:jc w:val="center"/>
              <w:rPr>
                <w:rFonts w:hint="eastAsia" w:ascii="仿宋" w:hAnsi="仿宋" w:eastAsia="仿宋" w:cs="仿宋"/>
                <w:i w:val="0"/>
                <w:iCs w:val="0"/>
                <w:color w:val="000000"/>
                <w:sz w:val="12"/>
                <w:szCs w:val="12"/>
                <w:u w:val="none"/>
              </w:rPr>
            </w:pPr>
          </w:p>
        </w:tc>
      </w:tr>
      <w:tr w14:paraId="4E7C7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A50041">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125</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9CE3C7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对中标人将中标项目转让给他人的，将中标项目肢解后分别转让给他人的，违反《中华人民共和国招标投标法》规定将中标项目的部分主体，关键性工作分包给他人的，或者分包人再次分包的</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D76FDED">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DF2FF5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42F4CE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招标投标法》（1999年8月30日第九届全国人民代表大会常务委员会第十一次会议通过。根据2017年12月27日第十二届全国人民代表大会常务委员会第三十一次会议《关于修改〈中华人民共和国招标投标法〉、〈中华人民共和国计量法〉的决定》修正）第五十八条：中标人将中标项目转让给他人的，将中标项目肢解后分别转让给他人的，违反本法规定将中标项目的部分主体、关键性工作分包给他人的，或者分包人再次分包的，转让、分包无效，处转让、分包项目金额千分之五以上千分之十以下的罚款；有违法所得的，并处没收违法所得；可以责令停业整顿；情节严重的，由工商行政管理机关吊销营业执照。</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8675A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053B4B">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2B6138D">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D21A7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69B055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A339B6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81CE20C">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19A3CD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A5BF19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3BEA4A">
            <w:pPr>
              <w:jc w:val="center"/>
              <w:rPr>
                <w:rFonts w:hint="eastAsia" w:ascii="仿宋" w:hAnsi="仿宋" w:eastAsia="仿宋" w:cs="仿宋"/>
                <w:i w:val="0"/>
                <w:iCs w:val="0"/>
                <w:color w:val="000000"/>
                <w:sz w:val="12"/>
                <w:szCs w:val="12"/>
                <w:u w:val="none"/>
              </w:rPr>
            </w:pPr>
          </w:p>
        </w:tc>
      </w:tr>
      <w:tr w14:paraId="19DE0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B523717">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126</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4A7A8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对招标人与中标人不按照招标文件和中标人的投标文件订立合同的，或者招标人、中标人订立背离合同实质性内容的协议的处罚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F1FB6A9">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C4A8DC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0B959D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招标投标法》（1999年8月30日第九届全国人民代表大会常务委员会第十一次会议通过。根据2017年12月27日第十二届全国人民代表大会常务委员会第三十一次会议《关于修改〈中华人民共和国招标投标法〉、〈中华人民共和国计量法〉的决定》修正）第五十九条：招标人与中标人不按照招标文件和中标人的投标文件订立合同的，或者招标人、中标人订立背离合同实质性内容的协议的，责令改正；可以处中标项目金额千分之五以上千分之十以下的罚款。</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611350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A413C3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D575B1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DAF899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12AE2E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C899AB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B8B9649">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257294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9931A6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93DC39C">
            <w:pPr>
              <w:jc w:val="center"/>
              <w:rPr>
                <w:rFonts w:hint="eastAsia" w:ascii="仿宋" w:hAnsi="仿宋" w:eastAsia="仿宋" w:cs="仿宋"/>
                <w:i w:val="0"/>
                <w:iCs w:val="0"/>
                <w:color w:val="000000"/>
                <w:sz w:val="12"/>
                <w:szCs w:val="12"/>
                <w:u w:val="none"/>
              </w:rPr>
            </w:pPr>
          </w:p>
        </w:tc>
      </w:tr>
      <w:tr w14:paraId="71257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0223A4D">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127</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A048C0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对中标人不履行与招标人订立的合同的处罚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60383A5">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B27411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42C256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律】《中华人民共和国招标投标法》（1999年8月30日第九届全国人民代表大会常务委员会第十一次会议通过。根据2017年12月27日第十二届全国人民代表大会常务委员会第三十一次会议《关于修改〈中华人民共和国招标投标法〉、〈中华人民共和国计量法〉的决定》修正）第六十条：中标人不履行与招标人订立的合同的，履约保证金不予退还，给招标人造成的损失超过履约保证金数额的，还应当对超过部分予以赔偿；没有提交履约保证金的，应当对招标人的损失承担赔偿责任。中标人不按照与招标人订立的合同履行义务，情节较为严重的，取消其二年至五年内参加依法必须进行招标的项目的投标资格并予以公告，直至由工商行政管理机关吊销营业执照。因不可抗力不能履行合同的，不适用前两款规定。</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FC394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E70BD5D">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68A7F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88863D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2E247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10786F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1BF9B9F">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A901DF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6C02D0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E5BDF9B">
            <w:pPr>
              <w:jc w:val="center"/>
              <w:rPr>
                <w:rFonts w:hint="eastAsia" w:ascii="仿宋" w:hAnsi="仿宋" w:eastAsia="仿宋" w:cs="仿宋"/>
                <w:i w:val="0"/>
                <w:iCs w:val="0"/>
                <w:color w:val="000000"/>
                <w:sz w:val="12"/>
                <w:szCs w:val="12"/>
                <w:u w:val="none"/>
              </w:rPr>
            </w:pPr>
          </w:p>
        </w:tc>
      </w:tr>
      <w:tr w14:paraId="231CA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2925238">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128</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1FAE08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对招标人以不合理的条件限制或者排斥潜在投标人的，对潜在投标人实行歧视待遇的，强制要求投标人组成联合体共同投标的，或者限制投标人之间竞争的处罚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08BB8B5">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AC7092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BA836B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建筑工程设计招标投标管理办法》（2017年1月24日住房和城乡建设部令第33号）第二十九条：招标人以不合理的条件限制或者排斥潜在投标人的，对潜在投标人实行歧视待遇的，强制要求投标人组成联合体共同投标的，或者限制投标人之间竞争的，由县级以上地方人民政府住房城乡建设主管部门责令改正，可以处1万元以上5万元以下的罚款。</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42334C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ABE3A82">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6B239A9">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5DC8FC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E2CFE8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BE7BB9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85DAA42">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840419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9F9BAC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C452588">
            <w:pPr>
              <w:jc w:val="center"/>
              <w:rPr>
                <w:rFonts w:hint="eastAsia" w:ascii="仿宋" w:hAnsi="仿宋" w:eastAsia="仿宋" w:cs="仿宋"/>
                <w:i w:val="0"/>
                <w:iCs w:val="0"/>
                <w:color w:val="000000"/>
                <w:sz w:val="12"/>
                <w:szCs w:val="12"/>
                <w:u w:val="none"/>
              </w:rPr>
            </w:pPr>
          </w:p>
        </w:tc>
      </w:tr>
      <w:tr w14:paraId="37444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123C02C">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129</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F8751F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对招标人澄清、修改招标文件的时限，或者确定的提交投标文件的时限不符合规定的处罚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ABE0486">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2F79B6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F56D3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建筑工程设计招标投标管理办法》（2017年1月24日住房和城乡建设部令第33号）第三十条：招标人澄清、修改招标文件的时限，或者确定的提交投标文件的时限不符合本办法规定的，由县级以上地方人民政府住房城乡建设主管部门责令改正，可以处10万元以下的罚款。</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72E4596">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9290FD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0569B67">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CA4EFF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F41ED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BA0AE5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A0DCB8A">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A26191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33C55B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B278300">
            <w:pPr>
              <w:jc w:val="center"/>
              <w:rPr>
                <w:rFonts w:hint="eastAsia" w:ascii="仿宋" w:hAnsi="仿宋" w:eastAsia="仿宋" w:cs="仿宋"/>
                <w:i w:val="0"/>
                <w:iCs w:val="0"/>
                <w:color w:val="000000"/>
                <w:sz w:val="12"/>
                <w:szCs w:val="12"/>
                <w:u w:val="none"/>
              </w:rPr>
            </w:pPr>
          </w:p>
        </w:tc>
      </w:tr>
      <w:tr w14:paraId="44965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81AB99A">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130</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DB732D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对招标人不按照规定组建评标委员会，或者评标委员会成员的确定违反规定的处罚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ECF00E5">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79FDD0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EFFBAE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建筑工程设计招标投标管理办法》（2017年1月24日住房和城乡建设部令第33号）第三十一条：招标人不按照规定组建评标委员会，或者评标委员会成员的确定违反本办法规定的，由县级以上地方人民政府住房城乡建设主管部门责令改正，可以处10万元以下的罚款，相应评审结论无效，依法重新进行评审。</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2A7E52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DEC18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35ECA2">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AC778A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997351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4B3491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DC58F00">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EBB9E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E04766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0A887DD">
            <w:pPr>
              <w:jc w:val="center"/>
              <w:rPr>
                <w:rFonts w:hint="eastAsia" w:ascii="仿宋" w:hAnsi="仿宋" w:eastAsia="仿宋" w:cs="仿宋"/>
                <w:i w:val="0"/>
                <w:iCs w:val="0"/>
                <w:color w:val="000000"/>
                <w:sz w:val="12"/>
                <w:szCs w:val="12"/>
                <w:u w:val="none"/>
              </w:rPr>
            </w:pPr>
          </w:p>
        </w:tc>
      </w:tr>
      <w:tr w14:paraId="4459B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6A45F2B">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131</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33397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对《建筑工程设计招标投标管理办法》第三十二条禁止行为的处罚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879E935">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539A52B">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94A28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建筑工程设计招标投标管理办法》（2017年1月24日住房和城乡建设部令第33号）第三十二条：招标人有下列情形之一的，由县级以上地方人民政府住房城乡建设主管部门责令改正，可以处中标项目金额10‰以下的罚款；给他人造成损失的，依法承担赔偿责任；对单位直接负责的主管人员和其他直接责任人员依法给予处分：</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（一）无正当理由未按本办法规定发出中标通知书；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（二）不按照规定确定中标人；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（三）中标通知书发出后无正当理由改变中标结果；</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（四）无正当理由未按本办法规定与中标人订立合同；</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（五）在订立合同时向中标人提出附加条件。</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4DE6E8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6B280FA">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8C57D81">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218541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606A71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49A7AF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AFF49AD">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710A7F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156AEF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607888">
            <w:pPr>
              <w:jc w:val="center"/>
              <w:rPr>
                <w:rFonts w:hint="eastAsia" w:ascii="仿宋" w:hAnsi="仿宋" w:eastAsia="仿宋" w:cs="仿宋"/>
                <w:i w:val="0"/>
                <w:iCs w:val="0"/>
                <w:color w:val="000000"/>
                <w:sz w:val="12"/>
                <w:szCs w:val="12"/>
                <w:u w:val="none"/>
              </w:rPr>
            </w:pPr>
          </w:p>
        </w:tc>
      </w:tr>
      <w:tr w14:paraId="558DC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6414763">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132</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CC174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对评标委员会成员收受投标人的财物或者其他好处，以及评标委员会成员或者参加评标的有关工作人员向他人透露对投标文件的评审和比较、中标候选人的推荐以及与评标有关的其他情况的处罚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2362F15">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32A311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C1BF9A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建筑工程设计招标投标管理办法》（2017年1月24日住房和城乡建设部令第33号）第三十四条：评标委员会成员收受投标人的财物或者其他好处的，评标委员会成员或者参加评标的有关工作人员向他人透露对投标文件的评审和比较、中标候选人的推荐以及与评标有关的其他情况的，由县级以上地方人民政府住房城乡建设主管部门给予警告，没收收受的财物，可以并处3000元以上5万元以下的处罚。</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C930A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D4883FE">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BBF0E96">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5A8C9D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9046D3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D8AFBD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4D17BC1">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9C063A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B7C4F7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88FA009">
            <w:pPr>
              <w:jc w:val="center"/>
              <w:rPr>
                <w:rFonts w:hint="eastAsia" w:ascii="仿宋" w:hAnsi="仿宋" w:eastAsia="仿宋" w:cs="仿宋"/>
                <w:i w:val="0"/>
                <w:iCs w:val="0"/>
                <w:color w:val="000000"/>
                <w:sz w:val="12"/>
                <w:szCs w:val="12"/>
                <w:u w:val="none"/>
              </w:rPr>
            </w:pPr>
          </w:p>
        </w:tc>
      </w:tr>
      <w:tr w14:paraId="2C7C7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94C5DD">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133</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55ACF2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对中标人无正当理由不与招标人订立合同，在签订合同时向招标人提出附加条件，或者不按照招标文件要求提交履约保证金的处罚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F853FF3">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685D78D">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D00DEC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规章】《评标委员会和评标方法暂行规定》（2001年7月5日国家发展改革委令第12号发布，根据2013年3月11日国家发展改革委令第23号修正）第五十七条：中标人无正当理由不与招标人订立合同，在签订合同时向招标人提出附加条件，或者不按照招标文件要求提交履约保证金的，取消其中标资格，投标保证金不予退还。对依法必须进行招标的项目的中标人，由有关行政监督部门责令改正，可以处中标项目金额10‰以下的罚款。</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98B78E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E221C1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6A8E81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4ED3C8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C827C3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1FDE31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FD74B38">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46EF71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3DCACE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ECCFA8C">
            <w:pPr>
              <w:jc w:val="center"/>
              <w:rPr>
                <w:rFonts w:hint="eastAsia" w:ascii="仿宋" w:hAnsi="仿宋" w:eastAsia="仿宋" w:cs="仿宋"/>
                <w:i w:val="0"/>
                <w:iCs w:val="0"/>
                <w:color w:val="000000"/>
                <w:sz w:val="12"/>
                <w:szCs w:val="12"/>
                <w:u w:val="none"/>
              </w:rPr>
            </w:pPr>
          </w:p>
        </w:tc>
      </w:tr>
      <w:tr w14:paraId="6CB0C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61FC734">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134</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FA7CAE3">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对《中华人民共和国招标投标法实施条例》第六十四条禁止行为的处罚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DD0B56">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19D4BEC">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9BFC0B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规】《中华人民共和国招标投标法实施条例》(2011年12月20日国务院令第613号发布，2019年3月2日国务院令第709号修订）第六十四条：招标人有下列情形之一的，由有关行政监督部门责令改正，可以处10万元以下的罚款：</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（一）依法应当公开招标而采用邀请招标；</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（二）招标文件、资格预审文件的发售、澄清、修改的时限，或者确定的提交资格预审申请文件、投标文件的时限不符合招标投标法和本条例规定；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（三）接受未通过资格预审的单位或者个人参加投标；</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（四）接受应当拒收的投标文件。招标人有前款第一项、第三项、第四项所列行为之一的，对单位直接负责的主管人员和其他直接责任人员依法给予处分。</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A672DB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9CB8F5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62F25F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D1668D">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FC07B1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577EDE9">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00E8E7">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232C93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F5064A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D262135">
            <w:pPr>
              <w:jc w:val="center"/>
              <w:rPr>
                <w:rFonts w:hint="eastAsia" w:ascii="仿宋" w:hAnsi="仿宋" w:eastAsia="仿宋" w:cs="仿宋"/>
                <w:i w:val="0"/>
                <w:iCs w:val="0"/>
                <w:color w:val="000000"/>
                <w:sz w:val="12"/>
                <w:szCs w:val="12"/>
                <w:u w:val="none"/>
              </w:rPr>
            </w:pPr>
          </w:p>
        </w:tc>
      </w:tr>
      <w:tr w14:paraId="245BE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93B339C">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135</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B91EB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对招标人超过《招标投标法实施条例》规定的比例收取投标保证金、履约保证金或者不按照规定退还投标保证金及银行同期存款利息的处罚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2362F53">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DCE444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887CD3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规】《中华人民共和国招标投标法实施条例》(2011年12月20日国务院令第613号发布，2019年3月2日国务院令第709号修订）第六十六条：招标人超过本条例规定的比例收取投标保证金、履约保证金或者不按照规定退还投标保证金及银行同期存款利息的，由有关行政监督部门责令改正，可以处5万元以下的罚款；给他人造成损失的，依法承担赔偿责任。</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802B25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9B78BC8">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0BB9CEF">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0DBB15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24714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DA697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4B9405E">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9DF665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6746BD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8B3A81">
            <w:pPr>
              <w:jc w:val="center"/>
              <w:rPr>
                <w:rFonts w:hint="eastAsia" w:ascii="仿宋" w:hAnsi="仿宋" w:eastAsia="仿宋" w:cs="仿宋"/>
                <w:i w:val="0"/>
                <w:iCs w:val="0"/>
                <w:color w:val="000000"/>
                <w:sz w:val="12"/>
                <w:szCs w:val="12"/>
                <w:u w:val="none"/>
              </w:rPr>
            </w:pPr>
          </w:p>
        </w:tc>
      </w:tr>
      <w:tr w14:paraId="7FB11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CC2F47">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136</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E3404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对依法必须进行招标的项目的招标人不按照规定组建评标委员</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会，或者确定、更换评标委员会成员违反《招标投标法》和《招标投标法实施条例》规定的处罚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53B3521">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2C679C0">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E3A533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规】《中华人民共和国招标投标法实施条例》(2011年12月20日国务院令第613号发布，2019年3月2日国务院令第709号修订）第七十条：依法必须进行招标的项目的招标人不按照规定组建评标委员会，或者确定、更换评标委员会成员违反招标投标法和本条例规定的，责令改正，可以处10万元以下的罚款，对单位直接负责的主管人员和其他直接责任人员依法给予处分；违法确定或者更换的评标委员会成员作出的评审结论无效，依法重新进行评审。国家工作人员以任何方式非法干涉选取评标委员会成员的，依照本条例第八十一条的规定追究法律责任。</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7FF1A37">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442EF3">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699D37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3BB6E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00F047E">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C3A406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04FF3E">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B52EB4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3AFAE1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2D5580A">
            <w:pPr>
              <w:jc w:val="center"/>
              <w:rPr>
                <w:rFonts w:hint="eastAsia" w:ascii="仿宋" w:hAnsi="仿宋" w:eastAsia="仿宋" w:cs="仿宋"/>
                <w:i w:val="0"/>
                <w:iCs w:val="0"/>
                <w:color w:val="000000"/>
                <w:sz w:val="12"/>
                <w:szCs w:val="12"/>
                <w:u w:val="none"/>
              </w:rPr>
            </w:pPr>
          </w:p>
        </w:tc>
      </w:tr>
      <w:tr w14:paraId="55606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11EA9E">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137</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44EFF4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对《中华人民共和国招标投标法实施条例》第七十三条禁止行为的处罚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F98BA4">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0350B4E">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1C1BBBB">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规】《中华人民共和国招标投标法实施条例》(2011年12月20日国务院令第613号发布，2019年3月2日国务院令第709号修订）第七十三条：依法必须进行招标的项目的招标人有下列情形之一的，由有关行政监督部门责令改正，可以处中标项目金额10‰以下的罚款；给他人造成损失的，依法承担赔偿责任；对单位直接负责的主管人员和其他直接责任人员依法给予处分：</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（一）无正当理由不发出中标通知书；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（二）不按照规定确定中标人；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（三）中标通知书发出后无正当理由改变中标结果；</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（四）无正当理由不与中标人订立合同；</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（五）在订立合同时向中标人提出附加条件。</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E6CD101">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83FED06">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1745EF6">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67E8F1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CB9530C">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F242A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F4CBBD7">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151E4D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50F4E10">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4F32092">
            <w:pPr>
              <w:jc w:val="center"/>
              <w:rPr>
                <w:rFonts w:hint="eastAsia" w:ascii="仿宋" w:hAnsi="仿宋" w:eastAsia="仿宋" w:cs="仿宋"/>
                <w:i w:val="0"/>
                <w:iCs w:val="0"/>
                <w:color w:val="000000"/>
                <w:sz w:val="12"/>
                <w:szCs w:val="12"/>
                <w:u w:val="none"/>
              </w:rPr>
            </w:pPr>
          </w:p>
        </w:tc>
      </w:tr>
      <w:tr w14:paraId="3A4E0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146" w:type="dxa"/>
          <w:trHeight w:val="1800" w:hRule="atLeast"/>
        </w:trPr>
        <w:tc>
          <w:tcPr>
            <w:tcW w:w="42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505E75">
            <w:pPr>
              <w:keepNext w:val="0"/>
              <w:keepLines w:val="0"/>
              <w:widowControl/>
              <w:suppressLineNumbers w:val="0"/>
              <w:jc w:val="center"/>
              <w:textAlignment w:val="center"/>
              <w:rPr>
                <w:rFonts w:hint="default" w:ascii="仿宋" w:hAnsi="仿宋" w:eastAsia="仿宋" w:cs="仿宋"/>
                <w:i w:val="0"/>
                <w:iCs w:val="0"/>
                <w:color w:val="000000"/>
                <w:sz w:val="12"/>
                <w:szCs w:val="12"/>
                <w:u w:val="none"/>
                <w:lang w:val="en-US"/>
              </w:rPr>
            </w:pPr>
            <w:r>
              <w:rPr>
                <w:rFonts w:hint="eastAsia" w:ascii="仿宋" w:hAnsi="仿宋" w:eastAsia="仿宋" w:cs="仿宋"/>
                <w:i w:val="0"/>
                <w:iCs w:val="0"/>
                <w:color w:val="000000"/>
                <w:kern w:val="0"/>
                <w:sz w:val="12"/>
                <w:szCs w:val="12"/>
                <w:u w:val="none"/>
                <w:lang w:val="en-US" w:eastAsia="zh-CN" w:bidi="ar"/>
              </w:rPr>
              <w:t>138</w:t>
            </w:r>
          </w:p>
        </w:tc>
        <w:tc>
          <w:tcPr>
            <w:tcW w:w="142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664ED02">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对中标人无正当理由不与招标人订立合同，不按照招标文件要求提交履约保证金的或者不按照招标文件要求提交履约保证金的处罚</w:t>
            </w:r>
          </w:p>
        </w:tc>
        <w:tc>
          <w:tcPr>
            <w:tcW w:w="1093"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B166B2A">
            <w:pPr>
              <w:jc w:val="left"/>
              <w:rPr>
                <w:rFonts w:hint="eastAsia" w:ascii="仿宋" w:hAnsi="仿宋" w:eastAsia="仿宋" w:cs="仿宋"/>
                <w:i w:val="0"/>
                <w:iCs w:val="0"/>
                <w:color w:val="000000"/>
                <w:sz w:val="12"/>
                <w:szCs w:val="12"/>
                <w:u w:val="none"/>
              </w:rPr>
            </w:pPr>
          </w:p>
        </w:tc>
        <w:tc>
          <w:tcPr>
            <w:tcW w:w="55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3416BCD">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行政处罚</w:t>
            </w:r>
          </w:p>
        </w:tc>
        <w:tc>
          <w:tcPr>
            <w:tcW w:w="23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094968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法规】《中华人民共和国招标投标法实施条例》(2011年12月20日国务院令第613号发布，2019年3月2日国务院令第709号修订）第七十四条：中标人无正当理由不与招标人订立合同，在签订合同时向招标人提出附加条件，或者不按照招标文件要求提交履约保证金的，取消其中标资格，投标保证金不予退还。对依法必须进行招标的项目的中标人，责令改正，可以处中标项目金额10‰以下的罚款。</w:t>
            </w:r>
          </w:p>
        </w:tc>
        <w:tc>
          <w:tcPr>
            <w:tcW w:w="81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95001B5">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米东区建设局</w:t>
            </w:r>
          </w:p>
        </w:tc>
        <w:tc>
          <w:tcPr>
            <w:tcW w:w="83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05B2755">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建管办</w:t>
            </w:r>
          </w:p>
        </w:tc>
        <w:tc>
          <w:tcPr>
            <w:tcW w:w="5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D39E1A4">
            <w:pPr>
              <w:keepNext w:val="0"/>
              <w:keepLines w:val="0"/>
              <w:widowControl/>
              <w:suppressLineNumbers w:val="0"/>
              <w:jc w:val="center"/>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区级</w:t>
            </w:r>
          </w:p>
        </w:tc>
        <w:tc>
          <w:tcPr>
            <w:tcW w:w="9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69EC1FF">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按照实施依据针对此类违法违规行为进行行政处罚</w:t>
            </w:r>
          </w:p>
        </w:tc>
        <w:tc>
          <w:tcPr>
            <w:tcW w:w="69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EC67E1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直接实施责任：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1.执行自治区级制定的行政处罚标准规范，结合本地实际。细化、量化行政处罚裁量基准的具体标准。建立健全对行政处罚的监督制度。</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2.依法依规实施本级行政处罚事项，做出的行政处罚决定应当予以公开。指导监督责任：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3.加强对下级相关部门在执法实践中适用自由裁量基准的指导和监督检查。</w:t>
            </w:r>
          </w:p>
        </w:tc>
        <w:tc>
          <w:tcPr>
            <w:tcW w:w="117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4872E44">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1.具体承办人；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2.内设机构负责人；</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3.单位法定代表人或分管领导。</w:t>
            </w:r>
          </w:p>
        </w:tc>
        <w:tc>
          <w:tcPr>
            <w:tcW w:w="117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E524297">
            <w:pPr>
              <w:jc w:val="left"/>
              <w:rPr>
                <w:rFonts w:hint="eastAsia" w:ascii="仿宋" w:hAnsi="仿宋" w:eastAsia="仿宋" w:cs="仿宋"/>
                <w:i w:val="0"/>
                <w:iCs w:val="0"/>
                <w:color w:val="000000"/>
                <w:sz w:val="12"/>
                <w:szCs w:val="12"/>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DDABB8A">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个人 、企业</w:t>
            </w:r>
          </w:p>
        </w:tc>
        <w:tc>
          <w:tcPr>
            <w:tcW w:w="92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DAD4A48">
            <w:pPr>
              <w:keepNext w:val="0"/>
              <w:keepLines w:val="0"/>
              <w:widowControl/>
              <w:suppressLineNumbers w:val="0"/>
              <w:jc w:val="left"/>
              <w:textAlignment w:val="center"/>
              <w:rPr>
                <w:rFonts w:hint="eastAsia" w:ascii="仿宋" w:hAnsi="仿宋" w:eastAsia="仿宋" w:cs="仿宋"/>
                <w:i w:val="0"/>
                <w:iCs w:val="0"/>
                <w:color w:val="000000"/>
                <w:sz w:val="12"/>
                <w:szCs w:val="12"/>
                <w:u w:val="none"/>
              </w:rPr>
            </w:pPr>
            <w:r>
              <w:rPr>
                <w:rFonts w:hint="eastAsia" w:ascii="仿宋" w:hAnsi="仿宋" w:eastAsia="仿宋" w:cs="仿宋"/>
                <w:i w:val="0"/>
                <w:iCs w:val="0"/>
                <w:color w:val="000000"/>
                <w:kern w:val="0"/>
                <w:sz w:val="12"/>
                <w:szCs w:val="12"/>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2.实施行政处罚，没有法定的行政处罚依据的；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3.实施行政处罚，擅自改变行政处罚种类、幅度的；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4.实施行政处罚，违反法定的行政处罚程序的；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6.执法人员利用职务上的便利，索取或者收受他人财物；</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12"/>
                <w:szCs w:val="12"/>
                <w:u w:val="none"/>
                <w:lang w:val="en-US" w:eastAsia="zh-CN" w:bidi="ar"/>
              </w:rPr>
              <w:br w:type="textWrapping"/>
            </w:r>
            <w:r>
              <w:rPr>
                <w:rFonts w:hint="eastAsia" w:ascii="仿宋" w:hAnsi="仿宋" w:eastAsia="仿宋" w:cs="仿宋"/>
                <w:i w:val="0"/>
                <w:iCs w:val="0"/>
                <w:color w:val="000000"/>
                <w:kern w:val="0"/>
                <w:sz w:val="12"/>
                <w:szCs w:val="12"/>
                <w:u w:val="none"/>
                <w:lang w:val="en-US" w:eastAsia="zh-CN" w:bidi="ar"/>
              </w:rPr>
              <w:t>9.其他违反法律法规规章文件规定的行为。</w:t>
            </w:r>
          </w:p>
        </w:tc>
        <w:tc>
          <w:tcPr>
            <w:tcW w:w="62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264DCC">
            <w:pPr>
              <w:jc w:val="center"/>
              <w:rPr>
                <w:rFonts w:hint="eastAsia" w:ascii="仿宋" w:hAnsi="仿宋" w:eastAsia="仿宋" w:cs="仿宋"/>
                <w:i w:val="0"/>
                <w:iCs w:val="0"/>
                <w:color w:val="000000"/>
                <w:sz w:val="12"/>
                <w:szCs w:val="12"/>
                <w:u w:val="none"/>
              </w:rPr>
            </w:pPr>
          </w:p>
        </w:tc>
      </w:tr>
    </w:tbl>
    <w:p w14:paraId="350582E4"/>
    <w:p w14:paraId="2161B384"/>
    <w:p w14:paraId="3445BB7D"/>
    <w:p w14:paraId="47D06BA7"/>
    <w:p w14:paraId="6A8BAF03"/>
    <w:p w14:paraId="0B025BB5"/>
    <w:p w14:paraId="34BAC035"/>
    <w:p w14:paraId="3E932EDB"/>
    <w:p w14:paraId="3383F0D5"/>
    <w:p w14:paraId="38DC0E4D"/>
    <w:tbl>
      <w:tblPr>
        <w:tblStyle w:val="3"/>
        <w:tblW w:w="2075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30"/>
        <w:gridCol w:w="430"/>
        <w:gridCol w:w="334"/>
        <w:gridCol w:w="368"/>
        <w:gridCol w:w="4492"/>
        <w:gridCol w:w="663"/>
        <w:gridCol w:w="850"/>
        <w:gridCol w:w="387"/>
        <w:gridCol w:w="813"/>
        <w:gridCol w:w="1225"/>
        <w:gridCol w:w="2987"/>
        <w:gridCol w:w="3125"/>
        <w:gridCol w:w="1650"/>
        <w:gridCol w:w="2413"/>
        <w:gridCol w:w="587"/>
      </w:tblGrid>
      <w:tr w14:paraId="63E8B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0754" w:type="dxa"/>
            <w:gridSpan w:val="15"/>
            <w:tcBorders>
              <w:top w:val="nil"/>
              <w:left w:val="nil"/>
              <w:bottom w:val="nil"/>
              <w:right w:val="nil"/>
            </w:tcBorders>
            <w:shd w:val="clear" w:color="auto" w:fill="auto"/>
            <w:tcMar>
              <w:top w:w="15" w:type="dxa"/>
              <w:left w:w="15" w:type="dxa"/>
              <w:right w:w="15" w:type="dxa"/>
            </w:tcMar>
            <w:vAlign w:val="center"/>
          </w:tcPr>
          <w:p w14:paraId="073AA7B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ascii="方正小标宋_GBK" w:hAnsi="方正小标宋_GBK" w:eastAsia="方正小标宋_GBK" w:cs="方正小标宋_GBK"/>
                <w:i w:val="0"/>
                <w:color w:val="auto"/>
                <w:sz w:val="84"/>
                <w:szCs w:val="84"/>
                <w:u w:val="none"/>
              </w:rPr>
            </w:pPr>
            <w:r>
              <w:rPr>
                <w:rFonts w:hint="eastAsia" w:ascii="方正小标宋_GBK" w:hAnsi="方正小标宋_GBK" w:eastAsia="方正小标宋_GBK" w:cs="方正小标宋_GBK"/>
                <w:i w:val="0"/>
                <w:iCs w:val="0"/>
                <w:color w:val="000000"/>
                <w:kern w:val="0"/>
                <w:sz w:val="48"/>
                <w:szCs w:val="48"/>
                <w:u w:val="none"/>
                <w:lang w:val="en-US" w:eastAsia="zh-CN" w:bidi="ar"/>
              </w:rPr>
              <w:t>米东区建设局（交通局）权责清单（行政检查类）</w:t>
            </w:r>
          </w:p>
        </w:tc>
      </w:tr>
      <w:tr w14:paraId="2C103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4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E204D9">
            <w:pPr>
              <w:keepNext w:val="0"/>
              <w:keepLines w:val="0"/>
              <w:widowControl/>
              <w:suppressLineNumbers w:val="0"/>
              <w:spacing w:line="240" w:lineRule="auto"/>
              <w:jc w:val="center"/>
              <w:textAlignment w:val="center"/>
              <w:rPr>
                <w:rFonts w:hint="eastAsia" w:ascii="仿宋" w:hAnsi="仿宋" w:eastAsia="仿宋" w:cs="仿宋"/>
                <w:i w:val="0"/>
                <w:color w:val="auto"/>
                <w:sz w:val="22"/>
                <w:szCs w:val="22"/>
                <w:u w:val="none"/>
              </w:rPr>
            </w:pPr>
            <w:r>
              <w:rPr>
                <w:rFonts w:hint="eastAsia" w:ascii="仿宋" w:hAnsi="仿宋" w:eastAsia="仿宋" w:cs="仿宋"/>
                <w:i w:val="0"/>
                <w:color w:val="auto"/>
                <w:kern w:val="0"/>
                <w:sz w:val="22"/>
                <w:szCs w:val="22"/>
                <w:u w:val="none"/>
                <w:lang w:val="en-US" w:eastAsia="zh-CN" w:bidi="ar"/>
              </w:rPr>
              <w:t>序号</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F45BB">
            <w:pPr>
              <w:keepNext w:val="0"/>
              <w:keepLines w:val="0"/>
              <w:widowControl/>
              <w:suppressLineNumbers w:val="0"/>
              <w:spacing w:line="240" w:lineRule="auto"/>
              <w:jc w:val="center"/>
              <w:textAlignment w:val="center"/>
              <w:rPr>
                <w:rFonts w:hint="eastAsia" w:ascii="仿宋" w:hAnsi="仿宋" w:eastAsia="仿宋" w:cs="仿宋"/>
                <w:i w:val="0"/>
                <w:color w:val="auto"/>
                <w:sz w:val="22"/>
                <w:szCs w:val="22"/>
                <w:u w:val="none"/>
              </w:rPr>
            </w:pPr>
            <w:r>
              <w:rPr>
                <w:rFonts w:hint="eastAsia" w:ascii="仿宋" w:hAnsi="仿宋" w:eastAsia="仿宋" w:cs="仿宋"/>
                <w:i w:val="0"/>
                <w:color w:val="auto"/>
                <w:kern w:val="0"/>
                <w:sz w:val="22"/>
                <w:szCs w:val="22"/>
                <w:u w:val="none"/>
                <w:lang w:val="en-US" w:eastAsia="zh-CN" w:bidi="ar"/>
              </w:rPr>
              <w:t>事项名称</w:t>
            </w:r>
          </w:p>
        </w:tc>
        <w:tc>
          <w:tcPr>
            <w:tcW w:w="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F1974B">
            <w:pPr>
              <w:keepNext w:val="0"/>
              <w:keepLines w:val="0"/>
              <w:widowControl/>
              <w:suppressLineNumbers w:val="0"/>
              <w:spacing w:line="240" w:lineRule="auto"/>
              <w:jc w:val="center"/>
              <w:textAlignment w:val="center"/>
              <w:rPr>
                <w:rFonts w:hint="eastAsia" w:ascii="仿宋" w:hAnsi="仿宋" w:eastAsia="仿宋" w:cs="仿宋"/>
                <w:i w:val="0"/>
                <w:color w:val="auto"/>
                <w:sz w:val="22"/>
                <w:szCs w:val="22"/>
                <w:u w:val="none"/>
              </w:rPr>
            </w:pPr>
            <w:r>
              <w:rPr>
                <w:rFonts w:hint="eastAsia" w:ascii="仿宋" w:hAnsi="仿宋" w:eastAsia="仿宋" w:cs="仿宋"/>
                <w:i w:val="0"/>
                <w:color w:val="auto"/>
                <w:kern w:val="0"/>
                <w:sz w:val="22"/>
                <w:szCs w:val="22"/>
                <w:u w:val="none"/>
                <w:lang w:val="en-US" w:eastAsia="zh-CN" w:bidi="ar"/>
              </w:rPr>
              <w:t>子项名称</w:t>
            </w:r>
          </w:p>
        </w:tc>
        <w:tc>
          <w:tcPr>
            <w:tcW w:w="3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F8BAFE">
            <w:pPr>
              <w:keepNext w:val="0"/>
              <w:keepLines w:val="0"/>
              <w:widowControl/>
              <w:suppressLineNumbers w:val="0"/>
              <w:spacing w:line="240" w:lineRule="auto"/>
              <w:jc w:val="center"/>
              <w:textAlignment w:val="center"/>
              <w:rPr>
                <w:rFonts w:hint="eastAsia" w:ascii="仿宋" w:hAnsi="仿宋" w:eastAsia="仿宋" w:cs="仿宋"/>
                <w:i w:val="0"/>
                <w:color w:val="auto"/>
                <w:sz w:val="22"/>
                <w:szCs w:val="22"/>
                <w:u w:val="none"/>
              </w:rPr>
            </w:pPr>
            <w:r>
              <w:rPr>
                <w:rFonts w:hint="eastAsia" w:ascii="仿宋" w:hAnsi="仿宋" w:eastAsia="仿宋" w:cs="仿宋"/>
                <w:i w:val="0"/>
                <w:color w:val="auto"/>
                <w:kern w:val="0"/>
                <w:sz w:val="22"/>
                <w:szCs w:val="22"/>
                <w:u w:val="none"/>
                <w:lang w:val="en-US" w:eastAsia="zh-CN" w:bidi="ar"/>
              </w:rPr>
              <w:t>权力类型</w:t>
            </w:r>
          </w:p>
        </w:tc>
        <w:tc>
          <w:tcPr>
            <w:tcW w:w="4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29AD5">
            <w:pPr>
              <w:keepNext w:val="0"/>
              <w:keepLines w:val="0"/>
              <w:widowControl/>
              <w:suppressLineNumbers w:val="0"/>
              <w:spacing w:line="240" w:lineRule="auto"/>
              <w:jc w:val="center"/>
              <w:textAlignment w:val="center"/>
              <w:rPr>
                <w:rFonts w:hint="eastAsia" w:ascii="仿宋" w:hAnsi="仿宋" w:eastAsia="仿宋" w:cs="仿宋"/>
                <w:i w:val="0"/>
                <w:color w:val="auto"/>
                <w:sz w:val="22"/>
                <w:szCs w:val="22"/>
                <w:u w:val="none"/>
              </w:rPr>
            </w:pPr>
            <w:r>
              <w:rPr>
                <w:rFonts w:hint="eastAsia" w:ascii="仿宋" w:hAnsi="仿宋" w:eastAsia="仿宋" w:cs="仿宋"/>
                <w:i w:val="0"/>
                <w:color w:val="auto"/>
                <w:kern w:val="0"/>
                <w:sz w:val="22"/>
                <w:szCs w:val="22"/>
                <w:u w:val="none"/>
                <w:lang w:val="en-US" w:eastAsia="zh-CN" w:bidi="ar"/>
              </w:rPr>
              <w:t>实施依据</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ADD86">
            <w:pPr>
              <w:keepNext w:val="0"/>
              <w:keepLines w:val="0"/>
              <w:widowControl/>
              <w:suppressLineNumbers w:val="0"/>
              <w:spacing w:line="240" w:lineRule="auto"/>
              <w:jc w:val="center"/>
              <w:textAlignment w:val="center"/>
              <w:rPr>
                <w:rFonts w:hint="eastAsia" w:ascii="仿宋" w:hAnsi="仿宋" w:eastAsia="仿宋" w:cs="仿宋"/>
                <w:i w:val="0"/>
                <w:color w:val="auto"/>
                <w:sz w:val="22"/>
                <w:szCs w:val="22"/>
                <w:u w:val="none"/>
              </w:rPr>
            </w:pPr>
            <w:r>
              <w:rPr>
                <w:rFonts w:hint="eastAsia" w:ascii="仿宋" w:hAnsi="仿宋" w:eastAsia="仿宋" w:cs="仿宋"/>
                <w:i w:val="0"/>
                <w:color w:val="auto"/>
                <w:kern w:val="0"/>
                <w:sz w:val="22"/>
                <w:szCs w:val="22"/>
                <w:u w:val="none"/>
                <w:lang w:val="en-US" w:eastAsia="zh-CN" w:bidi="ar"/>
              </w:rPr>
              <w:t>行使主体</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CACAB">
            <w:pPr>
              <w:keepNext w:val="0"/>
              <w:keepLines w:val="0"/>
              <w:widowControl/>
              <w:suppressLineNumbers w:val="0"/>
              <w:spacing w:line="240" w:lineRule="auto"/>
              <w:jc w:val="center"/>
              <w:textAlignment w:val="center"/>
              <w:rPr>
                <w:rFonts w:hint="eastAsia" w:ascii="仿宋" w:hAnsi="仿宋" w:eastAsia="仿宋" w:cs="仿宋"/>
                <w:i w:val="0"/>
                <w:color w:val="auto"/>
                <w:sz w:val="22"/>
                <w:szCs w:val="22"/>
                <w:u w:val="none"/>
              </w:rPr>
            </w:pPr>
            <w:r>
              <w:rPr>
                <w:rFonts w:hint="eastAsia" w:ascii="仿宋" w:hAnsi="仿宋" w:eastAsia="仿宋" w:cs="仿宋"/>
                <w:i w:val="0"/>
                <w:color w:val="auto"/>
                <w:kern w:val="0"/>
                <w:sz w:val="22"/>
                <w:szCs w:val="22"/>
                <w:u w:val="none"/>
                <w:lang w:val="en-US" w:eastAsia="zh-CN" w:bidi="ar"/>
              </w:rPr>
              <w:t>承办机构</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A72F7">
            <w:pPr>
              <w:keepNext w:val="0"/>
              <w:keepLines w:val="0"/>
              <w:widowControl/>
              <w:suppressLineNumbers w:val="0"/>
              <w:spacing w:line="240" w:lineRule="auto"/>
              <w:jc w:val="center"/>
              <w:textAlignment w:val="center"/>
              <w:rPr>
                <w:rFonts w:hint="eastAsia" w:ascii="仿宋" w:hAnsi="仿宋" w:eastAsia="仿宋" w:cs="仿宋"/>
                <w:i w:val="0"/>
                <w:color w:val="auto"/>
                <w:sz w:val="22"/>
                <w:szCs w:val="22"/>
                <w:u w:val="none"/>
              </w:rPr>
            </w:pPr>
            <w:r>
              <w:rPr>
                <w:rFonts w:hint="eastAsia" w:ascii="仿宋" w:hAnsi="仿宋" w:eastAsia="仿宋" w:cs="仿宋"/>
                <w:i w:val="0"/>
                <w:color w:val="auto"/>
                <w:kern w:val="0"/>
                <w:sz w:val="22"/>
                <w:szCs w:val="22"/>
                <w:u w:val="none"/>
                <w:lang w:val="en-US" w:eastAsia="zh-CN" w:bidi="ar"/>
              </w:rPr>
              <w:t>实施层级及权限</w:t>
            </w:r>
          </w:p>
        </w:tc>
        <w:tc>
          <w:tcPr>
            <w:tcW w:w="1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F4D1EB">
            <w:pPr>
              <w:keepNext w:val="0"/>
              <w:keepLines w:val="0"/>
              <w:widowControl/>
              <w:suppressLineNumbers w:val="0"/>
              <w:spacing w:line="240" w:lineRule="auto"/>
              <w:jc w:val="center"/>
              <w:textAlignment w:val="center"/>
              <w:rPr>
                <w:rFonts w:hint="eastAsia" w:ascii="仿宋" w:hAnsi="仿宋" w:eastAsia="仿宋" w:cs="仿宋"/>
                <w:i w:val="0"/>
                <w:color w:val="auto"/>
                <w:sz w:val="22"/>
                <w:szCs w:val="22"/>
                <w:u w:val="none"/>
              </w:rPr>
            </w:pPr>
            <w:r>
              <w:rPr>
                <w:rFonts w:hint="eastAsia" w:ascii="仿宋" w:hAnsi="仿宋" w:eastAsia="仿宋" w:cs="仿宋"/>
                <w:i w:val="0"/>
                <w:color w:val="auto"/>
                <w:kern w:val="0"/>
                <w:sz w:val="22"/>
                <w:szCs w:val="22"/>
                <w:u w:val="none"/>
                <w:lang w:val="en-US" w:eastAsia="zh-CN" w:bidi="ar"/>
              </w:rPr>
              <w:t>部门职责</w:t>
            </w:r>
          </w:p>
        </w:tc>
        <w:tc>
          <w:tcPr>
            <w:tcW w:w="29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AD673">
            <w:pPr>
              <w:keepNext w:val="0"/>
              <w:keepLines w:val="0"/>
              <w:widowControl/>
              <w:suppressLineNumbers w:val="0"/>
              <w:spacing w:line="240" w:lineRule="auto"/>
              <w:jc w:val="center"/>
              <w:textAlignment w:val="center"/>
              <w:rPr>
                <w:rFonts w:hint="eastAsia" w:ascii="仿宋" w:hAnsi="仿宋" w:eastAsia="仿宋" w:cs="仿宋"/>
                <w:i w:val="0"/>
                <w:color w:val="auto"/>
                <w:sz w:val="22"/>
                <w:szCs w:val="22"/>
                <w:u w:val="none"/>
              </w:rPr>
            </w:pPr>
            <w:r>
              <w:rPr>
                <w:rFonts w:hint="eastAsia" w:ascii="仿宋" w:hAnsi="仿宋" w:eastAsia="仿宋" w:cs="仿宋"/>
                <w:i w:val="0"/>
                <w:color w:val="auto"/>
                <w:kern w:val="0"/>
                <w:sz w:val="22"/>
                <w:szCs w:val="22"/>
                <w:u w:val="none"/>
                <w:lang w:val="en-US" w:eastAsia="zh-CN" w:bidi="ar"/>
              </w:rPr>
              <w:t>责任事项内容</w:t>
            </w:r>
          </w:p>
        </w:tc>
        <w:tc>
          <w:tcPr>
            <w:tcW w:w="3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7A2AB2">
            <w:pPr>
              <w:keepNext w:val="0"/>
              <w:keepLines w:val="0"/>
              <w:widowControl/>
              <w:suppressLineNumbers w:val="0"/>
              <w:spacing w:line="240" w:lineRule="auto"/>
              <w:jc w:val="center"/>
              <w:textAlignment w:val="center"/>
              <w:rPr>
                <w:rFonts w:hint="eastAsia" w:ascii="仿宋" w:hAnsi="仿宋" w:eastAsia="仿宋" w:cs="仿宋"/>
                <w:i w:val="0"/>
                <w:color w:val="auto"/>
                <w:sz w:val="22"/>
                <w:szCs w:val="22"/>
                <w:u w:val="none"/>
              </w:rPr>
            </w:pPr>
            <w:r>
              <w:rPr>
                <w:rFonts w:hint="eastAsia" w:ascii="仿宋" w:hAnsi="仿宋" w:eastAsia="仿宋" w:cs="仿宋"/>
                <w:i w:val="0"/>
                <w:color w:val="auto"/>
                <w:kern w:val="0"/>
                <w:sz w:val="22"/>
                <w:szCs w:val="22"/>
                <w:u w:val="none"/>
                <w:lang w:val="en-US" w:eastAsia="zh-CN" w:bidi="ar"/>
              </w:rPr>
              <w:t>责任事项依据</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560F7">
            <w:pPr>
              <w:keepNext w:val="0"/>
              <w:keepLines w:val="0"/>
              <w:widowControl/>
              <w:suppressLineNumbers w:val="0"/>
              <w:spacing w:line="240" w:lineRule="auto"/>
              <w:jc w:val="center"/>
              <w:textAlignment w:val="center"/>
              <w:rPr>
                <w:rFonts w:hint="eastAsia" w:ascii="仿宋" w:hAnsi="仿宋" w:eastAsia="仿宋" w:cs="仿宋"/>
                <w:i w:val="0"/>
                <w:color w:val="auto"/>
                <w:sz w:val="22"/>
                <w:szCs w:val="22"/>
                <w:u w:val="none"/>
              </w:rPr>
            </w:pPr>
            <w:r>
              <w:rPr>
                <w:rFonts w:hint="eastAsia" w:ascii="仿宋" w:hAnsi="仿宋" w:eastAsia="仿宋" w:cs="仿宋"/>
                <w:i w:val="0"/>
                <w:color w:val="auto"/>
                <w:kern w:val="0"/>
                <w:sz w:val="22"/>
                <w:szCs w:val="22"/>
                <w:u w:val="none"/>
                <w:lang w:val="en-US" w:eastAsia="zh-CN" w:bidi="ar"/>
              </w:rPr>
              <w:t>追责对象范围</w:t>
            </w:r>
          </w:p>
        </w:tc>
        <w:tc>
          <w:tcPr>
            <w:tcW w:w="2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1CC708">
            <w:pPr>
              <w:keepNext w:val="0"/>
              <w:keepLines w:val="0"/>
              <w:widowControl/>
              <w:suppressLineNumbers w:val="0"/>
              <w:spacing w:line="240" w:lineRule="auto"/>
              <w:jc w:val="center"/>
              <w:textAlignment w:val="center"/>
              <w:rPr>
                <w:rFonts w:hint="eastAsia" w:ascii="仿宋" w:hAnsi="仿宋" w:eastAsia="仿宋" w:cs="仿宋"/>
                <w:i w:val="0"/>
                <w:color w:val="auto"/>
                <w:sz w:val="22"/>
                <w:szCs w:val="22"/>
                <w:u w:val="none"/>
              </w:rPr>
            </w:pPr>
            <w:r>
              <w:rPr>
                <w:rFonts w:hint="eastAsia" w:ascii="仿宋" w:hAnsi="仿宋" w:eastAsia="仿宋" w:cs="仿宋"/>
                <w:i w:val="0"/>
                <w:color w:val="auto"/>
                <w:kern w:val="0"/>
                <w:sz w:val="22"/>
                <w:szCs w:val="22"/>
                <w:u w:val="none"/>
                <w:lang w:val="en-US" w:eastAsia="zh-CN" w:bidi="ar"/>
              </w:rPr>
              <w:t>追责情形</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09A73">
            <w:pPr>
              <w:keepNext w:val="0"/>
              <w:keepLines w:val="0"/>
              <w:widowControl/>
              <w:suppressLineNumbers w:val="0"/>
              <w:spacing w:line="240" w:lineRule="auto"/>
              <w:jc w:val="center"/>
              <w:textAlignment w:val="center"/>
              <w:rPr>
                <w:rFonts w:hint="eastAsia" w:ascii="仿宋" w:hAnsi="仿宋" w:eastAsia="仿宋" w:cs="仿宋"/>
                <w:i w:val="0"/>
                <w:color w:val="auto"/>
                <w:sz w:val="22"/>
                <w:szCs w:val="22"/>
                <w:u w:val="none"/>
              </w:rPr>
            </w:pPr>
            <w:r>
              <w:rPr>
                <w:rFonts w:hint="eastAsia" w:ascii="仿宋" w:hAnsi="仿宋" w:eastAsia="仿宋" w:cs="仿宋"/>
                <w:i w:val="0"/>
                <w:color w:val="auto"/>
                <w:kern w:val="0"/>
                <w:sz w:val="22"/>
                <w:szCs w:val="22"/>
                <w:u w:val="none"/>
                <w:lang w:val="en-US" w:eastAsia="zh-CN" w:bidi="ar"/>
              </w:rPr>
              <w:t>备注</w:t>
            </w:r>
          </w:p>
        </w:tc>
      </w:tr>
      <w:tr w14:paraId="4E432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394" w:hRule="atLeast"/>
        </w:trPr>
        <w:tc>
          <w:tcPr>
            <w:tcW w:w="4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F3463">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877A6">
            <w:pPr>
              <w:keepNext w:val="0"/>
              <w:keepLines w:val="0"/>
              <w:widowControl/>
              <w:suppressLineNumbers w:val="0"/>
              <w:spacing w:line="240" w:lineRule="auto"/>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工程质量监督手续核发</w:t>
            </w:r>
          </w:p>
        </w:tc>
        <w:tc>
          <w:tcPr>
            <w:tcW w:w="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2E59E">
            <w:pPr>
              <w:spacing w:line="240" w:lineRule="auto"/>
              <w:jc w:val="center"/>
              <w:rPr>
                <w:rFonts w:hint="eastAsia" w:ascii="仿宋" w:hAnsi="仿宋" w:eastAsia="仿宋" w:cs="仿宋"/>
                <w:b/>
                <w:i w:val="0"/>
                <w:color w:val="auto"/>
                <w:sz w:val="21"/>
                <w:szCs w:val="21"/>
                <w:u w:val="none"/>
              </w:rPr>
            </w:pPr>
          </w:p>
        </w:tc>
        <w:tc>
          <w:tcPr>
            <w:tcW w:w="3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1297B">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highlight w:val="none"/>
                <w:u w:val="none"/>
                <w:lang w:val="en-US" w:eastAsia="zh-CN" w:bidi="ar"/>
              </w:rPr>
              <w:t>行政检查</w:t>
            </w:r>
          </w:p>
        </w:tc>
        <w:tc>
          <w:tcPr>
            <w:tcW w:w="4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68307">
            <w:pPr>
              <w:keepNext w:val="0"/>
              <w:keepLines w:val="0"/>
              <w:widowControl/>
              <w:suppressLineNumbers w:val="0"/>
              <w:spacing w:line="240" w:lineRule="auto"/>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【法规】《建设工程质量管理条例》（2000年国务院令第279号发布，根据2019年4月23日国务院令第714号修订）</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第十三条：建设单位在开工前，应当按照国家有关规定办理工程质量监督手续，工程质量监督手续可以与施工许可证或者开工报告合并办理。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F68C1">
            <w:pPr>
              <w:keepNext w:val="0"/>
              <w:keepLines w:val="0"/>
              <w:widowControl/>
              <w:suppressLineNumbers w:val="0"/>
              <w:spacing w:line="240" w:lineRule="auto"/>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米东区建设局</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50FE6">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具体承办的业务科室</w:t>
            </w:r>
          </w:p>
        </w:tc>
        <w:tc>
          <w:tcPr>
            <w:tcW w:w="3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99E57">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区级</w:t>
            </w:r>
          </w:p>
        </w:tc>
        <w:tc>
          <w:tcPr>
            <w:tcW w:w="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3EEEA">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负责本行政区域内工程质量监督手续核发。</w:t>
            </w:r>
          </w:p>
        </w:tc>
        <w:tc>
          <w:tcPr>
            <w:tcW w:w="1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21DF6">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负责本行政区域内工程质量的监督管理。</w:t>
            </w:r>
          </w:p>
        </w:tc>
        <w:tc>
          <w:tcPr>
            <w:tcW w:w="29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449E2">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直接实施责任：</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1.规范完善审批标准、程序等具体规定；主动公示依据、条件、数量、程序、期限以及需要提交的全部材料的目录和申请书示范文本等，便于申请人阅取。</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2.依法依规实施行政检查，作出的行政检查应当予以公开。</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3.监督责任。建立健全监督制度，对被许可人从事行政许可事项的活动进行监督,对未经行政许可，擅自从事相关活动的，转报有关部门处理。</w:t>
            </w:r>
          </w:p>
        </w:tc>
        <w:tc>
          <w:tcPr>
            <w:tcW w:w="3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9D7A3">
            <w:pPr>
              <w:keepNext w:val="0"/>
              <w:keepLines w:val="0"/>
              <w:widowControl/>
              <w:suppressLineNumbers w:val="0"/>
              <w:spacing w:line="240" w:lineRule="auto"/>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法律】《中华人民共和国行政许可法》（2003年8月27日第十届全国人民代表大会常务委员会第四次会议通过，2003年8月27日中华人民共和国主席令第7号公布，自2004年7月1日起施行,根据2019年4月23日第十三届全国人民代表大会常务委员会第十次会议修正,自公布之日起施行。）</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第三十条、第三十四条、第三十七条、第四十条、第四十四条。</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E002BA">
            <w:pPr>
              <w:keepNext w:val="0"/>
              <w:keepLines w:val="0"/>
              <w:widowControl/>
              <w:suppressLineNumbers w:val="0"/>
              <w:spacing w:line="240" w:lineRule="auto"/>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1.具体承办人；</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2.内设机构负责人；</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3.单位法定代表人或分管领导</w:t>
            </w:r>
          </w:p>
        </w:tc>
        <w:tc>
          <w:tcPr>
            <w:tcW w:w="2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EC9C4">
            <w:pPr>
              <w:keepNext w:val="0"/>
              <w:keepLines w:val="0"/>
              <w:widowControl/>
              <w:suppressLineNumbers w:val="0"/>
              <w:spacing w:line="240" w:lineRule="auto"/>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1.对符合法定条件的行政许可申请不予受理或者未在法定期限内初审完毕的；</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2.对不符合法定条件的申请人准予监督或者超越法定职权作出准予监督决定的；</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3.对符合法定条件的申请人不予监督或者不在法定期限内作出准予监督决定的；</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4.不依法履行监管职责或者监管不力的；</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5.实施监督检查，索取或者收受他人财物或者谋取其他利益的；</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6.其他违反法律法规规章文件规定的行为。</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AAB5C">
            <w:pPr>
              <w:spacing w:line="240" w:lineRule="auto"/>
              <w:jc w:val="center"/>
              <w:rPr>
                <w:rFonts w:hint="eastAsia" w:ascii="仿宋" w:hAnsi="仿宋" w:eastAsia="仿宋" w:cs="仿宋"/>
                <w:i w:val="0"/>
                <w:color w:val="auto"/>
                <w:sz w:val="21"/>
                <w:szCs w:val="21"/>
                <w:u w:val="none"/>
              </w:rPr>
            </w:pPr>
          </w:p>
        </w:tc>
      </w:tr>
      <w:tr w14:paraId="6FD0B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275" w:hRule="atLeast"/>
        </w:trPr>
        <w:tc>
          <w:tcPr>
            <w:tcW w:w="4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B92AE">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2</w:t>
            </w:r>
          </w:p>
        </w:tc>
        <w:tc>
          <w:tcPr>
            <w:tcW w:w="4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22539">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对建设安全生产和工程质量的检查</w:t>
            </w:r>
          </w:p>
        </w:tc>
        <w:tc>
          <w:tcPr>
            <w:tcW w:w="3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A95579">
            <w:pPr>
              <w:spacing w:line="240" w:lineRule="auto"/>
              <w:jc w:val="center"/>
              <w:rPr>
                <w:rFonts w:hint="eastAsia" w:ascii="仿宋" w:hAnsi="仿宋" w:eastAsia="仿宋" w:cs="仿宋"/>
                <w:i w:val="0"/>
                <w:color w:val="auto"/>
                <w:sz w:val="21"/>
                <w:szCs w:val="21"/>
                <w:u w:val="none"/>
              </w:rPr>
            </w:pPr>
          </w:p>
        </w:tc>
        <w:tc>
          <w:tcPr>
            <w:tcW w:w="36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B4806">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highlight w:val="none"/>
                <w:u w:val="none"/>
                <w:lang w:val="en-US" w:eastAsia="zh-CN" w:bidi="ar"/>
              </w:rPr>
              <w:t>行政检查</w:t>
            </w:r>
          </w:p>
        </w:tc>
        <w:tc>
          <w:tcPr>
            <w:tcW w:w="449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33A48">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法律】《中华人民共和国安全生产法》（第九届全国人民代表大会常务委员会第二十八次会议于2002年6月29日通过发布，2014年8月31日第十二届全国人民代表大会常务委员会第十次会议通过全国人民代表大会常务委员会关于修改《中华人民共和国安全生产法》的决定第二次修正）</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第六十二条：安全生产监督管理部门和其他负有安全生产监督管理职责的部门依法开展安全生产行政执法工作，对生产经营单位执行有关安全生产的法律、法规和国家标准或者行业标准的情况进行监督检查，行使以下职权：</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(一)进入生产经营单位进行检查，调阅有关资料，向有关单位和人员了解情况；</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(二)对检查中发现的安全生产违法行为，当场予以纠正或者要求限期改正；对依法应当给予行政处罚的行为，依照本法和其他有关法律、行政法规的规定作出行政处罚决定；</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监督检查不得影响被检查单位的正常生产经营活动。</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【法规】《建设工程质量管理条例》（2000年1月10日国务院令第279号发布，根据2019年4月23日国务院令第714号修订）</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第四十三条：县级以上地方人民政府建设行政主管部门对本行政区域内的建设工程质量实施监督管理。</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第四十七条：县级以上地方人民政府建设行政主管部门和其他有关部门应当加强对有关建设工程质量的法律、法规和强制性标准执行情况的监督检查。【法规】《建设工程安全生产管理条例》（2003年11月24日国务院令第393号）</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第四条：建设单位、勘察单位、设计单位、施工单位、工程监理单位及其他与建设工程安全生产有关的单位，必须遵守安全生产法律、法规的规定，保证建设工程安全生产，依法承担建设工程安全生产责任。</w:t>
            </w:r>
          </w:p>
        </w:tc>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3F93B">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米东区建设局</w:t>
            </w:r>
          </w:p>
        </w:tc>
        <w:tc>
          <w:tcPr>
            <w:tcW w:w="8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7B83C">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具体承办的业务科室</w:t>
            </w:r>
          </w:p>
        </w:tc>
        <w:tc>
          <w:tcPr>
            <w:tcW w:w="38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1C157">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区级</w:t>
            </w:r>
          </w:p>
        </w:tc>
        <w:tc>
          <w:tcPr>
            <w:tcW w:w="81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DF03B">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负责本行政区域内建设安全生产和工程质量的检查。</w:t>
            </w:r>
          </w:p>
        </w:tc>
        <w:tc>
          <w:tcPr>
            <w:tcW w:w="12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258F35">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负责本行政区域内建设安全生产和工程质量的检查。</w:t>
            </w:r>
          </w:p>
        </w:tc>
        <w:tc>
          <w:tcPr>
            <w:tcW w:w="298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B48EA">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直接实施责任：</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1.规范完善审批标准、程序等具体规定；主动公示依据、条件、数量、程序、期限以及需要提交的全部材料的目录和申请书示范文本等，便于申请人阅取。</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2.依法依规实施行政检查，作出的行政检查应当予以公开。</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3.监督责任。建立健全监督制度，对被许可人从事行政许可事项的活动进行监督,对未经行政许可，擅自从事相关活动的，转报有关部门处理。</w:t>
            </w:r>
          </w:p>
        </w:tc>
        <w:tc>
          <w:tcPr>
            <w:tcW w:w="312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66AF5">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法律】《中华人民共和国行政许可法》（2003年8月27日第十届全国人民代表大会常务委员会第四次会议通过，2003年8月27日中华人民共和国主席令第7号公布，自2004年7月1日起施行,根据2019年4月23日第十三届全国人民代表大会常务委员会第十次会议修正,自公布之日起施行。）</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第三十条、第三十四条、第三十七条、第四十条、第四十四条。</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404A8">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1.具体承办人；</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2.内设机构负责人；</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3.单位法定代表人或分管领导</w:t>
            </w:r>
          </w:p>
        </w:tc>
        <w:tc>
          <w:tcPr>
            <w:tcW w:w="241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34691B">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1.对符合法定条件的行政许可申请不予受理或者未在法定期限内初审完毕的；</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2.对不符合法定条件的申请人准予监督或者超越法定职权作出准予监督决定的；</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3.对符合法定条件的申请人不予监督或者不在法定期限内作出准予监督决定的；</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4.不依法履行监管职责或者监管不力的；</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5.实施监督检查，索取或者收受他人财物或者谋取其他利益的；</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6.其他违反法律法规规章文件规定的行为。</w:t>
            </w:r>
          </w:p>
        </w:tc>
        <w:tc>
          <w:tcPr>
            <w:tcW w:w="58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58AA8">
            <w:pPr>
              <w:spacing w:line="240" w:lineRule="auto"/>
              <w:jc w:val="center"/>
              <w:rPr>
                <w:rFonts w:hint="eastAsia" w:ascii="仿宋" w:hAnsi="仿宋" w:eastAsia="仿宋" w:cs="仿宋"/>
                <w:i w:val="0"/>
                <w:color w:val="auto"/>
                <w:sz w:val="21"/>
                <w:szCs w:val="21"/>
                <w:u w:val="none"/>
              </w:rPr>
            </w:pPr>
          </w:p>
        </w:tc>
      </w:tr>
      <w:tr w14:paraId="09193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794"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B453B">
            <w:pPr>
              <w:spacing w:line="240" w:lineRule="auto"/>
              <w:jc w:val="center"/>
              <w:rPr>
                <w:rFonts w:hint="eastAsia" w:ascii="仿宋" w:hAnsi="仿宋" w:eastAsia="仿宋" w:cs="仿宋"/>
                <w:i w:val="0"/>
                <w:color w:val="auto"/>
                <w:sz w:val="21"/>
                <w:szCs w:val="21"/>
                <w:u w:val="none"/>
              </w:rPr>
            </w:pPr>
          </w:p>
        </w:tc>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AD9EA">
            <w:pPr>
              <w:spacing w:line="240" w:lineRule="auto"/>
              <w:jc w:val="center"/>
              <w:rPr>
                <w:rFonts w:hint="eastAsia" w:ascii="仿宋" w:hAnsi="仿宋" w:eastAsia="仿宋" w:cs="仿宋"/>
                <w:i w:val="0"/>
                <w:color w:val="auto"/>
                <w:sz w:val="21"/>
                <w:szCs w:val="21"/>
                <w:u w:val="none"/>
              </w:rPr>
            </w:pPr>
          </w:p>
        </w:tc>
        <w:tc>
          <w:tcPr>
            <w:tcW w:w="3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E790E">
            <w:pPr>
              <w:spacing w:line="240" w:lineRule="auto"/>
              <w:jc w:val="center"/>
              <w:rPr>
                <w:rFonts w:hint="eastAsia" w:ascii="仿宋" w:hAnsi="仿宋" w:eastAsia="仿宋" w:cs="仿宋"/>
                <w:i w:val="0"/>
                <w:color w:val="auto"/>
                <w:sz w:val="21"/>
                <w:szCs w:val="21"/>
                <w:u w:val="none"/>
              </w:rPr>
            </w:pPr>
          </w:p>
        </w:tc>
        <w:tc>
          <w:tcPr>
            <w:tcW w:w="3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838646">
            <w:pPr>
              <w:spacing w:line="240" w:lineRule="auto"/>
              <w:jc w:val="center"/>
              <w:rPr>
                <w:rFonts w:hint="eastAsia" w:ascii="仿宋" w:hAnsi="仿宋" w:eastAsia="仿宋" w:cs="仿宋"/>
                <w:i w:val="0"/>
                <w:color w:val="auto"/>
                <w:sz w:val="21"/>
                <w:szCs w:val="21"/>
                <w:u w:val="none"/>
              </w:rPr>
            </w:pPr>
          </w:p>
        </w:tc>
        <w:tc>
          <w:tcPr>
            <w:tcW w:w="4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BFAE2">
            <w:pPr>
              <w:spacing w:line="240" w:lineRule="auto"/>
              <w:jc w:val="center"/>
              <w:rPr>
                <w:rFonts w:hint="eastAsia" w:ascii="仿宋" w:hAnsi="仿宋" w:eastAsia="仿宋" w:cs="仿宋"/>
                <w:i w:val="0"/>
                <w:color w:val="auto"/>
                <w:sz w:val="21"/>
                <w:szCs w:val="21"/>
                <w:u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DF9ED">
            <w:pPr>
              <w:spacing w:line="240" w:lineRule="auto"/>
              <w:jc w:val="center"/>
              <w:rPr>
                <w:rFonts w:hint="eastAsia" w:ascii="仿宋" w:hAnsi="仿宋" w:eastAsia="仿宋" w:cs="仿宋"/>
                <w:i w:val="0"/>
                <w:color w:val="auto"/>
                <w:sz w:val="21"/>
                <w:szCs w:val="21"/>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A4EDF">
            <w:pPr>
              <w:spacing w:line="240" w:lineRule="auto"/>
              <w:jc w:val="center"/>
              <w:rPr>
                <w:rFonts w:hint="eastAsia" w:ascii="仿宋" w:hAnsi="仿宋" w:eastAsia="仿宋" w:cs="仿宋"/>
                <w:i w:val="0"/>
                <w:color w:val="auto"/>
                <w:sz w:val="21"/>
                <w:szCs w:val="21"/>
                <w:u w:val="none"/>
              </w:rPr>
            </w:pPr>
          </w:p>
        </w:tc>
        <w:tc>
          <w:tcPr>
            <w:tcW w:w="3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3065B">
            <w:pPr>
              <w:spacing w:line="240" w:lineRule="auto"/>
              <w:jc w:val="center"/>
              <w:rPr>
                <w:rFonts w:hint="eastAsia" w:ascii="仿宋" w:hAnsi="仿宋" w:eastAsia="仿宋" w:cs="仿宋"/>
                <w:i w:val="0"/>
                <w:color w:val="auto"/>
                <w:sz w:val="21"/>
                <w:szCs w:val="21"/>
                <w:u w:val="none"/>
              </w:rPr>
            </w:pPr>
          </w:p>
        </w:tc>
        <w:tc>
          <w:tcPr>
            <w:tcW w:w="8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D1C67">
            <w:pPr>
              <w:spacing w:line="240" w:lineRule="auto"/>
              <w:jc w:val="center"/>
              <w:rPr>
                <w:rFonts w:hint="eastAsia" w:ascii="仿宋" w:hAnsi="仿宋" w:eastAsia="仿宋" w:cs="仿宋"/>
                <w:i w:val="0"/>
                <w:color w:val="auto"/>
                <w:sz w:val="21"/>
                <w:szCs w:val="21"/>
                <w:u w:val="none"/>
              </w:rPr>
            </w:pPr>
          </w:p>
        </w:tc>
        <w:tc>
          <w:tcPr>
            <w:tcW w:w="12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4A125">
            <w:pPr>
              <w:spacing w:line="240" w:lineRule="auto"/>
              <w:jc w:val="center"/>
              <w:rPr>
                <w:rFonts w:hint="eastAsia" w:ascii="仿宋" w:hAnsi="仿宋" w:eastAsia="仿宋" w:cs="仿宋"/>
                <w:i w:val="0"/>
                <w:color w:val="auto"/>
                <w:sz w:val="21"/>
                <w:szCs w:val="21"/>
                <w:u w:val="none"/>
              </w:rPr>
            </w:pPr>
          </w:p>
        </w:tc>
        <w:tc>
          <w:tcPr>
            <w:tcW w:w="29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00EE1">
            <w:pPr>
              <w:spacing w:line="240" w:lineRule="auto"/>
              <w:jc w:val="center"/>
              <w:rPr>
                <w:rFonts w:hint="eastAsia" w:ascii="仿宋" w:hAnsi="仿宋" w:eastAsia="仿宋" w:cs="仿宋"/>
                <w:i w:val="0"/>
                <w:color w:val="auto"/>
                <w:sz w:val="21"/>
                <w:szCs w:val="21"/>
                <w:u w:val="none"/>
              </w:rPr>
            </w:pPr>
          </w:p>
        </w:tc>
        <w:tc>
          <w:tcPr>
            <w:tcW w:w="3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C30B8F">
            <w:pPr>
              <w:spacing w:line="240" w:lineRule="auto"/>
              <w:jc w:val="center"/>
              <w:rPr>
                <w:rFonts w:hint="eastAsia" w:ascii="仿宋" w:hAnsi="仿宋" w:eastAsia="仿宋" w:cs="仿宋"/>
                <w:i w:val="0"/>
                <w:color w:val="auto"/>
                <w:sz w:val="21"/>
                <w:szCs w:val="21"/>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791118">
            <w:pPr>
              <w:spacing w:line="240" w:lineRule="auto"/>
              <w:jc w:val="center"/>
              <w:rPr>
                <w:rFonts w:hint="eastAsia" w:ascii="仿宋" w:hAnsi="仿宋" w:eastAsia="仿宋" w:cs="仿宋"/>
                <w:i w:val="0"/>
                <w:color w:val="auto"/>
                <w:sz w:val="21"/>
                <w:szCs w:val="21"/>
                <w:u w:val="none"/>
              </w:rPr>
            </w:pPr>
          </w:p>
        </w:tc>
        <w:tc>
          <w:tcPr>
            <w:tcW w:w="24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6699C">
            <w:pPr>
              <w:spacing w:line="240" w:lineRule="auto"/>
              <w:jc w:val="center"/>
              <w:rPr>
                <w:rFonts w:hint="eastAsia" w:ascii="仿宋" w:hAnsi="仿宋" w:eastAsia="仿宋" w:cs="仿宋"/>
                <w:i w:val="0"/>
                <w:color w:val="auto"/>
                <w:sz w:val="21"/>
                <w:szCs w:val="21"/>
                <w:u w:val="none"/>
              </w:rPr>
            </w:pPr>
          </w:p>
        </w:tc>
        <w:tc>
          <w:tcPr>
            <w:tcW w:w="5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EBEBD">
            <w:pPr>
              <w:spacing w:line="240" w:lineRule="auto"/>
              <w:jc w:val="center"/>
              <w:rPr>
                <w:rFonts w:hint="eastAsia" w:ascii="仿宋" w:hAnsi="仿宋" w:eastAsia="仿宋" w:cs="仿宋"/>
                <w:i w:val="0"/>
                <w:color w:val="auto"/>
                <w:sz w:val="21"/>
                <w:szCs w:val="21"/>
                <w:u w:val="none"/>
              </w:rPr>
            </w:pPr>
          </w:p>
        </w:tc>
      </w:tr>
      <w:tr w14:paraId="4E9A1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496F8">
            <w:pPr>
              <w:spacing w:line="240" w:lineRule="auto"/>
              <w:jc w:val="center"/>
              <w:rPr>
                <w:rFonts w:hint="eastAsia" w:ascii="仿宋" w:hAnsi="仿宋" w:eastAsia="仿宋" w:cs="仿宋"/>
                <w:i w:val="0"/>
                <w:color w:val="auto"/>
                <w:sz w:val="21"/>
                <w:szCs w:val="21"/>
                <w:u w:val="none"/>
              </w:rPr>
            </w:pPr>
          </w:p>
        </w:tc>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78285">
            <w:pPr>
              <w:spacing w:line="240" w:lineRule="auto"/>
              <w:jc w:val="center"/>
              <w:rPr>
                <w:rFonts w:hint="eastAsia" w:ascii="仿宋" w:hAnsi="仿宋" w:eastAsia="仿宋" w:cs="仿宋"/>
                <w:i w:val="0"/>
                <w:color w:val="auto"/>
                <w:sz w:val="21"/>
                <w:szCs w:val="21"/>
                <w:u w:val="none"/>
              </w:rPr>
            </w:pPr>
          </w:p>
        </w:tc>
        <w:tc>
          <w:tcPr>
            <w:tcW w:w="3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D2624">
            <w:pPr>
              <w:spacing w:line="240" w:lineRule="auto"/>
              <w:jc w:val="center"/>
              <w:rPr>
                <w:rFonts w:hint="eastAsia" w:ascii="仿宋" w:hAnsi="仿宋" w:eastAsia="仿宋" w:cs="仿宋"/>
                <w:i w:val="0"/>
                <w:color w:val="auto"/>
                <w:sz w:val="21"/>
                <w:szCs w:val="21"/>
                <w:u w:val="none"/>
              </w:rPr>
            </w:pPr>
          </w:p>
        </w:tc>
        <w:tc>
          <w:tcPr>
            <w:tcW w:w="3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D2E05">
            <w:pPr>
              <w:spacing w:line="240" w:lineRule="auto"/>
              <w:jc w:val="center"/>
              <w:rPr>
                <w:rFonts w:hint="eastAsia" w:ascii="仿宋" w:hAnsi="仿宋" w:eastAsia="仿宋" w:cs="仿宋"/>
                <w:i w:val="0"/>
                <w:color w:val="auto"/>
                <w:sz w:val="21"/>
                <w:szCs w:val="21"/>
                <w:u w:val="none"/>
              </w:rPr>
            </w:pPr>
          </w:p>
        </w:tc>
        <w:tc>
          <w:tcPr>
            <w:tcW w:w="44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8ADB8">
            <w:pPr>
              <w:spacing w:line="240" w:lineRule="auto"/>
              <w:jc w:val="center"/>
              <w:rPr>
                <w:rFonts w:hint="eastAsia" w:ascii="仿宋" w:hAnsi="仿宋" w:eastAsia="仿宋" w:cs="仿宋"/>
                <w:i w:val="0"/>
                <w:color w:val="auto"/>
                <w:sz w:val="21"/>
                <w:szCs w:val="21"/>
                <w:u w:val="none"/>
              </w:rPr>
            </w:pPr>
          </w:p>
        </w:tc>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17BC5C">
            <w:pPr>
              <w:spacing w:line="240" w:lineRule="auto"/>
              <w:jc w:val="center"/>
              <w:rPr>
                <w:rFonts w:hint="eastAsia" w:ascii="仿宋" w:hAnsi="仿宋" w:eastAsia="仿宋" w:cs="仿宋"/>
                <w:i w:val="0"/>
                <w:color w:val="auto"/>
                <w:sz w:val="21"/>
                <w:szCs w:val="21"/>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C5646">
            <w:pPr>
              <w:spacing w:line="240" w:lineRule="auto"/>
              <w:jc w:val="center"/>
              <w:rPr>
                <w:rFonts w:hint="eastAsia" w:ascii="仿宋" w:hAnsi="仿宋" w:eastAsia="仿宋" w:cs="仿宋"/>
                <w:i w:val="0"/>
                <w:color w:val="auto"/>
                <w:sz w:val="21"/>
                <w:szCs w:val="21"/>
                <w:u w:val="none"/>
              </w:rPr>
            </w:pPr>
          </w:p>
        </w:tc>
        <w:tc>
          <w:tcPr>
            <w:tcW w:w="3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8CE2B">
            <w:pPr>
              <w:spacing w:line="240" w:lineRule="auto"/>
              <w:jc w:val="center"/>
              <w:rPr>
                <w:rFonts w:hint="eastAsia" w:ascii="仿宋" w:hAnsi="仿宋" w:eastAsia="仿宋" w:cs="仿宋"/>
                <w:i w:val="0"/>
                <w:color w:val="auto"/>
                <w:sz w:val="21"/>
                <w:szCs w:val="21"/>
                <w:u w:val="none"/>
              </w:rPr>
            </w:pPr>
          </w:p>
        </w:tc>
        <w:tc>
          <w:tcPr>
            <w:tcW w:w="8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282D1">
            <w:pPr>
              <w:spacing w:line="240" w:lineRule="auto"/>
              <w:jc w:val="center"/>
              <w:rPr>
                <w:rFonts w:hint="eastAsia" w:ascii="仿宋" w:hAnsi="仿宋" w:eastAsia="仿宋" w:cs="仿宋"/>
                <w:i w:val="0"/>
                <w:color w:val="auto"/>
                <w:sz w:val="21"/>
                <w:szCs w:val="21"/>
                <w:u w:val="none"/>
              </w:rPr>
            </w:pPr>
          </w:p>
        </w:tc>
        <w:tc>
          <w:tcPr>
            <w:tcW w:w="12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3AE1E">
            <w:pPr>
              <w:spacing w:line="240" w:lineRule="auto"/>
              <w:jc w:val="center"/>
              <w:rPr>
                <w:rFonts w:hint="eastAsia" w:ascii="仿宋" w:hAnsi="仿宋" w:eastAsia="仿宋" w:cs="仿宋"/>
                <w:i w:val="0"/>
                <w:color w:val="auto"/>
                <w:sz w:val="21"/>
                <w:szCs w:val="21"/>
                <w:u w:val="none"/>
              </w:rPr>
            </w:pPr>
          </w:p>
        </w:tc>
        <w:tc>
          <w:tcPr>
            <w:tcW w:w="29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A8EB6">
            <w:pPr>
              <w:spacing w:line="240" w:lineRule="auto"/>
              <w:jc w:val="center"/>
              <w:rPr>
                <w:rFonts w:hint="eastAsia" w:ascii="仿宋" w:hAnsi="仿宋" w:eastAsia="仿宋" w:cs="仿宋"/>
                <w:i w:val="0"/>
                <w:color w:val="auto"/>
                <w:sz w:val="21"/>
                <w:szCs w:val="21"/>
                <w:u w:val="none"/>
              </w:rPr>
            </w:pPr>
          </w:p>
        </w:tc>
        <w:tc>
          <w:tcPr>
            <w:tcW w:w="31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DBEAC">
            <w:pPr>
              <w:spacing w:line="240" w:lineRule="auto"/>
              <w:jc w:val="center"/>
              <w:rPr>
                <w:rFonts w:hint="eastAsia" w:ascii="仿宋" w:hAnsi="仿宋" w:eastAsia="仿宋" w:cs="仿宋"/>
                <w:i w:val="0"/>
                <w:color w:val="auto"/>
                <w:sz w:val="21"/>
                <w:szCs w:val="21"/>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D3A28">
            <w:pPr>
              <w:spacing w:line="240" w:lineRule="auto"/>
              <w:jc w:val="center"/>
              <w:rPr>
                <w:rFonts w:hint="eastAsia" w:ascii="仿宋" w:hAnsi="仿宋" w:eastAsia="仿宋" w:cs="仿宋"/>
                <w:i w:val="0"/>
                <w:color w:val="auto"/>
                <w:sz w:val="21"/>
                <w:szCs w:val="21"/>
                <w:u w:val="none"/>
              </w:rPr>
            </w:pPr>
          </w:p>
        </w:tc>
        <w:tc>
          <w:tcPr>
            <w:tcW w:w="24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1331A">
            <w:pPr>
              <w:spacing w:line="240" w:lineRule="auto"/>
              <w:jc w:val="center"/>
              <w:rPr>
                <w:rFonts w:hint="eastAsia" w:ascii="仿宋" w:hAnsi="仿宋" w:eastAsia="仿宋" w:cs="仿宋"/>
                <w:i w:val="0"/>
                <w:color w:val="auto"/>
                <w:sz w:val="21"/>
                <w:szCs w:val="21"/>
                <w:u w:val="none"/>
              </w:rPr>
            </w:pPr>
          </w:p>
        </w:tc>
        <w:tc>
          <w:tcPr>
            <w:tcW w:w="5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9648A">
            <w:pPr>
              <w:spacing w:line="240" w:lineRule="auto"/>
              <w:jc w:val="center"/>
              <w:rPr>
                <w:rFonts w:hint="eastAsia" w:ascii="仿宋" w:hAnsi="仿宋" w:eastAsia="仿宋" w:cs="仿宋"/>
                <w:i w:val="0"/>
                <w:color w:val="auto"/>
                <w:sz w:val="21"/>
                <w:szCs w:val="21"/>
                <w:u w:val="none"/>
              </w:rPr>
            </w:pPr>
          </w:p>
        </w:tc>
      </w:tr>
      <w:tr w14:paraId="41C82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360" w:hRule="atLeast"/>
        </w:trPr>
        <w:tc>
          <w:tcPr>
            <w:tcW w:w="430"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03434EB">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3</w:t>
            </w:r>
          </w:p>
        </w:tc>
        <w:tc>
          <w:tcPr>
            <w:tcW w:w="430"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58086106">
            <w:pPr>
              <w:keepNext w:val="0"/>
              <w:keepLines w:val="0"/>
              <w:widowControl/>
              <w:suppressLineNumbers w:val="0"/>
              <w:spacing w:line="240" w:lineRule="auto"/>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对消防设计审查和验收的检查</w:t>
            </w:r>
          </w:p>
        </w:tc>
        <w:tc>
          <w:tcPr>
            <w:tcW w:w="33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5C84D728">
            <w:pPr>
              <w:spacing w:line="240" w:lineRule="auto"/>
              <w:jc w:val="center"/>
              <w:rPr>
                <w:rFonts w:hint="eastAsia" w:ascii="仿宋" w:hAnsi="仿宋" w:eastAsia="仿宋" w:cs="仿宋"/>
                <w:i w:val="0"/>
                <w:color w:val="auto"/>
                <w:sz w:val="21"/>
                <w:szCs w:val="21"/>
                <w:u w:val="none"/>
              </w:rPr>
            </w:pPr>
          </w:p>
        </w:tc>
        <w:tc>
          <w:tcPr>
            <w:tcW w:w="368"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667EB79">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highlight w:val="none"/>
                <w:u w:val="none"/>
                <w:lang w:val="en-US" w:eastAsia="zh-CN" w:bidi="ar"/>
              </w:rPr>
              <w:t>行政检查</w:t>
            </w:r>
          </w:p>
        </w:tc>
        <w:tc>
          <w:tcPr>
            <w:tcW w:w="4492"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7AB3BB7">
            <w:pPr>
              <w:keepNext w:val="0"/>
              <w:keepLines w:val="0"/>
              <w:widowControl/>
              <w:suppressLineNumbers w:val="0"/>
              <w:spacing w:line="240" w:lineRule="auto"/>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法律】《中华人民共和国消防法》（1998年4月29日第九届全国人民代表大会常务委员会第二次会议通过，2021年4月29日第十三届全国人民代表大会常务委员会第二十八次会议《关于修改〈中华人民共和国道路交通安全法〉等八部法律的决定》第二次修正）</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第五十六条：住房和城乡建设主管部门、消防救援机构及其工作人员应当按照法定的职权和程序进行消防设计审查、消防验收、备案抽查和消防安全检查，做到公正、严格、文明、高效。</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住房和城乡建设主管部门、消防救援机构及其工作人员进行消防设计审查、消防验收、备案抽查和消防安全检查等，不得收取费用，不得利用职务谋取利益；不得利用职务为用户、建设单位指定或者变相指定消防产品的品牌、销售单位或者消防技术服务机构、消防设施施工单位。</w:t>
            </w:r>
          </w:p>
        </w:tc>
        <w:tc>
          <w:tcPr>
            <w:tcW w:w="663"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4BDB2B4C">
            <w:pPr>
              <w:keepNext w:val="0"/>
              <w:keepLines w:val="0"/>
              <w:widowControl/>
              <w:suppressLineNumbers w:val="0"/>
              <w:spacing w:line="240" w:lineRule="auto"/>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米东区建设局</w:t>
            </w:r>
          </w:p>
        </w:tc>
        <w:tc>
          <w:tcPr>
            <w:tcW w:w="850"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4994D1DA">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具体承办的业务科室</w:t>
            </w:r>
          </w:p>
        </w:tc>
        <w:tc>
          <w:tcPr>
            <w:tcW w:w="387"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3C6FDD2">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区级</w:t>
            </w:r>
          </w:p>
        </w:tc>
        <w:tc>
          <w:tcPr>
            <w:tcW w:w="813"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D4AA85D">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负责对本行政区域内消防设计审查和验收的检查。</w:t>
            </w:r>
          </w:p>
        </w:tc>
        <w:tc>
          <w:tcPr>
            <w:tcW w:w="12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95A16D8">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负责对本行政区域内消防设计审查和验收的检查。</w:t>
            </w:r>
          </w:p>
        </w:tc>
        <w:tc>
          <w:tcPr>
            <w:tcW w:w="2987"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DE80955">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直接实施责任：</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1.规范完善审批标准、程序等具体规定；主动公示依据、条件、数量、程序、期限以及需要提交的全部材料的目录和申请书示范文本等，便于申请人阅取。</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2.依法依规实施行政检查，作出的行政检查应当予以公开。</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3.监督责任。建立健全监督制度，对被许可人从事行政许可事项的活动进行监督,对未经行政许可，擅自从事相关活动的，转报有关部门处理。</w:t>
            </w:r>
          </w:p>
        </w:tc>
        <w:tc>
          <w:tcPr>
            <w:tcW w:w="31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F9DFF54">
            <w:pPr>
              <w:keepNext w:val="0"/>
              <w:keepLines w:val="0"/>
              <w:widowControl/>
              <w:suppressLineNumbers w:val="0"/>
              <w:spacing w:line="240" w:lineRule="auto"/>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法律】《中华人民共和国行政许可法》（2003年8月27日第十届全国人民代表大会常务委员会第四次会议通过，2003年8月27日中华人民共和国主席令第7号公布，自2004年7月1日起施行,根据2019年4月23日第十三届全国人民代表大会常务委员会第十次会议修正,自公布之日起施行。）</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第三十条、第三十四条、第三十七条、第四十条、第四十四条。</w:t>
            </w:r>
          </w:p>
        </w:tc>
        <w:tc>
          <w:tcPr>
            <w:tcW w:w="1650"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4DD63D4">
            <w:pPr>
              <w:keepNext w:val="0"/>
              <w:keepLines w:val="0"/>
              <w:widowControl/>
              <w:suppressLineNumbers w:val="0"/>
              <w:spacing w:line="240" w:lineRule="auto"/>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1.具体承办人；</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2.内设机构负责人；</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3.单位法定代表人或分管领导</w:t>
            </w:r>
          </w:p>
        </w:tc>
        <w:tc>
          <w:tcPr>
            <w:tcW w:w="2413"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4792D78">
            <w:pPr>
              <w:keepNext w:val="0"/>
              <w:keepLines w:val="0"/>
              <w:widowControl/>
              <w:suppressLineNumbers w:val="0"/>
              <w:spacing w:line="240" w:lineRule="auto"/>
              <w:jc w:val="left"/>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1.对符合法定条件的行政许可申请不予受理或者未在法定期限内初审完毕的；</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2.对不符合法定条件的申请人准予监督或者超越法定职权作出准予监督决定的；</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3.对符合法定条件的申请人不予监督或者不在法定期限内作出准予监督决定的；</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4.不依法履行监管职责或者监管不力的；</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5.实施监督检查，索取或者收受他人财物或者谋取其他利益的；</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6.其他违反法律法规规章文件规定的行为。</w:t>
            </w:r>
          </w:p>
        </w:tc>
        <w:tc>
          <w:tcPr>
            <w:tcW w:w="587"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CF4DBB8">
            <w:pPr>
              <w:spacing w:line="240" w:lineRule="auto"/>
              <w:jc w:val="center"/>
              <w:rPr>
                <w:rFonts w:hint="eastAsia" w:ascii="仿宋" w:hAnsi="仿宋" w:eastAsia="仿宋" w:cs="仿宋"/>
                <w:i w:val="0"/>
                <w:color w:val="auto"/>
                <w:sz w:val="21"/>
                <w:szCs w:val="21"/>
                <w:u w:val="none"/>
              </w:rPr>
            </w:pPr>
          </w:p>
        </w:tc>
      </w:tr>
      <w:tr w14:paraId="50F54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263" w:hRule="atLeast"/>
        </w:trPr>
        <w:tc>
          <w:tcPr>
            <w:tcW w:w="430" w:type="dxa"/>
            <w:vMerge w:val="restart"/>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78EC6156">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4</w:t>
            </w:r>
          </w:p>
        </w:tc>
        <w:tc>
          <w:tcPr>
            <w:tcW w:w="430"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55856E9">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对建筑工程招标投标的检查</w:t>
            </w:r>
          </w:p>
        </w:tc>
        <w:tc>
          <w:tcPr>
            <w:tcW w:w="334"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2D30D1A">
            <w:pPr>
              <w:spacing w:line="240" w:lineRule="auto"/>
              <w:jc w:val="center"/>
              <w:rPr>
                <w:rFonts w:hint="eastAsia" w:ascii="仿宋" w:hAnsi="仿宋" w:eastAsia="仿宋" w:cs="仿宋"/>
                <w:i w:val="0"/>
                <w:color w:val="auto"/>
                <w:sz w:val="21"/>
                <w:szCs w:val="21"/>
                <w:u w:val="none"/>
              </w:rPr>
            </w:pPr>
          </w:p>
        </w:tc>
        <w:tc>
          <w:tcPr>
            <w:tcW w:w="368"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65AE0386">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highlight w:val="none"/>
                <w:u w:val="none"/>
                <w:lang w:val="en-US" w:eastAsia="zh-CN" w:bidi="ar"/>
              </w:rPr>
              <w:t>行政检查</w:t>
            </w:r>
          </w:p>
        </w:tc>
        <w:tc>
          <w:tcPr>
            <w:tcW w:w="4492"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C81F028">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法律】《中华人民共和国招标投标法》（1999年8月30日第九届全国人民代表大会常务委员会第十一次会议通过。根据2017年12月27日第十二届全国人民代表大会常务委员会第三十一次会议《关于修改〈中华人民共和国招标投标法〉、〈中华人民共和国计量法〉的决定》修正）</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第七条：招标投标活动及其当事人应当接受依法实施的监督。有关行政监督部门依法对招标投标活动实施监督，依法查处招标投标活动中的违法行为。对招标投标活动的行政监督及有关部门的具体职权划分，由国务院规定。</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第十五条：招标代理机构应当在招标人委托的范围内办理招标事宜，并遵守本法关于招标人的规定。</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【法律】《中华人民共和国建筑法》（1997年11月1日第八届全国人大常委会第28次会议通过，2019年4月23日主席令第29号第二次修正）</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第二十一条：建筑工程招标的开标、评标、定标由建设单位依法组织实施，并接受有关行政主管部门的监督。</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【法规】《中华人民共和国招标投标法实施条例》(2011年12月20日国务院令第613号发布，根据国务院令第676号、698号、709号修订）</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第四条第二款：县级以上地方人民政府发展改革部门指导和协调本行政区域的招标投标工作。县级以上地方人民政府有关部门按照规定的职责分工，对招标投标活动实施监督，依法查处招标投标活动中的违法行为。县级以上地方人民政府对其所属部门有关招标投标活动的监督职责分工另有规定的，从其规定。</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【规章】《房屋建筑和市政基础设施工程施工招标投标管理办法》（2001年6月1日建设部令第89号发布，根据住房和城乡建设部令第43号、第47号修订）</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第三条：国务院建设行政主管部门负责全国工程施工招标投标活动的监督管理。县级以上地方人民政府建设行政主管部门负责本行政区域内工程施工招标投标活动的监督管理。具体的监督管理工作，可以委托工程招标投标监督管理机构负责实施。</w:t>
            </w:r>
          </w:p>
        </w:tc>
        <w:tc>
          <w:tcPr>
            <w:tcW w:w="663" w:type="dxa"/>
            <w:tcBorders>
              <w:top w:val="single" w:color="auto" w:sz="4" w:space="0"/>
              <w:left w:val="nil"/>
              <w:bottom w:val="single" w:color="auto" w:sz="4" w:space="0"/>
              <w:right w:val="nil"/>
            </w:tcBorders>
            <w:shd w:val="clear" w:color="auto" w:fill="auto"/>
            <w:tcMar>
              <w:top w:w="15" w:type="dxa"/>
              <w:left w:w="15" w:type="dxa"/>
              <w:right w:w="15" w:type="dxa"/>
            </w:tcMar>
            <w:vAlign w:val="center"/>
          </w:tcPr>
          <w:p w14:paraId="0DF5DD95">
            <w:pPr>
              <w:spacing w:line="240" w:lineRule="auto"/>
              <w:jc w:val="center"/>
              <w:rPr>
                <w:rFonts w:hint="eastAsia" w:ascii="仿宋" w:hAnsi="仿宋" w:eastAsia="仿宋" w:cs="仿宋"/>
                <w:i w:val="0"/>
                <w:color w:val="auto"/>
                <w:sz w:val="21"/>
                <w:szCs w:val="21"/>
                <w:u w:val="none"/>
              </w:rPr>
            </w:pPr>
          </w:p>
        </w:tc>
        <w:tc>
          <w:tcPr>
            <w:tcW w:w="850"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2411824">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具体承办的业务科室</w:t>
            </w:r>
          </w:p>
        </w:tc>
        <w:tc>
          <w:tcPr>
            <w:tcW w:w="387"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E045373">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区级</w:t>
            </w:r>
          </w:p>
        </w:tc>
        <w:tc>
          <w:tcPr>
            <w:tcW w:w="813"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EF24016">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负责对本行政区域内建筑工程招标投标的检查。</w:t>
            </w:r>
          </w:p>
        </w:tc>
        <w:tc>
          <w:tcPr>
            <w:tcW w:w="1225"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C139061">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负责对本行政区域内建筑工程招标投标的检查。</w:t>
            </w:r>
          </w:p>
        </w:tc>
        <w:tc>
          <w:tcPr>
            <w:tcW w:w="2987"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3D8699A">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直接实施责任：</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1.规范完善审批标准、程序等具体规定；主动公示依据、条件、数量、程序、期限以及需要提交的全部材料的目录和申请书示范文本等，便于申请人阅取。</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2.依法依规实施行政检查，作出的行政检查应当予以公开。</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3.监督责任。建立健全监督制度，对被许可人从事行政许可事项的活动进行监督,对未经行政许可，擅自从事相关活动的，转报有关部门处理。</w:t>
            </w:r>
          </w:p>
        </w:tc>
        <w:tc>
          <w:tcPr>
            <w:tcW w:w="3125"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458234D8">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法律】《中华人民共和国行政许可法》（2003年8月27日第十届全国人民代表大会常务委员会第四次会议通过，2003年8月27日中华人民共和国主席令第7号公布，自2004年7月1日起施行,根据2019年4月23日第十三届全国人民代表大会常务委员会第十次会议修正,自公布之日起施行。）</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第三十条、第三十四条、第三十七条、第四十条、第四十四条。</w:t>
            </w:r>
          </w:p>
        </w:tc>
        <w:tc>
          <w:tcPr>
            <w:tcW w:w="1650"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B4FD0D6">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1.具体承办人；</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2.内设机构负责人；</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3.单位法定代表人或分管领导</w:t>
            </w:r>
          </w:p>
        </w:tc>
        <w:tc>
          <w:tcPr>
            <w:tcW w:w="2413" w:type="dxa"/>
            <w:vMerge w:val="restar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34A2C4A">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u w:val="none"/>
              </w:rPr>
            </w:pPr>
            <w:r>
              <w:rPr>
                <w:rFonts w:hint="eastAsia" w:ascii="仿宋" w:hAnsi="仿宋" w:eastAsia="仿宋" w:cs="仿宋"/>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1.对符合法定条件的行政许可申请不予受理或者未在法定期限内初审完毕的；</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2.对不符合法定条件的申请人准予监督或者超越法定职权作出准予监督决定的；</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3.对符合法定条件的申请人不予监督或者不在法定期限内作出准予监督决定的；</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4.不依法履行监管职责或者监管不力的；</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5.实施监督检查，索取或者收受他人财物或者谋取其他利益的；</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6.其他违反法律法规规章文件规定的行为。</w:t>
            </w:r>
          </w:p>
        </w:tc>
        <w:tc>
          <w:tcPr>
            <w:tcW w:w="587" w:type="dxa"/>
            <w:vMerge w:val="restart"/>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57AD9887">
            <w:pPr>
              <w:spacing w:line="240" w:lineRule="auto"/>
              <w:jc w:val="center"/>
              <w:rPr>
                <w:rFonts w:hint="eastAsia" w:ascii="仿宋" w:hAnsi="仿宋" w:eastAsia="仿宋" w:cs="仿宋"/>
                <w:i w:val="0"/>
                <w:color w:val="auto"/>
                <w:sz w:val="21"/>
                <w:szCs w:val="21"/>
                <w:u w:val="none"/>
              </w:rPr>
            </w:pPr>
          </w:p>
        </w:tc>
      </w:tr>
      <w:tr w14:paraId="27795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070" w:hRule="atLeast"/>
        </w:trPr>
        <w:tc>
          <w:tcPr>
            <w:tcW w:w="430"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AAB2905">
            <w:pPr>
              <w:spacing w:line="240" w:lineRule="auto"/>
              <w:jc w:val="center"/>
              <w:rPr>
                <w:rFonts w:hint="eastAsia" w:ascii="仿宋" w:hAnsi="仿宋" w:eastAsia="仿宋" w:cs="仿宋"/>
                <w:i w:val="0"/>
                <w:color w:val="auto"/>
                <w:sz w:val="21"/>
                <w:szCs w:val="21"/>
                <w:u w:val="none"/>
              </w:rPr>
            </w:pPr>
          </w:p>
        </w:tc>
        <w:tc>
          <w:tcPr>
            <w:tcW w:w="430"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47741">
            <w:pPr>
              <w:spacing w:line="240" w:lineRule="auto"/>
              <w:jc w:val="center"/>
              <w:rPr>
                <w:rFonts w:hint="eastAsia" w:ascii="仿宋" w:hAnsi="仿宋" w:eastAsia="仿宋" w:cs="仿宋"/>
                <w:i w:val="0"/>
                <w:color w:val="auto"/>
                <w:sz w:val="21"/>
                <w:szCs w:val="21"/>
                <w:u w:val="none"/>
              </w:rPr>
            </w:pPr>
          </w:p>
        </w:tc>
        <w:tc>
          <w:tcPr>
            <w:tcW w:w="334"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5151E">
            <w:pPr>
              <w:spacing w:line="240" w:lineRule="auto"/>
              <w:jc w:val="center"/>
              <w:rPr>
                <w:rFonts w:hint="eastAsia" w:ascii="仿宋" w:hAnsi="仿宋" w:eastAsia="仿宋" w:cs="仿宋"/>
                <w:i w:val="0"/>
                <w:color w:val="auto"/>
                <w:sz w:val="21"/>
                <w:szCs w:val="21"/>
                <w:u w:val="none"/>
              </w:rPr>
            </w:pPr>
          </w:p>
        </w:tc>
        <w:tc>
          <w:tcPr>
            <w:tcW w:w="368"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23635">
            <w:pPr>
              <w:spacing w:line="240" w:lineRule="auto"/>
              <w:jc w:val="center"/>
              <w:rPr>
                <w:rFonts w:hint="eastAsia" w:ascii="仿宋" w:hAnsi="仿宋" w:eastAsia="仿宋" w:cs="仿宋"/>
                <w:i w:val="0"/>
                <w:color w:val="auto"/>
                <w:sz w:val="21"/>
                <w:szCs w:val="21"/>
                <w:u w:val="none"/>
              </w:rPr>
            </w:pPr>
          </w:p>
        </w:tc>
        <w:tc>
          <w:tcPr>
            <w:tcW w:w="4492"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27328">
            <w:pPr>
              <w:spacing w:line="240" w:lineRule="auto"/>
              <w:jc w:val="center"/>
              <w:rPr>
                <w:rFonts w:hint="eastAsia" w:ascii="仿宋" w:hAnsi="仿宋" w:eastAsia="仿宋" w:cs="仿宋"/>
                <w:i w:val="0"/>
                <w:color w:val="auto"/>
                <w:sz w:val="21"/>
                <w:szCs w:val="21"/>
                <w:u w:val="none"/>
              </w:rPr>
            </w:pPr>
          </w:p>
        </w:tc>
        <w:tc>
          <w:tcPr>
            <w:tcW w:w="663" w:type="dxa"/>
            <w:tcBorders>
              <w:top w:val="single" w:color="auto" w:sz="4" w:space="0"/>
              <w:left w:val="nil"/>
              <w:bottom w:val="nil"/>
              <w:right w:val="nil"/>
            </w:tcBorders>
            <w:shd w:val="clear" w:color="auto" w:fill="auto"/>
            <w:noWrap/>
            <w:tcMar>
              <w:top w:w="15" w:type="dxa"/>
              <w:left w:w="15" w:type="dxa"/>
              <w:right w:w="15" w:type="dxa"/>
            </w:tcMar>
            <w:vAlign w:val="center"/>
          </w:tcPr>
          <w:p w14:paraId="08FB17A1">
            <w:pPr>
              <w:spacing w:line="240" w:lineRule="auto"/>
              <w:rPr>
                <w:rFonts w:hint="eastAsia" w:ascii="仿宋" w:hAnsi="仿宋" w:eastAsia="仿宋" w:cs="仿宋"/>
                <w:i w:val="0"/>
                <w:color w:val="auto"/>
                <w:sz w:val="21"/>
                <w:szCs w:val="21"/>
                <w:u w:val="none"/>
              </w:rPr>
            </w:pPr>
          </w:p>
        </w:tc>
        <w:tc>
          <w:tcPr>
            <w:tcW w:w="850"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CB3B9">
            <w:pPr>
              <w:spacing w:line="240" w:lineRule="auto"/>
              <w:jc w:val="center"/>
              <w:rPr>
                <w:rFonts w:hint="eastAsia" w:ascii="仿宋" w:hAnsi="仿宋" w:eastAsia="仿宋" w:cs="仿宋"/>
                <w:i w:val="0"/>
                <w:color w:val="auto"/>
                <w:sz w:val="21"/>
                <w:szCs w:val="21"/>
                <w:u w:val="none"/>
              </w:rPr>
            </w:pPr>
          </w:p>
        </w:tc>
        <w:tc>
          <w:tcPr>
            <w:tcW w:w="387"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D4052">
            <w:pPr>
              <w:spacing w:line="240" w:lineRule="auto"/>
              <w:jc w:val="center"/>
              <w:rPr>
                <w:rFonts w:hint="eastAsia" w:ascii="仿宋" w:hAnsi="仿宋" w:eastAsia="仿宋" w:cs="仿宋"/>
                <w:i w:val="0"/>
                <w:color w:val="auto"/>
                <w:sz w:val="21"/>
                <w:szCs w:val="21"/>
                <w:u w:val="none"/>
              </w:rPr>
            </w:pPr>
          </w:p>
        </w:tc>
        <w:tc>
          <w:tcPr>
            <w:tcW w:w="813"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15B4F">
            <w:pPr>
              <w:spacing w:line="240" w:lineRule="auto"/>
              <w:jc w:val="center"/>
              <w:rPr>
                <w:rFonts w:hint="eastAsia" w:ascii="仿宋" w:hAnsi="仿宋" w:eastAsia="仿宋" w:cs="仿宋"/>
                <w:i w:val="0"/>
                <w:color w:val="auto"/>
                <w:sz w:val="21"/>
                <w:szCs w:val="21"/>
                <w:u w:val="none"/>
              </w:rPr>
            </w:pPr>
          </w:p>
        </w:tc>
        <w:tc>
          <w:tcPr>
            <w:tcW w:w="1225"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00AF3">
            <w:pPr>
              <w:spacing w:line="240" w:lineRule="auto"/>
              <w:jc w:val="center"/>
              <w:rPr>
                <w:rFonts w:hint="eastAsia" w:ascii="仿宋" w:hAnsi="仿宋" w:eastAsia="仿宋" w:cs="仿宋"/>
                <w:i w:val="0"/>
                <w:color w:val="auto"/>
                <w:sz w:val="21"/>
                <w:szCs w:val="21"/>
                <w:u w:val="none"/>
              </w:rPr>
            </w:pPr>
          </w:p>
        </w:tc>
        <w:tc>
          <w:tcPr>
            <w:tcW w:w="2987"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A920B">
            <w:pPr>
              <w:spacing w:line="240" w:lineRule="auto"/>
              <w:jc w:val="center"/>
              <w:rPr>
                <w:rFonts w:hint="eastAsia" w:ascii="仿宋" w:hAnsi="仿宋" w:eastAsia="仿宋" w:cs="仿宋"/>
                <w:i w:val="0"/>
                <w:color w:val="auto"/>
                <w:sz w:val="21"/>
                <w:szCs w:val="21"/>
                <w:u w:val="none"/>
              </w:rPr>
            </w:pPr>
          </w:p>
        </w:tc>
        <w:tc>
          <w:tcPr>
            <w:tcW w:w="3125"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1F9B7">
            <w:pPr>
              <w:spacing w:line="240" w:lineRule="auto"/>
              <w:jc w:val="center"/>
              <w:rPr>
                <w:rFonts w:hint="eastAsia" w:ascii="仿宋" w:hAnsi="仿宋" w:eastAsia="仿宋" w:cs="仿宋"/>
                <w:i w:val="0"/>
                <w:color w:val="auto"/>
                <w:sz w:val="21"/>
                <w:szCs w:val="21"/>
                <w:u w:val="none"/>
              </w:rPr>
            </w:pPr>
          </w:p>
        </w:tc>
        <w:tc>
          <w:tcPr>
            <w:tcW w:w="1650"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1E7FE">
            <w:pPr>
              <w:spacing w:line="240" w:lineRule="auto"/>
              <w:jc w:val="center"/>
              <w:rPr>
                <w:rFonts w:hint="eastAsia" w:ascii="仿宋" w:hAnsi="仿宋" w:eastAsia="仿宋" w:cs="仿宋"/>
                <w:i w:val="0"/>
                <w:color w:val="auto"/>
                <w:sz w:val="21"/>
                <w:szCs w:val="21"/>
                <w:u w:val="none"/>
              </w:rPr>
            </w:pPr>
          </w:p>
        </w:tc>
        <w:tc>
          <w:tcPr>
            <w:tcW w:w="2413" w:type="dxa"/>
            <w:vMerge w:val="continue"/>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F0290D">
            <w:pPr>
              <w:spacing w:line="240" w:lineRule="auto"/>
              <w:jc w:val="center"/>
              <w:rPr>
                <w:rFonts w:hint="eastAsia" w:ascii="仿宋" w:hAnsi="仿宋" w:eastAsia="仿宋" w:cs="仿宋"/>
                <w:i w:val="0"/>
                <w:color w:val="auto"/>
                <w:sz w:val="21"/>
                <w:szCs w:val="21"/>
                <w:u w:val="none"/>
              </w:rPr>
            </w:pPr>
          </w:p>
        </w:tc>
        <w:tc>
          <w:tcPr>
            <w:tcW w:w="587" w:type="dxa"/>
            <w:vMerge w:val="continue"/>
            <w:tcBorders>
              <w:top w:val="single" w:color="auto"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06C5FE5F">
            <w:pPr>
              <w:spacing w:line="240" w:lineRule="auto"/>
              <w:jc w:val="center"/>
              <w:rPr>
                <w:rFonts w:hint="eastAsia" w:ascii="仿宋" w:hAnsi="仿宋" w:eastAsia="仿宋" w:cs="仿宋"/>
                <w:i w:val="0"/>
                <w:color w:val="auto"/>
                <w:sz w:val="21"/>
                <w:szCs w:val="21"/>
                <w:u w:val="none"/>
              </w:rPr>
            </w:pPr>
          </w:p>
        </w:tc>
      </w:tr>
      <w:tr w14:paraId="7BBF0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213" w:hRule="atLeast"/>
        </w:trPr>
        <w:tc>
          <w:tcPr>
            <w:tcW w:w="4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690DE">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5</w:t>
            </w:r>
          </w:p>
        </w:tc>
        <w:tc>
          <w:tcPr>
            <w:tcW w:w="4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CCFCE4">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对建筑活动的监督检查</w:t>
            </w:r>
          </w:p>
        </w:tc>
        <w:tc>
          <w:tcPr>
            <w:tcW w:w="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91AAA">
            <w:pPr>
              <w:spacing w:line="240" w:lineRule="auto"/>
              <w:jc w:val="center"/>
              <w:rPr>
                <w:rFonts w:hint="eastAsia" w:ascii="仿宋" w:hAnsi="仿宋" w:eastAsia="仿宋" w:cs="仿宋"/>
                <w:i w:val="0"/>
                <w:color w:val="auto"/>
                <w:sz w:val="21"/>
                <w:szCs w:val="21"/>
                <w:highlight w:val="none"/>
                <w:u w:val="none"/>
              </w:rPr>
            </w:pPr>
          </w:p>
        </w:tc>
        <w:tc>
          <w:tcPr>
            <w:tcW w:w="3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1444A">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行政检查</w:t>
            </w:r>
          </w:p>
        </w:tc>
        <w:tc>
          <w:tcPr>
            <w:tcW w:w="4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2CF15">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【法规】《中华人民共和国建筑法》（1997年11月1</w:t>
            </w:r>
            <w:r>
              <w:rPr>
                <w:rFonts w:hint="eastAsia" w:ascii="仿宋" w:hAnsi="仿宋" w:eastAsia="仿宋" w:cs="仿宋"/>
                <w:i w:val="0"/>
                <w:color w:val="auto"/>
                <w:kern w:val="0"/>
                <w:sz w:val="21"/>
                <w:szCs w:val="21"/>
                <w:highlight w:val="none"/>
                <w:u w:val="none"/>
                <w:lang w:val="en-US" w:eastAsia="zh-CN" w:bidi="ar"/>
              </w:rPr>
              <w:br w:type="textWrapping"/>
            </w:r>
            <w:r>
              <w:rPr>
                <w:rFonts w:hint="eastAsia" w:ascii="仿宋" w:hAnsi="仿宋" w:eastAsia="仿宋" w:cs="仿宋"/>
                <w:i w:val="0"/>
                <w:color w:val="auto"/>
                <w:kern w:val="0"/>
                <w:sz w:val="21"/>
                <w:szCs w:val="21"/>
                <w:highlight w:val="none"/>
                <w:u w:val="none"/>
                <w:lang w:val="en-US" w:eastAsia="zh-CN" w:bidi="ar"/>
              </w:rPr>
              <w:t>日第八届全国人大常委会第28次会议通过，2019年4</w:t>
            </w:r>
            <w:r>
              <w:rPr>
                <w:rFonts w:hint="eastAsia" w:ascii="仿宋" w:hAnsi="仿宋" w:eastAsia="仿宋" w:cs="仿宋"/>
                <w:i w:val="0"/>
                <w:color w:val="auto"/>
                <w:kern w:val="0"/>
                <w:sz w:val="21"/>
                <w:szCs w:val="21"/>
                <w:highlight w:val="none"/>
                <w:u w:val="none"/>
                <w:lang w:val="en-US" w:eastAsia="zh-CN" w:bidi="ar"/>
              </w:rPr>
              <w:br w:type="textWrapping"/>
            </w:r>
            <w:r>
              <w:rPr>
                <w:rFonts w:hint="eastAsia" w:ascii="仿宋" w:hAnsi="仿宋" w:eastAsia="仿宋" w:cs="仿宋"/>
                <w:i w:val="0"/>
                <w:color w:val="auto"/>
                <w:kern w:val="0"/>
                <w:sz w:val="21"/>
                <w:szCs w:val="21"/>
                <w:highlight w:val="none"/>
                <w:u w:val="none"/>
                <w:lang w:val="en-US" w:eastAsia="zh-CN" w:bidi="ar"/>
              </w:rPr>
              <w:t>月23日主席令第29号第二次修正）</w:t>
            </w:r>
            <w:r>
              <w:rPr>
                <w:rFonts w:hint="eastAsia" w:ascii="仿宋" w:hAnsi="仿宋" w:eastAsia="仿宋" w:cs="仿宋"/>
                <w:i w:val="0"/>
                <w:color w:val="auto"/>
                <w:kern w:val="0"/>
                <w:sz w:val="21"/>
                <w:szCs w:val="21"/>
                <w:highlight w:val="none"/>
                <w:u w:val="none"/>
                <w:lang w:val="en-US" w:eastAsia="zh-CN" w:bidi="ar"/>
              </w:rPr>
              <w:br w:type="textWrapping"/>
            </w:r>
            <w:r>
              <w:rPr>
                <w:rFonts w:hint="eastAsia" w:ascii="仿宋" w:hAnsi="仿宋" w:eastAsia="仿宋" w:cs="仿宋"/>
                <w:i w:val="0"/>
                <w:color w:val="auto"/>
                <w:kern w:val="0"/>
                <w:sz w:val="21"/>
                <w:szCs w:val="21"/>
                <w:highlight w:val="none"/>
                <w:u w:val="none"/>
                <w:lang w:val="en-US" w:eastAsia="zh-CN" w:bidi="ar"/>
              </w:rPr>
              <w:t>第二条在中华人民共和国境内从事建筑活动，</w:t>
            </w:r>
            <w:r>
              <w:rPr>
                <w:rFonts w:hint="eastAsia" w:ascii="仿宋" w:hAnsi="仿宋" w:eastAsia="仿宋" w:cs="仿宋"/>
                <w:i w:val="0"/>
                <w:color w:val="auto"/>
                <w:kern w:val="0"/>
                <w:sz w:val="21"/>
                <w:szCs w:val="21"/>
                <w:highlight w:val="none"/>
                <w:u w:val="none"/>
                <w:lang w:val="en-US" w:eastAsia="zh-CN" w:bidi="ar"/>
              </w:rPr>
              <w:br w:type="textWrapping"/>
            </w:r>
            <w:r>
              <w:rPr>
                <w:rFonts w:hint="eastAsia" w:ascii="仿宋" w:hAnsi="仿宋" w:eastAsia="仿宋" w:cs="仿宋"/>
                <w:i w:val="0"/>
                <w:color w:val="auto"/>
                <w:kern w:val="0"/>
                <w:sz w:val="21"/>
                <w:szCs w:val="21"/>
                <w:highlight w:val="none"/>
                <w:u w:val="none"/>
                <w:lang w:val="en-US" w:eastAsia="zh-CN" w:bidi="ar"/>
              </w:rPr>
              <w:t>实施对建筑活动的监督管理，应当遵守本法。</w:t>
            </w:r>
            <w:r>
              <w:rPr>
                <w:rFonts w:hint="eastAsia" w:ascii="仿宋" w:hAnsi="仿宋" w:eastAsia="仿宋" w:cs="仿宋"/>
                <w:i w:val="0"/>
                <w:color w:val="auto"/>
                <w:kern w:val="0"/>
                <w:sz w:val="21"/>
                <w:szCs w:val="21"/>
                <w:highlight w:val="none"/>
                <w:u w:val="none"/>
                <w:lang w:val="en-US" w:eastAsia="zh-CN" w:bidi="ar"/>
              </w:rPr>
              <w:br w:type="textWrapping"/>
            </w:r>
            <w:r>
              <w:rPr>
                <w:rFonts w:hint="eastAsia" w:ascii="仿宋" w:hAnsi="仿宋" w:eastAsia="仿宋" w:cs="仿宋"/>
                <w:i w:val="0"/>
                <w:color w:val="auto"/>
                <w:kern w:val="0"/>
                <w:sz w:val="21"/>
                <w:szCs w:val="21"/>
                <w:highlight w:val="none"/>
                <w:u w:val="none"/>
                <w:lang w:val="en-US" w:eastAsia="zh-CN" w:bidi="ar"/>
              </w:rPr>
              <w:t>【法规】《新疆维吾尔自治区建筑市场管理条例》</w:t>
            </w:r>
            <w:r>
              <w:rPr>
                <w:rFonts w:hint="eastAsia" w:ascii="仿宋" w:hAnsi="仿宋" w:eastAsia="仿宋" w:cs="仿宋"/>
                <w:i w:val="0"/>
                <w:color w:val="auto"/>
                <w:kern w:val="0"/>
                <w:sz w:val="21"/>
                <w:szCs w:val="21"/>
                <w:highlight w:val="none"/>
                <w:u w:val="none"/>
                <w:lang w:val="en-US" w:eastAsia="zh-CN" w:bidi="ar"/>
              </w:rPr>
              <w:br w:type="textWrapping"/>
            </w:r>
            <w:r>
              <w:rPr>
                <w:rFonts w:hint="eastAsia" w:ascii="仿宋" w:hAnsi="仿宋" w:eastAsia="仿宋" w:cs="仿宋"/>
                <w:i w:val="0"/>
                <w:color w:val="auto"/>
                <w:kern w:val="0"/>
                <w:sz w:val="21"/>
                <w:szCs w:val="21"/>
                <w:highlight w:val="none"/>
                <w:u w:val="none"/>
                <w:lang w:val="en-US" w:eastAsia="zh-CN" w:bidi="ar"/>
              </w:rPr>
              <w:t>（1998年9月25日新疆维吾尔自治区第九届人民代表</w:t>
            </w:r>
            <w:r>
              <w:rPr>
                <w:rFonts w:hint="eastAsia" w:ascii="仿宋" w:hAnsi="仿宋" w:eastAsia="仿宋" w:cs="仿宋"/>
                <w:i w:val="0"/>
                <w:color w:val="auto"/>
                <w:kern w:val="0"/>
                <w:sz w:val="21"/>
                <w:szCs w:val="21"/>
                <w:highlight w:val="none"/>
                <w:u w:val="none"/>
                <w:lang w:val="en-US" w:eastAsia="zh-CN" w:bidi="ar"/>
              </w:rPr>
              <w:br w:type="textWrapping"/>
            </w:r>
            <w:r>
              <w:rPr>
                <w:rFonts w:hint="eastAsia" w:ascii="仿宋" w:hAnsi="仿宋" w:eastAsia="仿宋" w:cs="仿宋"/>
                <w:i w:val="0"/>
                <w:color w:val="auto"/>
                <w:kern w:val="0"/>
                <w:sz w:val="21"/>
                <w:szCs w:val="21"/>
                <w:highlight w:val="none"/>
                <w:u w:val="none"/>
                <w:lang w:val="en-US" w:eastAsia="zh-CN" w:bidi="ar"/>
              </w:rPr>
              <w:t>大会常务委员会第五次会议通过，根据2005年5月27</w:t>
            </w:r>
            <w:r>
              <w:rPr>
                <w:rFonts w:hint="eastAsia" w:ascii="仿宋" w:hAnsi="仿宋" w:eastAsia="仿宋" w:cs="仿宋"/>
                <w:i w:val="0"/>
                <w:color w:val="auto"/>
                <w:kern w:val="0"/>
                <w:sz w:val="21"/>
                <w:szCs w:val="21"/>
                <w:highlight w:val="none"/>
                <w:u w:val="none"/>
                <w:lang w:val="en-US" w:eastAsia="zh-CN" w:bidi="ar"/>
              </w:rPr>
              <w:br w:type="textWrapping"/>
            </w:r>
            <w:r>
              <w:rPr>
                <w:rFonts w:hint="eastAsia" w:ascii="仿宋" w:hAnsi="仿宋" w:eastAsia="仿宋" w:cs="仿宋"/>
                <w:i w:val="0"/>
                <w:color w:val="auto"/>
                <w:kern w:val="0"/>
                <w:sz w:val="21"/>
                <w:szCs w:val="21"/>
                <w:highlight w:val="none"/>
                <w:u w:val="none"/>
                <w:lang w:val="en-US" w:eastAsia="zh-CN" w:bidi="ar"/>
              </w:rPr>
              <w:t>日新疆维吾尔自治区第十届人民代表大会常务委员</w:t>
            </w:r>
            <w:r>
              <w:rPr>
                <w:rFonts w:hint="eastAsia" w:ascii="仿宋" w:hAnsi="仿宋" w:eastAsia="仿宋" w:cs="仿宋"/>
                <w:i w:val="0"/>
                <w:color w:val="auto"/>
                <w:kern w:val="0"/>
                <w:sz w:val="21"/>
                <w:szCs w:val="21"/>
                <w:highlight w:val="none"/>
                <w:u w:val="none"/>
                <w:lang w:val="en-US" w:eastAsia="zh-CN" w:bidi="ar"/>
              </w:rPr>
              <w:br w:type="textWrapping"/>
            </w:r>
            <w:r>
              <w:rPr>
                <w:rFonts w:hint="eastAsia" w:ascii="仿宋" w:hAnsi="仿宋" w:eastAsia="仿宋" w:cs="仿宋"/>
                <w:i w:val="0"/>
                <w:color w:val="auto"/>
                <w:kern w:val="0"/>
                <w:sz w:val="21"/>
                <w:szCs w:val="21"/>
                <w:highlight w:val="none"/>
                <w:u w:val="none"/>
                <w:lang w:val="en-US" w:eastAsia="zh-CN" w:bidi="ar"/>
              </w:rPr>
              <w:t>会第十七次会议第二次修正）</w:t>
            </w:r>
            <w:r>
              <w:rPr>
                <w:rFonts w:hint="eastAsia" w:ascii="仿宋" w:hAnsi="仿宋" w:eastAsia="仿宋" w:cs="仿宋"/>
                <w:i w:val="0"/>
                <w:color w:val="auto"/>
                <w:kern w:val="0"/>
                <w:sz w:val="21"/>
                <w:szCs w:val="21"/>
                <w:highlight w:val="none"/>
                <w:u w:val="none"/>
                <w:lang w:val="en-US" w:eastAsia="zh-CN" w:bidi="ar"/>
              </w:rPr>
              <w:br w:type="textWrapping"/>
            </w:r>
            <w:r>
              <w:rPr>
                <w:rFonts w:hint="eastAsia" w:ascii="仿宋" w:hAnsi="仿宋" w:eastAsia="仿宋" w:cs="仿宋"/>
                <w:i w:val="0"/>
                <w:color w:val="auto"/>
                <w:kern w:val="0"/>
                <w:sz w:val="21"/>
                <w:szCs w:val="21"/>
                <w:highlight w:val="none"/>
                <w:u w:val="none"/>
                <w:lang w:val="en-US" w:eastAsia="zh-CN" w:bidi="ar"/>
              </w:rPr>
              <w:t>第七条县级以上人民政府建设行政主管部门依</w:t>
            </w:r>
            <w:r>
              <w:rPr>
                <w:rFonts w:hint="eastAsia" w:ascii="仿宋" w:hAnsi="仿宋" w:eastAsia="仿宋" w:cs="仿宋"/>
                <w:i w:val="0"/>
                <w:color w:val="auto"/>
                <w:kern w:val="0"/>
                <w:sz w:val="21"/>
                <w:szCs w:val="21"/>
                <w:highlight w:val="none"/>
                <w:u w:val="none"/>
                <w:lang w:val="en-US" w:eastAsia="zh-CN" w:bidi="ar"/>
              </w:rPr>
              <w:br w:type="textWrapping"/>
            </w:r>
            <w:r>
              <w:rPr>
                <w:rFonts w:hint="eastAsia" w:ascii="仿宋" w:hAnsi="仿宋" w:eastAsia="仿宋" w:cs="仿宋"/>
                <w:i w:val="0"/>
                <w:color w:val="auto"/>
                <w:kern w:val="0"/>
                <w:sz w:val="21"/>
                <w:szCs w:val="21"/>
                <w:highlight w:val="none"/>
                <w:u w:val="none"/>
                <w:lang w:val="en-US" w:eastAsia="zh-CN" w:bidi="ar"/>
              </w:rPr>
              <w:t>照其职责权限,对本行政区域内建筑活动实施监督管理。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1BC381">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米东区建设局</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5C5D9">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质监站、建管办</w:t>
            </w:r>
          </w:p>
        </w:tc>
        <w:tc>
          <w:tcPr>
            <w:tcW w:w="3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A9CCA">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区级</w:t>
            </w:r>
          </w:p>
        </w:tc>
        <w:tc>
          <w:tcPr>
            <w:tcW w:w="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456BCE">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直接实施责任：</w:t>
            </w:r>
            <w:r>
              <w:rPr>
                <w:rFonts w:hint="eastAsia" w:ascii="仿宋" w:hAnsi="仿宋" w:eastAsia="仿宋" w:cs="仿宋"/>
                <w:i w:val="0"/>
                <w:color w:val="auto"/>
                <w:kern w:val="0"/>
                <w:sz w:val="21"/>
                <w:szCs w:val="21"/>
                <w:highlight w:val="none"/>
                <w:u w:val="none"/>
                <w:lang w:val="en-US" w:eastAsia="zh-CN" w:bidi="ar"/>
              </w:rPr>
              <w:br w:type="textWrapping"/>
            </w:r>
            <w:r>
              <w:rPr>
                <w:rFonts w:hint="eastAsia" w:ascii="仿宋" w:hAnsi="仿宋" w:eastAsia="仿宋" w:cs="仿宋"/>
                <w:i w:val="0"/>
                <w:color w:val="auto"/>
                <w:kern w:val="0"/>
                <w:sz w:val="21"/>
                <w:szCs w:val="21"/>
                <w:highlight w:val="none"/>
                <w:u w:val="none"/>
                <w:lang w:val="en-US" w:eastAsia="zh-CN" w:bidi="ar"/>
              </w:rPr>
              <w:t>1.制定年度监督检查计划，开展“双随机、一公开”检查，通</w:t>
            </w:r>
            <w:r>
              <w:rPr>
                <w:rFonts w:hint="eastAsia" w:ascii="仿宋" w:hAnsi="仿宋" w:eastAsia="仿宋" w:cs="仿宋"/>
                <w:i w:val="0"/>
                <w:color w:val="auto"/>
                <w:kern w:val="0"/>
                <w:sz w:val="21"/>
                <w:szCs w:val="21"/>
                <w:highlight w:val="none"/>
                <w:u w:val="none"/>
                <w:lang w:val="en-US" w:eastAsia="zh-CN" w:bidi="ar"/>
              </w:rPr>
              <w:br w:type="textWrapping"/>
            </w:r>
            <w:r>
              <w:rPr>
                <w:rFonts w:hint="eastAsia" w:ascii="仿宋" w:hAnsi="仿宋" w:eastAsia="仿宋" w:cs="仿宋"/>
                <w:i w:val="0"/>
                <w:color w:val="auto"/>
                <w:kern w:val="0"/>
                <w:sz w:val="21"/>
                <w:szCs w:val="21"/>
                <w:highlight w:val="none"/>
                <w:u w:val="none"/>
                <w:lang w:val="en-US" w:eastAsia="zh-CN" w:bidi="ar"/>
              </w:rPr>
              <w:t>过实地核查、书面检查等多种方式进行监督检查。</w:t>
            </w:r>
            <w:r>
              <w:rPr>
                <w:rFonts w:hint="eastAsia" w:ascii="仿宋" w:hAnsi="仿宋" w:eastAsia="仿宋" w:cs="仿宋"/>
                <w:i w:val="0"/>
                <w:color w:val="auto"/>
                <w:kern w:val="0"/>
                <w:sz w:val="21"/>
                <w:szCs w:val="21"/>
                <w:highlight w:val="none"/>
                <w:u w:val="none"/>
                <w:lang w:val="en-US" w:eastAsia="zh-CN" w:bidi="ar"/>
              </w:rPr>
              <w:br w:type="textWrapping"/>
            </w:r>
            <w:r>
              <w:rPr>
                <w:rFonts w:hint="eastAsia" w:ascii="仿宋" w:hAnsi="仿宋" w:eastAsia="仿宋" w:cs="仿宋"/>
                <w:i w:val="0"/>
                <w:color w:val="auto"/>
                <w:kern w:val="0"/>
                <w:sz w:val="21"/>
                <w:szCs w:val="21"/>
                <w:highlight w:val="none"/>
                <w:u w:val="none"/>
                <w:lang w:val="en-US" w:eastAsia="zh-CN" w:bidi="ar"/>
              </w:rPr>
              <w:t>2.加强与相关主管部门的沟通协调，开展联合检查，避</w:t>
            </w:r>
            <w:r>
              <w:rPr>
                <w:rFonts w:hint="eastAsia" w:ascii="仿宋" w:hAnsi="仿宋" w:eastAsia="仿宋" w:cs="仿宋"/>
                <w:i w:val="0"/>
                <w:color w:val="auto"/>
                <w:kern w:val="0"/>
                <w:sz w:val="21"/>
                <w:szCs w:val="21"/>
                <w:highlight w:val="none"/>
                <w:u w:val="none"/>
                <w:lang w:val="en-US" w:eastAsia="zh-CN" w:bidi="ar"/>
              </w:rPr>
              <w:br w:type="textWrapping"/>
            </w:r>
            <w:r>
              <w:rPr>
                <w:rFonts w:hint="eastAsia" w:ascii="仿宋" w:hAnsi="仿宋" w:eastAsia="仿宋" w:cs="仿宋"/>
                <w:i w:val="0"/>
                <w:color w:val="auto"/>
                <w:kern w:val="0"/>
                <w:sz w:val="21"/>
                <w:szCs w:val="21"/>
                <w:highlight w:val="none"/>
                <w:u w:val="none"/>
                <w:lang w:val="en-US" w:eastAsia="zh-CN" w:bidi="ar"/>
              </w:rPr>
              <w:t>免多头执法、执法扰民等现象。</w:t>
            </w:r>
            <w:r>
              <w:rPr>
                <w:rFonts w:hint="eastAsia" w:ascii="仿宋" w:hAnsi="仿宋" w:eastAsia="仿宋" w:cs="仿宋"/>
                <w:i w:val="0"/>
                <w:color w:val="auto"/>
                <w:kern w:val="0"/>
                <w:sz w:val="21"/>
                <w:szCs w:val="21"/>
                <w:highlight w:val="none"/>
                <w:u w:val="none"/>
                <w:lang w:val="en-US" w:eastAsia="zh-CN" w:bidi="ar"/>
              </w:rPr>
              <w:br w:type="textWrapping"/>
            </w:r>
            <w:r>
              <w:rPr>
                <w:rFonts w:hint="eastAsia" w:ascii="仿宋" w:hAnsi="仿宋" w:eastAsia="仿宋" w:cs="仿宋"/>
                <w:i w:val="0"/>
                <w:color w:val="auto"/>
                <w:kern w:val="0"/>
                <w:sz w:val="21"/>
                <w:szCs w:val="21"/>
                <w:highlight w:val="none"/>
                <w:u w:val="none"/>
                <w:lang w:val="en-US" w:eastAsia="zh-CN" w:bidi="ar"/>
              </w:rPr>
              <w:t>指导监督责任：</w:t>
            </w:r>
            <w:r>
              <w:rPr>
                <w:rFonts w:hint="eastAsia" w:ascii="仿宋" w:hAnsi="仿宋" w:eastAsia="仿宋" w:cs="仿宋"/>
                <w:i w:val="0"/>
                <w:color w:val="auto"/>
                <w:kern w:val="0"/>
                <w:sz w:val="21"/>
                <w:szCs w:val="21"/>
                <w:highlight w:val="none"/>
                <w:u w:val="none"/>
                <w:lang w:val="en-US" w:eastAsia="zh-CN" w:bidi="ar"/>
              </w:rPr>
              <w:br w:type="textWrapping"/>
            </w:r>
            <w:r>
              <w:rPr>
                <w:rFonts w:hint="eastAsia" w:ascii="仿宋" w:hAnsi="仿宋" w:eastAsia="仿宋" w:cs="仿宋"/>
                <w:i w:val="0"/>
                <w:color w:val="auto"/>
                <w:kern w:val="0"/>
                <w:sz w:val="21"/>
                <w:szCs w:val="21"/>
                <w:highlight w:val="none"/>
                <w:u w:val="none"/>
                <w:lang w:val="en-US" w:eastAsia="zh-CN" w:bidi="ar"/>
              </w:rPr>
              <w:t>3.加强对县市区监督检查工作的指导、监督。</w:t>
            </w:r>
          </w:p>
        </w:tc>
        <w:tc>
          <w:tcPr>
            <w:tcW w:w="1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1615A">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负责对本行政区域内建筑工程的检查。</w:t>
            </w:r>
          </w:p>
        </w:tc>
        <w:tc>
          <w:tcPr>
            <w:tcW w:w="29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F0109">
            <w:pPr>
              <w:keepNext w:val="0"/>
              <w:keepLines w:val="0"/>
              <w:widowControl/>
              <w:suppressLineNumbers w:val="0"/>
              <w:spacing w:line="240" w:lineRule="auto"/>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因不履行或不正确履行行政职责，有下列情形的，</w:t>
            </w:r>
            <w:r>
              <w:rPr>
                <w:rFonts w:hint="eastAsia" w:ascii="仿宋" w:hAnsi="仿宋" w:eastAsia="仿宋" w:cs="仿宋"/>
                <w:i w:val="0"/>
                <w:color w:val="auto"/>
                <w:kern w:val="0"/>
                <w:sz w:val="21"/>
                <w:szCs w:val="21"/>
                <w:highlight w:val="none"/>
                <w:u w:val="none"/>
                <w:lang w:val="en-US" w:eastAsia="zh-CN" w:bidi="ar"/>
              </w:rPr>
              <w:br w:type="textWrapping"/>
            </w:r>
            <w:r>
              <w:rPr>
                <w:rFonts w:hint="eastAsia" w:ascii="仿宋" w:hAnsi="仿宋" w:eastAsia="仿宋" w:cs="仿宋"/>
                <w:i w:val="0"/>
                <w:color w:val="auto"/>
                <w:kern w:val="0"/>
                <w:sz w:val="21"/>
                <w:szCs w:val="21"/>
                <w:highlight w:val="none"/>
                <w:u w:val="none"/>
                <w:lang w:val="en-US" w:eastAsia="zh-CN" w:bidi="ar"/>
              </w:rPr>
              <w:t>行政机关及相关工作人员应承担相应的责任：</w:t>
            </w:r>
            <w:r>
              <w:rPr>
                <w:rFonts w:hint="eastAsia" w:ascii="仿宋" w:hAnsi="仿宋" w:eastAsia="仿宋" w:cs="仿宋"/>
                <w:i w:val="0"/>
                <w:color w:val="auto"/>
                <w:kern w:val="0"/>
                <w:sz w:val="21"/>
                <w:szCs w:val="21"/>
                <w:highlight w:val="none"/>
                <w:u w:val="none"/>
                <w:lang w:val="en-US" w:eastAsia="zh-CN" w:bidi="ar"/>
              </w:rPr>
              <w:br w:type="textWrapping"/>
            </w:r>
            <w:r>
              <w:rPr>
                <w:rFonts w:hint="eastAsia" w:ascii="仿宋" w:hAnsi="仿宋" w:eastAsia="仿宋" w:cs="仿宋"/>
                <w:i w:val="0"/>
                <w:color w:val="auto"/>
                <w:kern w:val="0"/>
                <w:sz w:val="21"/>
                <w:szCs w:val="21"/>
                <w:highlight w:val="none"/>
                <w:u w:val="none"/>
                <w:lang w:val="en-US" w:eastAsia="zh-CN" w:bidi="ar"/>
              </w:rPr>
              <w:t>1.行政机关应当依法开展检查工作，不开展检查</w:t>
            </w:r>
            <w:r>
              <w:rPr>
                <w:rFonts w:hint="eastAsia" w:ascii="仿宋" w:hAnsi="仿宋" w:eastAsia="仿宋" w:cs="仿宋"/>
                <w:i w:val="0"/>
                <w:color w:val="auto"/>
                <w:kern w:val="0"/>
                <w:sz w:val="21"/>
                <w:szCs w:val="21"/>
                <w:highlight w:val="none"/>
                <w:u w:val="none"/>
                <w:lang w:val="en-US" w:eastAsia="zh-CN" w:bidi="ar"/>
              </w:rPr>
              <w:br w:type="textWrapping"/>
            </w:r>
            <w:r>
              <w:rPr>
                <w:rFonts w:hint="eastAsia" w:ascii="仿宋" w:hAnsi="仿宋" w:eastAsia="仿宋" w:cs="仿宋"/>
                <w:i w:val="0"/>
                <w:color w:val="auto"/>
                <w:kern w:val="0"/>
                <w:sz w:val="21"/>
                <w:szCs w:val="21"/>
                <w:highlight w:val="none"/>
                <w:u w:val="none"/>
                <w:lang w:val="en-US" w:eastAsia="zh-CN" w:bidi="ar"/>
              </w:rPr>
              <w:t>的；</w:t>
            </w:r>
            <w:r>
              <w:rPr>
                <w:rFonts w:hint="eastAsia" w:ascii="仿宋" w:hAnsi="仿宋" w:eastAsia="仿宋" w:cs="仿宋"/>
                <w:i w:val="0"/>
                <w:color w:val="auto"/>
                <w:kern w:val="0"/>
                <w:sz w:val="21"/>
                <w:szCs w:val="21"/>
                <w:highlight w:val="none"/>
                <w:u w:val="none"/>
                <w:lang w:val="en-US" w:eastAsia="zh-CN" w:bidi="ar"/>
              </w:rPr>
              <w:br w:type="textWrapping"/>
            </w:r>
            <w:r>
              <w:rPr>
                <w:rFonts w:hint="eastAsia" w:ascii="仿宋" w:hAnsi="仿宋" w:eastAsia="仿宋" w:cs="仿宋"/>
                <w:i w:val="0"/>
                <w:color w:val="auto"/>
                <w:kern w:val="0"/>
                <w:sz w:val="21"/>
                <w:szCs w:val="21"/>
                <w:highlight w:val="none"/>
                <w:u w:val="none"/>
                <w:lang w:val="en-US" w:eastAsia="zh-CN" w:bidi="ar"/>
              </w:rPr>
              <w:t>2.行政机关应当定期开展检查工作，无正当事由不</w:t>
            </w:r>
            <w:r>
              <w:rPr>
                <w:rFonts w:hint="eastAsia" w:ascii="仿宋" w:hAnsi="仿宋" w:eastAsia="仿宋" w:cs="仿宋"/>
                <w:i w:val="0"/>
                <w:color w:val="auto"/>
                <w:kern w:val="0"/>
                <w:sz w:val="21"/>
                <w:szCs w:val="21"/>
                <w:highlight w:val="none"/>
                <w:u w:val="none"/>
                <w:lang w:val="en-US" w:eastAsia="zh-CN" w:bidi="ar"/>
              </w:rPr>
              <w:br w:type="textWrapping"/>
            </w:r>
            <w:r>
              <w:rPr>
                <w:rFonts w:hint="eastAsia" w:ascii="仿宋" w:hAnsi="仿宋" w:eastAsia="仿宋" w:cs="仿宋"/>
                <w:i w:val="0"/>
                <w:color w:val="auto"/>
                <w:kern w:val="0"/>
                <w:sz w:val="21"/>
                <w:szCs w:val="21"/>
                <w:highlight w:val="none"/>
                <w:u w:val="none"/>
                <w:lang w:val="en-US" w:eastAsia="zh-CN" w:bidi="ar"/>
              </w:rPr>
              <w:t>按时开展检查，或拖延开展检查，导致发生违法行</w:t>
            </w:r>
            <w:r>
              <w:rPr>
                <w:rFonts w:hint="eastAsia" w:ascii="仿宋" w:hAnsi="仿宋" w:eastAsia="仿宋" w:cs="仿宋"/>
                <w:i w:val="0"/>
                <w:color w:val="auto"/>
                <w:kern w:val="0"/>
                <w:sz w:val="21"/>
                <w:szCs w:val="21"/>
                <w:highlight w:val="none"/>
                <w:u w:val="none"/>
                <w:lang w:val="en-US" w:eastAsia="zh-CN" w:bidi="ar"/>
              </w:rPr>
              <w:br w:type="textWrapping"/>
            </w:r>
            <w:r>
              <w:rPr>
                <w:rFonts w:hint="eastAsia" w:ascii="仿宋" w:hAnsi="仿宋" w:eastAsia="仿宋" w:cs="仿宋"/>
                <w:i w:val="0"/>
                <w:color w:val="auto"/>
                <w:kern w:val="0"/>
                <w:sz w:val="21"/>
                <w:szCs w:val="21"/>
                <w:highlight w:val="none"/>
                <w:u w:val="none"/>
                <w:lang w:val="en-US" w:eastAsia="zh-CN" w:bidi="ar"/>
              </w:rPr>
              <w:t>为的；</w:t>
            </w:r>
            <w:r>
              <w:rPr>
                <w:rFonts w:hint="eastAsia" w:ascii="仿宋" w:hAnsi="仿宋" w:eastAsia="仿宋" w:cs="仿宋"/>
                <w:i w:val="0"/>
                <w:color w:val="auto"/>
                <w:kern w:val="0"/>
                <w:sz w:val="21"/>
                <w:szCs w:val="21"/>
                <w:highlight w:val="none"/>
                <w:u w:val="none"/>
                <w:lang w:val="en-US" w:eastAsia="zh-CN" w:bidi="ar"/>
              </w:rPr>
              <w:br w:type="textWrapping"/>
            </w:r>
            <w:r>
              <w:rPr>
                <w:rFonts w:hint="eastAsia" w:ascii="仿宋" w:hAnsi="仿宋" w:eastAsia="仿宋" w:cs="仿宋"/>
                <w:i w:val="0"/>
                <w:color w:val="auto"/>
                <w:kern w:val="0"/>
                <w:sz w:val="21"/>
                <w:szCs w:val="21"/>
                <w:highlight w:val="none"/>
                <w:u w:val="none"/>
                <w:lang w:val="en-US" w:eastAsia="zh-CN" w:bidi="ar"/>
              </w:rPr>
              <w:t>3.国家机关工作人员在开展检查工作时不认真履</w:t>
            </w:r>
            <w:r>
              <w:rPr>
                <w:rFonts w:hint="eastAsia" w:ascii="仿宋" w:hAnsi="仿宋" w:eastAsia="仿宋" w:cs="仿宋"/>
                <w:i w:val="0"/>
                <w:color w:val="auto"/>
                <w:kern w:val="0"/>
                <w:sz w:val="21"/>
                <w:szCs w:val="21"/>
                <w:highlight w:val="none"/>
                <w:u w:val="none"/>
                <w:lang w:val="en-US" w:eastAsia="zh-CN" w:bidi="ar"/>
              </w:rPr>
              <w:br w:type="textWrapping"/>
            </w:r>
            <w:r>
              <w:rPr>
                <w:rFonts w:hint="eastAsia" w:ascii="仿宋" w:hAnsi="仿宋" w:eastAsia="仿宋" w:cs="仿宋"/>
                <w:i w:val="0"/>
                <w:color w:val="auto"/>
                <w:kern w:val="0"/>
                <w:sz w:val="21"/>
                <w:szCs w:val="21"/>
                <w:highlight w:val="none"/>
                <w:u w:val="none"/>
                <w:lang w:val="en-US" w:eastAsia="zh-CN" w:bidi="ar"/>
              </w:rPr>
              <w:t>职，导致发生违法行为未及时追究的</w:t>
            </w:r>
            <w:r>
              <w:rPr>
                <w:rFonts w:hint="eastAsia" w:ascii="仿宋" w:hAnsi="仿宋" w:eastAsia="仿宋" w:cs="仿宋"/>
                <w:i w:val="0"/>
                <w:color w:val="auto"/>
                <w:kern w:val="0"/>
                <w:sz w:val="21"/>
                <w:szCs w:val="21"/>
                <w:highlight w:val="none"/>
                <w:u w:val="none"/>
                <w:lang w:val="en-US" w:eastAsia="zh-CN" w:bidi="ar"/>
              </w:rPr>
              <w:br w:type="textWrapping"/>
            </w:r>
            <w:r>
              <w:rPr>
                <w:rFonts w:hint="eastAsia" w:ascii="仿宋" w:hAnsi="仿宋" w:eastAsia="仿宋" w:cs="仿宋"/>
                <w:i w:val="0"/>
                <w:color w:val="auto"/>
                <w:kern w:val="0"/>
                <w:sz w:val="21"/>
                <w:szCs w:val="21"/>
                <w:highlight w:val="none"/>
                <w:u w:val="none"/>
                <w:lang w:val="en-US" w:eastAsia="zh-CN" w:bidi="ar"/>
              </w:rPr>
              <w:t>4.国家机关工作人员在开展检查时滥用职权、玩忽</w:t>
            </w:r>
            <w:r>
              <w:rPr>
                <w:rFonts w:hint="eastAsia" w:ascii="仿宋" w:hAnsi="仿宋" w:eastAsia="仿宋" w:cs="仿宋"/>
                <w:i w:val="0"/>
                <w:color w:val="auto"/>
                <w:kern w:val="0"/>
                <w:sz w:val="21"/>
                <w:szCs w:val="21"/>
                <w:highlight w:val="none"/>
                <w:u w:val="none"/>
                <w:lang w:val="en-US" w:eastAsia="zh-CN" w:bidi="ar"/>
              </w:rPr>
              <w:br w:type="textWrapping"/>
            </w:r>
            <w:r>
              <w:rPr>
                <w:rFonts w:hint="eastAsia" w:ascii="仿宋" w:hAnsi="仿宋" w:eastAsia="仿宋" w:cs="仿宋"/>
                <w:i w:val="0"/>
                <w:color w:val="auto"/>
                <w:kern w:val="0"/>
                <w:sz w:val="21"/>
                <w:szCs w:val="21"/>
                <w:highlight w:val="none"/>
                <w:u w:val="none"/>
                <w:lang w:val="en-US" w:eastAsia="zh-CN" w:bidi="ar"/>
              </w:rPr>
              <w:t>职守、徇私舞弊，导致发生违法行为未及时追究</w:t>
            </w:r>
            <w:r>
              <w:rPr>
                <w:rFonts w:hint="eastAsia" w:ascii="仿宋" w:hAnsi="仿宋" w:eastAsia="仿宋" w:cs="仿宋"/>
                <w:i w:val="0"/>
                <w:color w:val="auto"/>
                <w:kern w:val="0"/>
                <w:sz w:val="21"/>
                <w:szCs w:val="21"/>
                <w:highlight w:val="none"/>
                <w:u w:val="none"/>
                <w:lang w:val="en-US" w:eastAsia="zh-CN" w:bidi="ar"/>
              </w:rPr>
              <w:br w:type="textWrapping"/>
            </w:r>
            <w:r>
              <w:rPr>
                <w:rFonts w:hint="eastAsia" w:ascii="仿宋" w:hAnsi="仿宋" w:eastAsia="仿宋" w:cs="仿宋"/>
                <w:i w:val="0"/>
                <w:color w:val="auto"/>
                <w:kern w:val="0"/>
                <w:sz w:val="21"/>
                <w:szCs w:val="21"/>
                <w:highlight w:val="none"/>
                <w:u w:val="none"/>
                <w:lang w:val="en-US" w:eastAsia="zh-CN" w:bidi="ar"/>
              </w:rPr>
              <w:t>的；</w:t>
            </w:r>
            <w:r>
              <w:rPr>
                <w:rFonts w:hint="eastAsia" w:ascii="仿宋" w:hAnsi="仿宋" w:eastAsia="仿宋" w:cs="仿宋"/>
                <w:i w:val="0"/>
                <w:color w:val="auto"/>
                <w:kern w:val="0"/>
                <w:sz w:val="21"/>
                <w:szCs w:val="21"/>
                <w:highlight w:val="none"/>
                <w:u w:val="none"/>
                <w:lang w:val="en-US" w:eastAsia="zh-CN" w:bidi="ar"/>
              </w:rPr>
              <w:br w:type="textWrapping"/>
            </w:r>
            <w:r>
              <w:rPr>
                <w:rFonts w:hint="eastAsia" w:ascii="仿宋" w:hAnsi="仿宋" w:eastAsia="仿宋" w:cs="仿宋"/>
                <w:i w:val="0"/>
                <w:color w:val="auto"/>
                <w:kern w:val="0"/>
                <w:sz w:val="21"/>
                <w:szCs w:val="21"/>
                <w:highlight w:val="none"/>
                <w:u w:val="none"/>
                <w:lang w:val="en-US" w:eastAsia="zh-CN" w:bidi="ar"/>
              </w:rPr>
              <w:t>5.国家机关工作人员在开展检查时收取贿赂，或获</w:t>
            </w:r>
            <w:r>
              <w:rPr>
                <w:rFonts w:hint="eastAsia" w:ascii="仿宋" w:hAnsi="仿宋" w:eastAsia="仿宋" w:cs="仿宋"/>
                <w:i w:val="0"/>
                <w:color w:val="auto"/>
                <w:kern w:val="0"/>
                <w:sz w:val="21"/>
                <w:szCs w:val="21"/>
                <w:highlight w:val="none"/>
                <w:u w:val="none"/>
                <w:lang w:val="en-US" w:eastAsia="zh-CN" w:bidi="ar"/>
              </w:rPr>
              <w:br w:type="textWrapping"/>
            </w:r>
            <w:r>
              <w:rPr>
                <w:rFonts w:hint="eastAsia" w:ascii="仿宋" w:hAnsi="仿宋" w:eastAsia="仿宋" w:cs="仿宋"/>
                <w:i w:val="0"/>
                <w:color w:val="auto"/>
                <w:kern w:val="0"/>
                <w:sz w:val="21"/>
                <w:szCs w:val="21"/>
                <w:highlight w:val="none"/>
                <w:u w:val="none"/>
                <w:lang w:val="en-US" w:eastAsia="zh-CN" w:bidi="ar"/>
              </w:rPr>
              <w:t>取其他不正当利益，导致发生违法行为未及时追究</w:t>
            </w:r>
            <w:r>
              <w:rPr>
                <w:rFonts w:hint="eastAsia" w:ascii="仿宋" w:hAnsi="仿宋" w:eastAsia="仿宋" w:cs="仿宋"/>
                <w:i w:val="0"/>
                <w:color w:val="auto"/>
                <w:kern w:val="0"/>
                <w:sz w:val="21"/>
                <w:szCs w:val="21"/>
                <w:highlight w:val="none"/>
                <w:u w:val="none"/>
                <w:lang w:val="en-US" w:eastAsia="zh-CN" w:bidi="ar"/>
              </w:rPr>
              <w:br w:type="textWrapping"/>
            </w:r>
            <w:r>
              <w:rPr>
                <w:rFonts w:hint="eastAsia" w:ascii="仿宋" w:hAnsi="仿宋" w:eastAsia="仿宋" w:cs="仿宋"/>
                <w:i w:val="0"/>
                <w:color w:val="auto"/>
                <w:kern w:val="0"/>
                <w:sz w:val="21"/>
                <w:szCs w:val="21"/>
                <w:highlight w:val="none"/>
                <w:u w:val="none"/>
                <w:lang w:val="en-US" w:eastAsia="zh-CN" w:bidi="ar"/>
              </w:rPr>
              <w:t>的；</w:t>
            </w:r>
            <w:r>
              <w:rPr>
                <w:rFonts w:hint="eastAsia" w:ascii="仿宋" w:hAnsi="仿宋" w:eastAsia="仿宋" w:cs="仿宋"/>
                <w:i w:val="0"/>
                <w:color w:val="auto"/>
                <w:kern w:val="0"/>
                <w:sz w:val="21"/>
                <w:szCs w:val="21"/>
                <w:highlight w:val="none"/>
                <w:u w:val="none"/>
                <w:lang w:val="en-US" w:eastAsia="zh-CN" w:bidi="ar"/>
              </w:rPr>
              <w:br w:type="textWrapping"/>
            </w:r>
            <w:r>
              <w:rPr>
                <w:rFonts w:hint="eastAsia" w:ascii="仿宋" w:hAnsi="仿宋" w:eastAsia="仿宋" w:cs="仿宋"/>
                <w:i w:val="0"/>
                <w:color w:val="auto"/>
                <w:kern w:val="0"/>
                <w:sz w:val="21"/>
                <w:szCs w:val="21"/>
                <w:highlight w:val="none"/>
                <w:u w:val="none"/>
                <w:lang w:val="en-US" w:eastAsia="zh-CN" w:bidi="ar"/>
              </w:rPr>
              <w:t>6.其他违反法律法规规章文件规定的行为。</w:t>
            </w:r>
          </w:p>
        </w:tc>
        <w:tc>
          <w:tcPr>
            <w:tcW w:w="3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0671D">
            <w:pPr>
              <w:spacing w:line="240" w:lineRule="auto"/>
              <w:jc w:val="center"/>
              <w:rPr>
                <w:rFonts w:hint="eastAsia" w:ascii="仿宋" w:hAnsi="仿宋" w:eastAsia="仿宋" w:cs="仿宋"/>
                <w:i w:val="0"/>
                <w:color w:val="auto"/>
                <w:sz w:val="21"/>
                <w:szCs w:val="21"/>
                <w:highlight w:val="yellow"/>
                <w:u w:val="none"/>
              </w:rPr>
            </w:pPr>
            <w:r>
              <w:rPr>
                <w:rFonts w:hint="eastAsia" w:ascii="仿宋" w:hAnsi="仿宋" w:eastAsia="仿宋" w:cs="仿宋"/>
                <w:i w:val="0"/>
                <w:color w:val="auto"/>
                <w:kern w:val="0"/>
                <w:sz w:val="21"/>
                <w:szCs w:val="21"/>
                <w:u w:val="none"/>
                <w:lang w:val="en-US" w:eastAsia="zh-CN" w:bidi="ar"/>
              </w:rPr>
              <w:t>【法律】《中华人民共和国行政许可法》（2003年8月27日第十届全国人民代表大会常务委员会第四次会议通过，2003年8月27日中华人民共和国主席令第7号公布，自2004年7月1日起施行,根据2019年4月23日第十三届全国人民代表大会常务委员会第十次会议修正,自公布之日起施行。）</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第三十条、第三十四条、第三十七条、第四十条、第四十四条。</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76559">
            <w:pPr>
              <w:spacing w:line="240" w:lineRule="auto"/>
              <w:jc w:val="center"/>
              <w:rPr>
                <w:rFonts w:hint="eastAsia" w:ascii="仿宋" w:hAnsi="仿宋" w:eastAsia="仿宋" w:cs="仿宋"/>
                <w:i w:val="0"/>
                <w:color w:val="auto"/>
                <w:sz w:val="21"/>
                <w:szCs w:val="21"/>
                <w:highlight w:val="yellow"/>
                <w:u w:val="none"/>
              </w:rPr>
            </w:pPr>
            <w:r>
              <w:rPr>
                <w:rFonts w:hint="eastAsia" w:ascii="仿宋" w:hAnsi="仿宋" w:eastAsia="仿宋" w:cs="仿宋"/>
                <w:i w:val="0"/>
                <w:color w:val="auto"/>
                <w:kern w:val="0"/>
                <w:sz w:val="21"/>
                <w:szCs w:val="21"/>
                <w:u w:val="none"/>
                <w:lang w:val="en-US" w:eastAsia="zh-CN" w:bidi="ar"/>
              </w:rPr>
              <w:t>1.具体承办人；</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2.内设机构负责人；</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3.单位法定代表人或分管领导</w:t>
            </w:r>
          </w:p>
        </w:tc>
        <w:tc>
          <w:tcPr>
            <w:tcW w:w="2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F9640">
            <w:pPr>
              <w:spacing w:line="240" w:lineRule="auto"/>
              <w:jc w:val="center"/>
              <w:rPr>
                <w:rFonts w:hint="eastAsia" w:ascii="仿宋" w:hAnsi="仿宋" w:eastAsia="仿宋" w:cs="仿宋"/>
                <w:i w:val="0"/>
                <w:color w:val="auto"/>
                <w:sz w:val="21"/>
                <w:szCs w:val="21"/>
                <w:highlight w:val="yellow"/>
                <w:u w:val="none"/>
              </w:rPr>
            </w:pPr>
            <w:r>
              <w:rPr>
                <w:rFonts w:hint="eastAsia" w:ascii="仿宋" w:hAnsi="仿宋" w:eastAsia="仿宋" w:cs="仿宋"/>
                <w:i w:val="0"/>
                <w:color w:val="auto"/>
                <w:kern w:val="0"/>
                <w:sz w:val="21"/>
                <w:szCs w:val="21"/>
                <w:u w:val="none"/>
                <w:lang w:val="en-US" w:eastAsia="zh-CN" w:bidi="ar"/>
              </w:rPr>
              <w:t>因不履行或不正确履行行政职责，有下列情形的，行政机关及相关工作人员应承担相应的责任：</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1.对符合法定条件的行政许可申请不予受理或者未在法定期限内初审完毕的；</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2.对不符合法定条件的申请人准予监督或者超越法定职权作出准予监督决定的；</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3.对符合法定条件的申请人不予监督或者不在法定期限内作出准予监督决定的；</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4.不依法履行监管职责或者监管不力的；</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5.实施监督检查，索取或者收受他人财物或者谋取其他利益的；</w:t>
            </w:r>
            <w:r>
              <w:rPr>
                <w:rFonts w:hint="eastAsia" w:ascii="仿宋" w:hAnsi="仿宋" w:eastAsia="仿宋" w:cs="仿宋"/>
                <w:i w:val="0"/>
                <w:color w:val="auto"/>
                <w:kern w:val="0"/>
                <w:sz w:val="21"/>
                <w:szCs w:val="21"/>
                <w:u w:val="none"/>
                <w:lang w:val="en-US" w:eastAsia="zh-CN" w:bidi="ar"/>
              </w:rPr>
              <w:br w:type="textWrapping"/>
            </w:r>
            <w:r>
              <w:rPr>
                <w:rFonts w:hint="eastAsia" w:ascii="仿宋" w:hAnsi="仿宋" w:eastAsia="仿宋" w:cs="仿宋"/>
                <w:i w:val="0"/>
                <w:color w:val="auto"/>
                <w:kern w:val="0"/>
                <w:sz w:val="21"/>
                <w:szCs w:val="21"/>
                <w:u w:val="none"/>
                <w:lang w:val="en-US" w:eastAsia="zh-CN" w:bidi="ar"/>
              </w:rPr>
              <w:t>6.其他违反法律法规规章文件规定的行为。</w:t>
            </w:r>
          </w:p>
        </w:tc>
        <w:tc>
          <w:tcPr>
            <w:tcW w:w="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29534">
            <w:pPr>
              <w:spacing w:line="240" w:lineRule="auto"/>
              <w:jc w:val="center"/>
              <w:rPr>
                <w:rFonts w:hint="eastAsia" w:ascii="仿宋" w:hAnsi="仿宋" w:eastAsia="仿宋" w:cs="仿宋"/>
                <w:i w:val="0"/>
                <w:color w:val="auto"/>
                <w:sz w:val="21"/>
                <w:szCs w:val="21"/>
                <w:highlight w:val="yellow"/>
                <w:u w:val="none"/>
              </w:rPr>
            </w:pPr>
          </w:p>
        </w:tc>
      </w:tr>
    </w:tbl>
    <w:p w14:paraId="23032C1A"/>
    <w:p w14:paraId="53D12140"/>
    <w:tbl>
      <w:tblPr>
        <w:tblStyle w:val="3"/>
        <w:tblW w:w="2130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16"/>
        <w:gridCol w:w="616"/>
        <w:gridCol w:w="616"/>
        <w:gridCol w:w="616"/>
        <w:gridCol w:w="3509"/>
        <w:gridCol w:w="315"/>
        <w:gridCol w:w="330"/>
        <w:gridCol w:w="345"/>
        <w:gridCol w:w="495"/>
        <w:gridCol w:w="1590"/>
        <w:gridCol w:w="3135"/>
        <w:gridCol w:w="2070"/>
        <w:gridCol w:w="1320"/>
        <w:gridCol w:w="5235"/>
        <w:gridCol w:w="495"/>
      </w:tblGrid>
      <w:tr w14:paraId="4AF2B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0" w:hRule="atLeast"/>
        </w:trPr>
        <w:tc>
          <w:tcPr>
            <w:tcW w:w="21303" w:type="dxa"/>
            <w:gridSpan w:val="15"/>
            <w:tcBorders>
              <w:top w:val="nil"/>
              <w:left w:val="nil"/>
              <w:bottom w:val="nil"/>
              <w:right w:val="nil"/>
            </w:tcBorders>
            <w:shd w:val="clear" w:color="auto" w:fill="auto"/>
            <w:vAlign w:val="center"/>
          </w:tcPr>
          <w:p w14:paraId="36ECC899">
            <w:pPr>
              <w:keepNext w:val="0"/>
              <w:keepLines w:val="0"/>
              <w:widowControl/>
              <w:suppressLineNumbers w:val="0"/>
              <w:jc w:val="center"/>
              <w:textAlignment w:val="center"/>
              <w:rPr>
                <w:rFonts w:ascii="方正小标宋_GBK" w:hAnsi="方正小标宋_GBK" w:eastAsia="方正小标宋_GBK" w:cs="方正小标宋_GBK"/>
                <w:i w:val="0"/>
                <w:iCs w:val="0"/>
                <w:color w:val="000000"/>
                <w:sz w:val="48"/>
                <w:szCs w:val="48"/>
                <w:u w:val="none"/>
              </w:rPr>
            </w:pPr>
            <w:r>
              <w:rPr>
                <w:rFonts w:hint="eastAsia" w:ascii="方正小标宋_GBK" w:hAnsi="方正小标宋_GBK" w:eastAsia="方正小标宋_GBK" w:cs="方正小标宋_GBK"/>
                <w:i w:val="0"/>
                <w:iCs w:val="0"/>
                <w:color w:val="000000"/>
                <w:kern w:val="0"/>
                <w:sz w:val="48"/>
                <w:szCs w:val="48"/>
                <w:u w:val="none"/>
                <w:lang w:val="en-US" w:eastAsia="zh-CN" w:bidi="ar"/>
              </w:rPr>
              <w:t>米东区建设局（交通局）权责清单（行政征收类）</w:t>
            </w:r>
          </w:p>
        </w:tc>
      </w:tr>
      <w:tr w14:paraId="4524E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4F5C0">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序号</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762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事项名称</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317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子项名称</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A08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权力类型</w:t>
            </w:r>
          </w:p>
        </w:tc>
        <w:tc>
          <w:tcPr>
            <w:tcW w:w="3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B9EE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实施依据</w:t>
            </w:r>
          </w:p>
        </w:tc>
        <w:tc>
          <w:tcPr>
            <w:tcW w:w="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2A4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行使主体</w:t>
            </w:r>
          </w:p>
        </w:tc>
        <w:tc>
          <w:tcPr>
            <w:tcW w:w="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477D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承办机构</w:t>
            </w:r>
          </w:p>
        </w:tc>
        <w:tc>
          <w:tcPr>
            <w:tcW w:w="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BA219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实施层级及权限</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AF42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部门职责</w:t>
            </w:r>
          </w:p>
        </w:tc>
        <w:tc>
          <w:tcPr>
            <w:tcW w:w="3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921D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责任事项内容</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FD2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责任事项依据</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9A27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追责对象范围</w:t>
            </w:r>
          </w:p>
        </w:tc>
        <w:tc>
          <w:tcPr>
            <w:tcW w:w="5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9A4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追责情形</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228E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备注</w:t>
            </w:r>
          </w:p>
        </w:tc>
      </w:tr>
      <w:tr w14:paraId="5AC88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55"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F9C49">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0E96C">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城市市政公用基础设施配套费征收</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A6C57">
            <w:pPr>
              <w:jc w:val="center"/>
              <w:rPr>
                <w:rFonts w:hint="eastAsia" w:ascii="仿宋" w:hAnsi="仿宋" w:eastAsia="仿宋" w:cs="仿宋"/>
                <w:i w:val="0"/>
                <w:iCs w:val="0"/>
                <w:color w:val="000000"/>
                <w:sz w:val="21"/>
                <w:szCs w:val="21"/>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7255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行政征收</w:t>
            </w:r>
          </w:p>
        </w:tc>
        <w:tc>
          <w:tcPr>
            <w:tcW w:w="3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84610">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【规章】《新疆维吾尔自治区城市市政公用基础设施配套费征收使用管理办法》（新政办发〔2020〕14号）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第五条配套费由建设项目所在县（市、区）住房城乡建设行政主管部门负责收取。建设单位在开工之前，应当按规定缴清配套费。</w:t>
            </w:r>
          </w:p>
        </w:tc>
        <w:tc>
          <w:tcPr>
            <w:tcW w:w="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3DB86">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米东区建设局</w:t>
            </w:r>
          </w:p>
        </w:tc>
        <w:tc>
          <w:tcPr>
            <w:tcW w:w="3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01DA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建管办</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29CD5">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区级</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03A9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按照实施依据征收相关费用</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97376">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项目在开工之前，按规定征收配套费。</w:t>
            </w:r>
          </w:p>
        </w:tc>
        <w:tc>
          <w:tcPr>
            <w:tcW w:w="3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5CB41">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按照实施依据征收相关费用（1.受理责任：公示依法应当提交的材料；一次性告知</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补正材料；依法受理或不予受理（不予受理应当告</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知理由）。</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2.审核责任：对缴费资料进行审核，确定应缴金额。</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3.决定责任：作出同意收费决定，按照确定的金额收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4.事后监管责任：建立实施监督检查的运行机制和管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理制度，监管执行情况，并根据检查情况依法采取</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相应处置措施。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5.其他法律法规规章文件规定应当履行的责任。）</w:t>
            </w:r>
          </w:p>
        </w:tc>
        <w:tc>
          <w:tcPr>
            <w:tcW w:w="2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C3F42">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【规章】《新疆维吾尔自治区城市市政公用基础设施配套费征收使用管理办法》（新政办发〔2020〕14号）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第五条配套费由建设项目所在县（市、区）住房城乡建设行政主管部门负责收取。建设单位在开工之前，应当按规定缴清配套费。</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F3558">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1.具体承办人；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2.内设机构负责人；</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3.单位法定代表人或分管领导。</w:t>
            </w:r>
          </w:p>
        </w:tc>
        <w:tc>
          <w:tcPr>
            <w:tcW w:w="5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9E8A5">
            <w:pPr>
              <w:keepNext w:val="0"/>
              <w:keepLines w:val="0"/>
              <w:widowControl/>
              <w:suppressLineNumbers w:val="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1.执法人员玩忽职守，对应当予以处罚的违法行为不予立案，致使公民、法人或者其他组织的合法权益、公共利益和社会秩序遭受损害的；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2.实施行政处罚，没有法定的行政处罚依据的；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3.实施行政处罚，擅自改变行政处罚种类、幅度的；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4.实施行政处罚，违反法定的行政处罚程序的；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5.实施行政处罚，违反《中华人民共和国行政处罚法》第十八条关于委托处罚的规定的；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6.执法人员利用职务上的便利，索取或者收受他人财物；</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7.行政机关违法实行行政处罚，给公民人身或者财产造成损害、给法人或者其他组织造成损失的；</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8.为牟取本单位私利，对应当依法移交司法机关追究刑事责任的不移交，以行政处罚代替刑罚；</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9.其他违反法律法规规章文件规定的行为。</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D9248">
            <w:pPr>
              <w:keepNext w:val="0"/>
              <w:keepLines w:val="0"/>
              <w:widowControl/>
              <w:suppressLineNumbers w:val="0"/>
              <w:jc w:val="center"/>
              <w:textAlignment w:val="center"/>
              <w:rPr>
                <w:rFonts w:hint="eastAsia" w:ascii="仿宋" w:hAnsi="仿宋" w:eastAsia="仿宋" w:cs="仿宋"/>
                <w:b/>
                <w:bCs/>
                <w:i w:val="0"/>
                <w:iCs w:val="0"/>
                <w:color w:val="FF0000"/>
                <w:sz w:val="21"/>
                <w:szCs w:val="21"/>
                <w:u w:val="none"/>
              </w:rPr>
            </w:pPr>
          </w:p>
        </w:tc>
      </w:tr>
    </w:tbl>
    <w:p w14:paraId="6B095E9E">
      <w:pPr>
        <w:pStyle w:val="2"/>
      </w:pPr>
    </w:p>
    <w:p w14:paraId="1C2B1DE4"/>
    <w:p w14:paraId="0BE315FE">
      <w:pPr>
        <w:pStyle w:val="2"/>
      </w:pPr>
    </w:p>
    <w:p w14:paraId="52F5BD2C"/>
    <w:p w14:paraId="3F53BDC0">
      <w:pPr>
        <w:pStyle w:val="2"/>
      </w:pPr>
    </w:p>
    <w:p w14:paraId="4646D967"/>
    <w:tbl>
      <w:tblPr>
        <w:tblStyle w:val="3"/>
        <w:tblW w:w="2082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16"/>
        <w:gridCol w:w="616"/>
        <w:gridCol w:w="936"/>
        <w:gridCol w:w="616"/>
        <w:gridCol w:w="4045"/>
        <w:gridCol w:w="570"/>
        <w:gridCol w:w="570"/>
        <w:gridCol w:w="495"/>
        <w:gridCol w:w="780"/>
        <w:gridCol w:w="1545"/>
        <w:gridCol w:w="1395"/>
        <w:gridCol w:w="3464"/>
        <w:gridCol w:w="1095"/>
        <w:gridCol w:w="2880"/>
        <w:gridCol w:w="1200"/>
      </w:tblGrid>
      <w:tr w14:paraId="73855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20823" w:type="dxa"/>
            <w:gridSpan w:val="15"/>
            <w:tcBorders>
              <w:top w:val="nil"/>
              <w:left w:val="nil"/>
              <w:bottom w:val="nil"/>
              <w:right w:val="nil"/>
            </w:tcBorders>
            <w:shd w:val="clear" w:color="auto" w:fill="auto"/>
            <w:vAlign w:val="center"/>
          </w:tcPr>
          <w:p w14:paraId="65589017">
            <w:pPr>
              <w:keepNext w:val="0"/>
              <w:keepLines w:val="0"/>
              <w:widowControl/>
              <w:suppressLineNumbers w:val="0"/>
              <w:jc w:val="center"/>
              <w:textAlignment w:val="center"/>
              <w:rPr>
                <w:rFonts w:ascii="方正小标宋_GBK" w:hAnsi="方正小标宋_GBK" w:eastAsia="方正小标宋_GBK" w:cs="方正小标宋_GBK"/>
                <w:i w:val="0"/>
                <w:iCs w:val="0"/>
                <w:color w:val="000000"/>
                <w:sz w:val="84"/>
                <w:szCs w:val="84"/>
                <w:u w:val="none"/>
              </w:rPr>
            </w:pPr>
            <w:r>
              <w:rPr>
                <w:rFonts w:hint="eastAsia" w:ascii="方正小标宋_GBK" w:hAnsi="方正小标宋_GBK" w:eastAsia="方正小标宋_GBK" w:cs="方正小标宋_GBK"/>
                <w:i w:val="0"/>
                <w:iCs w:val="0"/>
                <w:color w:val="000000"/>
                <w:kern w:val="0"/>
                <w:sz w:val="84"/>
                <w:szCs w:val="84"/>
                <w:u w:val="none"/>
                <w:lang w:val="en-US" w:eastAsia="zh-CN" w:bidi="ar"/>
              </w:rPr>
              <w:t>米东区建设局（交通局）权责清单（其他行政权力类）</w:t>
            </w:r>
          </w:p>
        </w:tc>
      </w:tr>
      <w:tr w14:paraId="06F48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4"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92840">
            <w:pPr>
              <w:keepNext w:val="0"/>
              <w:keepLines w:val="0"/>
              <w:widowControl/>
              <w:suppressLineNumbers w:val="0"/>
              <w:jc w:val="center"/>
              <w:textAlignment w:val="center"/>
              <w:rPr>
                <w:rFonts w:ascii="仿宋" w:hAnsi="仿宋" w:eastAsia="仿宋" w:cs="仿宋"/>
                <w:i w:val="0"/>
                <w:iCs w:val="0"/>
                <w:color w:val="000000"/>
                <w:sz w:val="40"/>
                <w:szCs w:val="40"/>
                <w:u w:val="none"/>
              </w:rPr>
            </w:pPr>
            <w:r>
              <w:rPr>
                <w:rFonts w:hint="eastAsia" w:ascii="仿宋" w:hAnsi="仿宋" w:eastAsia="仿宋" w:cs="仿宋"/>
                <w:i w:val="0"/>
                <w:iCs w:val="0"/>
                <w:color w:val="000000"/>
                <w:kern w:val="0"/>
                <w:sz w:val="40"/>
                <w:szCs w:val="40"/>
                <w:u w:val="none"/>
                <w:lang w:val="en-US" w:eastAsia="zh-CN" w:bidi="ar"/>
              </w:rPr>
              <w:t>序号</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1E6CE">
            <w:pPr>
              <w:keepNext w:val="0"/>
              <w:keepLines w:val="0"/>
              <w:widowControl/>
              <w:suppressLineNumbers w:val="0"/>
              <w:jc w:val="center"/>
              <w:textAlignment w:val="center"/>
              <w:rPr>
                <w:rFonts w:hint="eastAsia" w:ascii="仿宋" w:hAnsi="仿宋" w:eastAsia="仿宋" w:cs="仿宋"/>
                <w:i w:val="0"/>
                <w:iCs w:val="0"/>
                <w:color w:val="000000"/>
                <w:sz w:val="40"/>
                <w:szCs w:val="40"/>
                <w:u w:val="none"/>
              </w:rPr>
            </w:pPr>
            <w:r>
              <w:rPr>
                <w:rFonts w:hint="eastAsia" w:ascii="仿宋" w:hAnsi="仿宋" w:eastAsia="仿宋" w:cs="仿宋"/>
                <w:i w:val="0"/>
                <w:iCs w:val="0"/>
                <w:color w:val="000000"/>
                <w:kern w:val="0"/>
                <w:sz w:val="40"/>
                <w:szCs w:val="40"/>
                <w:u w:val="none"/>
                <w:lang w:val="en-US" w:eastAsia="zh-CN" w:bidi="ar"/>
              </w:rPr>
              <w:t>事项名称</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EFCAE">
            <w:pPr>
              <w:keepNext w:val="0"/>
              <w:keepLines w:val="0"/>
              <w:widowControl/>
              <w:suppressLineNumbers w:val="0"/>
              <w:jc w:val="center"/>
              <w:textAlignment w:val="center"/>
              <w:rPr>
                <w:rFonts w:hint="eastAsia" w:ascii="仿宋" w:hAnsi="仿宋" w:eastAsia="仿宋" w:cs="仿宋"/>
                <w:i w:val="0"/>
                <w:iCs w:val="0"/>
                <w:color w:val="000000"/>
                <w:sz w:val="40"/>
                <w:szCs w:val="40"/>
                <w:u w:val="none"/>
              </w:rPr>
            </w:pPr>
            <w:r>
              <w:rPr>
                <w:rFonts w:hint="eastAsia" w:ascii="仿宋" w:hAnsi="仿宋" w:eastAsia="仿宋" w:cs="仿宋"/>
                <w:i w:val="0"/>
                <w:iCs w:val="0"/>
                <w:color w:val="000000"/>
                <w:kern w:val="0"/>
                <w:sz w:val="40"/>
                <w:szCs w:val="40"/>
                <w:u w:val="none"/>
                <w:lang w:val="en-US" w:eastAsia="zh-CN" w:bidi="ar"/>
              </w:rPr>
              <w:t>子项名称</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5B040">
            <w:pPr>
              <w:keepNext w:val="0"/>
              <w:keepLines w:val="0"/>
              <w:widowControl/>
              <w:suppressLineNumbers w:val="0"/>
              <w:jc w:val="center"/>
              <w:textAlignment w:val="center"/>
              <w:rPr>
                <w:rFonts w:hint="eastAsia" w:ascii="仿宋" w:hAnsi="仿宋" w:eastAsia="仿宋" w:cs="仿宋"/>
                <w:i w:val="0"/>
                <w:iCs w:val="0"/>
                <w:color w:val="000000"/>
                <w:sz w:val="40"/>
                <w:szCs w:val="40"/>
                <w:u w:val="none"/>
              </w:rPr>
            </w:pPr>
            <w:r>
              <w:rPr>
                <w:rFonts w:hint="eastAsia" w:ascii="仿宋" w:hAnsi="仿宋" w:eastAsia="仿宋" w:cs="仿宋"/>
                <w:i w:val="0"/>
                <w:iCs w:val="0"/>
                <w:color w:val="000000"/>
                <w:kern w:val="0"/>
                <w:sz w:val="40"/>
                <w:szCs w:val="40"/>
                <w:u w:val="none"/>
                <w:lang w:val="en-US" w:eastAsia="zh-CN" w:bidi="ar"/>
              </w:rPr>
              <w:t>权力类型</w:t>
            </w:r>
          </w:p>
        </w:tc>
        <w:tc>
          <w:tcPr>
            <w:tcW w:w="4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17AD3">
            <w:pPr>
              <w:keepNext w:val="0"/>
              <w:keepLines w:val="0"/>
              <w:widowControl/>
              <w:suppressLineNumbers w:val="0"/>
              <w:jc w:val="center"/>
              <w:textAlignment w:val="center"/>
              <w:rPr>
                <w:rFonts w:hint="eastAsia" w:ascii="仿宋" w:hAnsi="仿宋" w:eastAsia="仿宋" w:cs="仿宋"/>
                <w:i w:val="0"/>
                <w:iCs w:val="0"/>
                <w:color w:val="000000"/>
                <w:sz w:val="40"/>
                <w:szCs w:val="40"/>
                <w:u w:val="none"/>
              </w:rPr>
            </w:pPr>
            <w:r>
              <w:rPr>
                <w:rFonts w:hint="eastAsia" w:ascii="仿宋" w:hAnsi="仿宋" w:eastAsia="仿宋" w:cs="仿宋"/>
                <w:i w:val="0"/>
                <w:iCs w:val="0"/>
                <w:color w:val="000000"/>
                <w:kern w:val="0"/>
                <w:sz w:val="40"/>
                <w:szCs w:val="40"/>
                <w:u w:val="none"/>
                <w:lang w:val="en-US" w:eastAsia="zh-CN" w:bidi="ar"/>
              </w:rPr>
              <w:t>实施依据</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A2F7B">
            <w:pPr>
              <w:keepNext w:val="0"/>
              <w:keepLines w:val="0"/>
              <w:widowControl/>
              <w:suppressLineNumbers w:val="0"/>
              <w:jc w:val="center"/>
              <w:textAlignment w:val="center"/>
              <w:rPr>
                <w:rFonts w:hint="eastAsia" w:ascii="仿宋" w:hAnsi="仿宋" w:eastAsia="仿宋" w:cs="仿宋"/>
                <w:i w:val="0"/>
                <w:iCs w:val="0"/>
                <w:color w:val="000000"/>
                <w:sz w:val="40"/>
                <w:szCs w:val="40"/>
                <w:u w:val="none"/>
              </w:rPr>
            </w:pPr>
            <w:r>
              <w:rPr>
                <w:rFonts w:hint="eastAsia" w:ascii="仿宋" w:hAnsi="仿宋" w:eastAsia="仿宋" w:cs="仿宋"/>
                <w:i w:val="0"/>
                <w:iCs w:val="0"/>
                <w:color w:val="000000"/>
                <w:kern w:val="0"/>
                <w:sz w:val="40"/>
                <w:szCs w:val="40"/>
                <w:u w:val="none"/>
                <w:lang w:val="en-US" w:eastAsia="zh-CN" w:bidi="ar"/>
              </w:rPr>
              <w:t>行使主体</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3B2C0">
            <w:pPr>
              <w:keepNext w:val="0"/>
              <w:keepLines w:val="0"/>
              <w:widowControl/>
              <w:suppressLineNumbers w:val="0"/>
              <w:jc w:val="center"/>
              <w:textAlignment w:val="center"/>
              <w:rPr>
                <w:rFonts w:hint="eastAsia" w:ascii="仿宋" w:hAnsi="仿宋" w:eastAsia="仿宋" w:cs="仿宋"/>
                <w:i w:val="0"/>
                <w:iCs w:val="0"/>
                <w:color w:val="000000"/>
                <w:sz w:val="40"/>
                <w:szCs w:val="40"/>
                <w:u w:val="none"/>
              </w:rPr>
            </w:pPr>
            <w:r>
              <w:rPr>
                <w:rFonts w:hint="eastAsia" w:ascii="仿宋" w:hAnsi="仿宋" w:eastAsia="仿宋" w:cs="仿宋"/>
                <w:i w:val="0"/>
                <w:iCs w:val="0"/>
                <w:color w:val="000000"/>
                <w:kern w:val="0"/>
                <w:sz w:val="40"/>
                <w:szCs w:val="40"/>
                <w:u w:val="none"/>
                <w:lang w:val="en-US" w:eastAsia="zh-CN" w:bidi="ar"/>
              </w:rPr>
              <w:t>承办机构</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E16E6E">
            <w:pPr>
              <w:keepNext w:val="0"/>
              <w:keepLines w:val="0"/>
              <w:widowControl/>
              <w:suppressLineNumbers w:val="0"/>
              <w:jc w:val="center"/>
              <w:textAlignment w:val="center"/>
              <w:rPr>
                <w:rFonts w:hint="eastAsia" w:ascii="仿宋" w:hAnsi="仿宋" w:eastAsia="仿宋" w:cs="仿宋"/>
                <w:i w:val="0"/>
                <w:iCs w:val="0"/>
                <w:color w:val="000000"/>
                <w:sz w:val="40"/>
                <w:szCs w:val="40"/>
                <w:u w:val="none"/>
              </w:rPr>
            </w:pPr>
            <w:r>
              <w:rPr>
                <w:rFonts w:hint="eastAsia" w:ascii="仿宋" w:hAnsi="仿宋" w:eastAsia="仿宋" w:cs="仿宋"/>
                <w:i w:val="0"/>
                <w:iCs w:val="0"/>
                <w:color w:val="000000"/>
                <w:kern w:val="0"/>
                <w:sz w:val="40"/>
                <w:szCs w:val="40"/>
                <w:u w:val="none"/>
                <w:lang w:val="en-US" w:eastAsia="zh-CN" w:bidi="ar"/>
              </w:rPr>
              <w:t>实施层级及权限</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83B58">
            <w:pPr>
              <w:keepNext w:val="0"/>
              <w:keepLines w:val="0"/>
              <w:widowControl/>
              <w:suppressLineNumbers w:val="0"/>
              <w:jc w:val="center"/>
              <w:textAlignment w:val="center"/>
              <w:rPr>
                <w:rFonts w:hint="eastAsia" w:ascii="仿宋" w:hAnsi="仿宋" w:eastAsia="仿宋" w:cs="仿宋"/>
                <w:i w:val="0"/>
                <w:iCs w:val="0"/>
                <w:color w:val="000000"/>
                <w:sz w:val="40"/>
                <w:szCs w:val="40"/>
                <w:u w:val="none"/>
              </w:rPr>
            </w:pPr>
            <w:r>
              <w:rPr>
                <w:rFonts w:hint="eastAsia" w:ascii="仿宋" w:hAnsi="仿宋" w:eastAsia="仿宋" w:cs="仿宋"/>
                <w:i w:val="0"/>
                <w:iCs w:val="0"/>
                <w:color w:val="000000"/>
                <w:kern w:val="0"/>
                <w:sz w:val="40"/>
                <w:szCs w:val="40"/>
                <w:u w:val="none"/>
                <w:lang w:val="en-US" w:eastAsia="zh-CN" w:bidi="ar"/>
              </w:rPr>
              <w:t>部门职责</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66AFF">
            <w:pPr>
              <w:keepNext w:val="0"/>
              <w:keepLines w:val="0"/>
              <w:widowControl/>
              <w:suppressLineNumbers w:val="0"/>
              <w:jc w:val="center"/>
              <w:textAlignment w:val="center"/>
              <w:rPr>
                <w:rFonts w:hint="eastAsia" w:ascii="仿宋" w:hAnsi="仿宋" w:eastAsia="仿宋" w:cs="仿宋"/>
                <w:i w:val="0"/>
                <w:iCs w:val="0"/>
                <w:color w:val="000000"/>
                <w:sz w:val="40"/>
                <w:szCs w:val="40"/>
                <w:u w:val="none"/>
              </w:rPr>
            </w:pPr>
            <w:r>
              <w:rPr>
                <w:rFonts w:hint="eastAsia" w:ascii="仿宋" w:hAnsi="仿宋" w:eastAsia="仿宋" w:cs="仿宋"/>
                <w:i w:val="0"/>
                <w:iCs w:val="0"/>
                <w:color w:val="000000"/>
                <w:kern w:val="0"/>
                <w:sz w:val="40"/>
                <w:szCs w:val="40"/>
                <w:u w:val="none"/>
                <w:lang w:val="en-US" w:eastAsia="zh-CN" w:bidi="ar"/>
              </w:rPr>
              <w:t>责任事项内容</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8EB18">
            <w:pPr>
              <w:keepNext w:val="0"/>
              <w:keepLines w:val="0"/>
              <w:widowControl/>
              <w:suppressLineNumbers w:val="0"/>
              <w:jc w:val="center"/>
              <w:textAlignment w:val="center"/>
              <w:rPr>
                <w:rFonts w:hint="eastAsia" w:ascii="仿宋" w:hAnsi="仿宋" w:eastAsia="仿宋" w:cs="仿宋"/>
                <w:i w:val="0"/>
                <w:iCs w:val="0"/>
                <w:color w:val="000000"/>
                <w:sz w:val="40"/>
                <w:szCs w:val="40"/>
                <w:u w:val="none"/>
              </w:rPr>
            </w:pPr>
            <w:r>
              <w:rPr>
                <w:rFonts w:hint="eastAsia" w:ascii="仿宋" w:hAnsi="仿宋" w:eastAsia="仿宋" w:cs="仿宋"/>
                <w:i w:val="0"/>
                <w:iCs w:val="0"/>
                <w:color w:val="000000"/>
                <w:kern w:val="0"/>
                <w:sz w:val="40"/>
                <w:szCs w:val="40"/>
                <w:u w:val="none"/>
                <w:lang w:val="en-US" w:eastAsia="zh-CN" w:bidi="ar"/>
              </w:rPr>
              <w:t>责任事项依据</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1A1F3">
            <w:pPr>
              <w:keepNext w:val="0"/>
              <w:keepLines w:val="0"/>
              <w:widowControl/>
              <w:suppressLineNumbers w:val="0"/>
              <w:jc w:val="center"/>
              <w:textAlignment w:val="center"/>
              <w:rPr>
                <w:rFonts w:hint="eastAsia" w:ascii="仿宋" w:hAnsi="仿宋" w:eastAsia="仿宋" w:cs="仿宋"/>
                <w:i w:val="0"/>
                <w:iCs w:val="0"/>
                <w:color w:val="000000"/>
                <w:sz w:val="40"/>
                <w:szCs w:val="40"/>
                <w:u w:val="none"/>
              </w:rPr>
            </w:pPr>
            <w:r>
              <w:rPr>
                <w:rFonts w:hint="eastAsia" w:ascii="仿宋" w:hAnsi="仿宋" w:eastAsia="仿宋" w:cs="仿宋"/>
                <w:i w:val="0"/>
                <w:iCs w:val="0"/>
                <w:color w:val="000000"/>
                <w:kern w:val="0"/>
                <w:sz w:val="40"/>
                <w:szCs w:val="40"/>
                <w:u w:val="none"/>
                <w:lang w:val="en-US" w:eastAsia="zh-CN" w:bidi="ar"/>
              </w:rPr>
              <w:t>追责对象范围</w:t>
            </w:r>
          </w:p>
        </w:tc>
        <w:tc>
          <w:tcPr>
            <w:tcW w:w="2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B1115">
            <w:pPr>
              <w:keepNext w:val="0"/>
              <w:keepLines w:val="0"/>
              <w:widowControl/>
              <w:suppressLineNumbers w:val="0"/>
              <w:jc w:val="center"/>
              <w:textAlignment w:val="center"/>
              <w:rPr>
                <w:rFonts w:hint="eastAsia" w:ascii="仿宋" w:hAnsi="仿宋" w:eastAsia="仿宋" w:cs="仿宋"/>
                <w:i w:val="0"/>
                <w:iCs w:val="0"/>
                <w:color w:val="000000"/>
                <w:sz w:val="40"/>
                <w:szCs w:val="40"/>
                <w:u w:val="none"/>
              </w:rPr>
            </w:pPr>
            <w:r>
              <w:rPr>
                <w:rFonts w:hint="eastAsia" w:ascii="仿宋" w:hAnsi="仿宋" w:eastAsia="仿宋" w:cs="仿宋"/>
                <w:i w:val="0"/>
                <w:iCs w:val="0"/>
                <w:color w:val="000000"/>
                <w:kern w:val="0"/>
                <w:sz w:val="40"/>
                <w:szCs w:val="40"/>
                <w:u w:val="none"/>
                <w:lang w:val="en-US" w:eastAsia="zh-CN" w:bidi="ar"/>
              </w:rPr>
              <w:t>追责情形</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1CB61">
            <w:pPr>
              <w:keepNext w:val="0"/>
              <w:keepLines w:val="0"/>
              <w:widowControl/>
              <w:suppressLineNumbers w:val="0"/>
              <w:jc w:val="center"/>
              <w:textAlignment w:val="center"/>
              <w:rPr>
                <w:rFonts w:hint="eastAsia" w:ascii="仿宋" w:hAnsi="仿宋" w:eastAsia="仿宋" w:cs="仿宋"/>
                <w:i w:val="0"/>
                <w:iCs w:val="0"/>
                <w:color w:val="000000"/>
                <w:sz w:val="40"/>
                <w:szCs w:val="40"/>
                <w:u w:val="none"/>
              </w:rPr>
            </w:pPr>
            <w:r>
              <w:rPr>
                <w:rFonts w:hint="eastAsia" w:ascii="仿宋" w:hAnsi="仿宋" w:eastAsia="仿宋" w:cs="仿宋"/>
                <w:i w:val="0"/>
                <w:iCs w:val="0"/>
                <w:color w:val="000000"/>
                <w:kern w:val="0"/>
                <w:sz w:val="40"/>
                <w:szCs w:val="40"/>
                <w:u w:val="none"/>
                <w:lang w:val="en-US" w:eastAsia="zh-CN" w:bidi="ar"/>
              </w:rPr>
              <w:t>备注</w:t>
            </w:r>
          </w:p>
        </w:tc>
      </w:tr>
      <w:tr w14:paraId="523CC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16" w:type="dxa"/>
            <w:vMerge w:val="restart"/>
            <w:tcBorders>
              <w:top w:val="single" w:color="000000" w:sz="4" w:space="0"/>
              <w:left w:val="single" w:color="000000" w:sz="4" w:space="0"/>
              <w:right w:val="single" w:color="000000" w:sz="4" w:space="0"/>
            </w:tcBorders>
            <w:shd w:val="clear" w:color="auto" w:fill="auto"/>
            <w:vAlign w:val="center"/>
          </w:tcPr>
          <w:p w14:paraId="2D3BC519">
            <w:pPr>
              <w:keepNext w:val="0"/>
              <w:keepLines w:val="0"/>
              <w:widowControl/>
              <w:suppressLineNumbers w:val="0"/>
              <w:jc w:val="center"/>
              <w:textAlignment w:val="center"/>
              <w:rPr>
                <w:rFonts w:hint="eastAsia" w:ascii="仿宋" w:hAnsi="仿宋" w:eastAsia="仿宋" w:cs="仿宋"/>
                <w:i w:val="0"/>
                <w:iCs w:val="0"/>
                <w:color w:val="000000"/>
                <w:kern w:val="0"/>
                <w:sz w:val="13"/>
                <w:szCs w:val="13"/>
                <w:u w:val="none"/>
                <w:lang w:val="en-US" w:eastAsia="zh-CN" w:bidi="ar"/>
              </w:rPr>
            </w:pPr>
            <w:r>
              <w:rPr>
                <w:rFonts w:hint="eastAsia" w:ascii="仿宋" w:hAnsi="仿宋" w:eastAsia="仿宋" w:cs="仿宋"/>
                <w:i w:val="0"/>
                <w:iCs w:val="0"/>
                <w:color w:val="000000"/>
                <w:kern w:val="0"/>
                <w:sz w:val="13"/>
                <w:szCs w:val="13"/>
                <w:u w:val="none"/>
                <w:lang w:val="en-US" w:eastAsia="zh-CN" w:bidi="ar"/>
              </w:rPr>
              <w:t>1</w:t>
            </w:r>
          </w:p>
          <w:p w14:paraId="1157532C">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p>
        </w:tc>
        <w:tc>
          <w:tcPr>
            <w:tcW w:w="616" w:type="dxa"/>
            <w:vMerge w:val="restart"/>
            <w:tcBorders>
              <w:top w:val="single" w:color="000000" w:sz="4" w:space="0"/>
              <w:left w:val="single" w:color="000000" w:sz="4" w:space="0"/>
              <w:right w:val="single" w:color="000000" w:sz="4" w:space="0"/>
            </w:tcBorders>
            <w:shd w:val="clear" w:color="auto" w:fill="auto"/>
            <w:vAlign w:val="center"/>
          </w:tcPr>
          <w:p w14:paraId="3CAA270E">
            <w:pPr>
              <w:keepNext w:val="0"/>
              <w:keepLines w:val="0"/>
              <w:widowControl/>
              <w:suppressLineNumbers w:val="0"/>
              <w:jc w:val="left"/>
              <w:textAlignment w:val="center"/>
              <w:rPr>
                <w:rFonts w:hint="eastAsia" w:ascii="仿宋" w:hAnsi="仿宋" w:eastAsia="仿宋" w:cs="仿宋"/>
                <w:i w:val="0"/>
                <w:iCs w:val="0"/>
                <w:color w:val="000000"/>
                <w:kern w:val="0"/>
                <w:sz w:val="13"/>
                <w:szCs w:val="13"/>
                <w:u w:val="none"/>
                <w:lang w:val="en-US" w:eastAsia="zh-CN" w:bidi="ar"/>
              </w:rPr>
            </w:pPr>
            <w:r>
              <w:rPr>
                <w:rFonts w:hint="eastAsia" w:ascii="仿宋" w:hAnsi="仿宋" w:eastAsia="仿宋" w:cs="仿宋"/>
                <w:i w:val="0"/>
                <w:iCs w:val="0"/>
                <w:color w:val="000000"/>
                <w:kern w:val="0"/>
                <w:sz w:val="13"/>
                <w:szCs w:val="13"/>
                <w:u w:val="none"/>
                <w:lang w:val="en-US" w:eastAsia="zh-CN" w:bidi="ar"/>
              </w:rPr>
              <w:t>建设工程造价资料备案</w:t>
            </w:r>
          </w:p>
          <w:p w14:paraId="7E9716C4">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7D567">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1.项目竣工结算资料备案</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53DB1">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其他行政权力</w:t>
            </w:r>
          </w:p>
        </w:tc>
        <w:tc>
          <w:tcPr>
            <w:tcW w:w="4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C7555">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【规章】《建筑工程施工发包与承包计价管理办法》（2013年12月11日住房和城乡建设部令第16号公布，自2014年2月1日起施行）</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第十九条第二款：竣工结算文件应当由发包方报工程所在地县级以上地方人民政府住房城乡建设主管部门备案。</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【规章】《新疆维吾尔自治区建设工程造价管理办法》（2006年5月12日自治区人民政府令第138号发布，根据2010年12月13日自治区人民政府令第165号修正）</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第十九条：发包人在收到竣工结算文件后的约定期限内进行审核，并予以答复。</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政府投资建设的项目，竣工结算文件由同级财政部门直接审查，也可以委托具有相应资质的工程造价咨询机构审查，审查期限为90日。结算价在2500万元以下的，审查期限不得超过30日。</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由财政部门审查或者委托的审查建设工程项目竣工结算资料，应当抄送同级建设行政主管部门备案。</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【规范性文件】《建设工程工程量清单计价规范》（GB0500-2013）</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11.1.5竣工结算办理完毕，发包人应将竣工结算文件报送工程所在地或有该工程管辖权的行业管理部门的工程造价管理机构备案，竣工结算文件应作为工程竣工验收备案、交付使用的必备文件。</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70FD2">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米东区建设局</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2CE29">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建管办</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777D7">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B22C8">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负责本行政区域内项目竣工结算资料的备案</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712CB">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对同级由财政部门审查或者委托的审查建设工程项目竣工结算资料进行备案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C372D">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直接实施责任：</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1.完善本行政区域内备案工作标准，依法依规实施备案。</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2.监督责任。建立健全监督制度，对本行政区域内的备案活动进行监督检查。</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15992">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【规章】《新疆维吾尔自治区建设工程造价管理办法》（2006年5月12日自治区人民政府令第138号发布，根据2010年12月13日自治区人民政府令第165号修正）</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第十九条：发包人在收到竣工结算文件后的约定期限内进行审核，并予以答复。</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政府投资建设的项目，竣工结算文件由同级财政部门直接审查，也可以委托具有相应资质的工程造价咨询机构审查，审查期限为90日。结算价在2500万元以下的，审查期限不得超过30日。</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由财政部门审查或者委托的审查建设工程项目竣工结算资料，应当抄送同级建设行政主管部门备案。</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【规范性文件】《建设工程工程量清单计价规范》（GB0500-2013）</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11.1.5竣工结算办理完毕，发包人应将竣工结算文件报送工程所在地或有该工程管辖权的行业管理部门的工程造价管理机构备案，竣工结算文件应作为工程竣工验收备案、交付使用的必备文件。</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880BE">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1.具体承办人；</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2.内设机构负责人；</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3.单位法定代表人或分管领导。</w:t>
            </w:r>
          </w:p>
        </w:tc>
        <w:tc>
          <w:tcPr>
            <w:tcW w:w="2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34FDF">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1.玩忽职守，贻误工作的；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2.拒绝执行上级依法作出的决定和命令的；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3.弄虚作假，误导、欺骗领导和公众的；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4.滥用职权，侵害公民、法人或者其他组织的合法权益的；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5.行政权力行使过程中失职、渎职的；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6.行使职权过程中出现腐败行为的；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7.其他违反法律法规规章文件规定的行为。</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45B2D">
            <w:pPr>
              <w:keepNext w:val="0"/>
              <w:keepLines w:val="0"/>
              <w:widowControl/>
              <w:suppressLineNumbers w:val="0"/>
              <w:jc w:val="left"/>
              <w:textAlignment w:val="center"/>
              <w:rPr>
                <w:rFonts w:hint="eastAsia" w:ascii="仿宋" w:hAnsi="仿宋" w:eastAsia="仿宋" w:cs="仿宋"/>
                <w:b/>
                <w:bCs/>
                <w:i w:val="0"/>
                <w:iCs w:val="0"/>
                <w:color w:val="FF0000"/>
                <w:sz w:val="36"/>
                <w:szCs w:val="36"/>
                <w:u w:val="none"/>
              </w:rPr>
            </w:pPr>
          </w:p>
        </w:tc>
      </w:tr>
      <w:tr w14:paraId="032FF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16" w:type="dxa"/>
            <w:vMerge w:val="continue"/>
            <w:tcBorders>
              <w:left w:val="single" w:color="000000" w:sz="4" w:space="0"/>
              <w:bottom w:val="single" w:color="000000" w:sz="4" w:space="0"/>
              <w:right w:val="single" w:color="000000" w:sz="4" w:space="0"/>
            </w:tcBorders>
            <w:shd w:val="clear" w:color="auto" w:fill="auto"/>
            <w:vAlign w:val="center"/>
          </w:tcPr>
          <w:p w14:paraId="33DB943E">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p>
        </w:tc>
        <w:tc>
          <w:tcPr>
            <w:tcW w:w="616" w:type="dxa"/>
            <w:vMerge w:val="continue"/>
            <w:tcBorders>
              <w:left w:val="single" w:color="000000" w:sz="4" w:space="0"/>
              <w:bottom w:val="single" w:color="000000" w:sz="4" w:space="0"/>
              <w:right w:val="single" w:color="000000" w:sz="4" w:space="0"/>
            </w:tcBorders>
            <w:shd w:val="clear" w:color="auto" w:fill="auto"/>
            <w:vAlign w:val="center"/>
          </w:tcPr>
          <w:p w14:paraId="2B7C73BC">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B56B9">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2.最高投标限价（招标控制价）备案</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87F2E">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其他行政权力</w:t>
            </w:r>
          </w:p>
        </w:tc>
        <w:tc>
          <w:tcPr>
            <w:tcW w:w="4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96DC1">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【规章】《建筑工程施工发包与承包计价管理办法》（2013年12月11日住房和城乡建设部令第16号发布）</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第六条：全部使用国有资金投资或者以国有资金投资为主的建筑工程，应当采用工程量清单计价；非国有资金投资的建筑工程，鼓励采用工程量清单计价。</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国有资金投资的建筑工程招标的，应当设有最高投标限价；非国有资金投资的建筑工程招标的，可以设有最高投标限价或者招标标底。</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最高投标限价及其成果文件，应当由招标人报工程所在地县级以上地方人民政府住房城乡建设主管部门备案。</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【规范性文件】《建设工程工程量清单计价规范》（GB0500-2013）</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5.招标控制价第5.1.1：国有资金投资的建设工程招标，招标人必须编制招标控制价；5.1.6：招标人应在发布招标文件时发布招标控制价，同时应将招标控制价及有关资料报送工程所在地或有该工程管辖权的行业管理部门工程造价管理机构备查。</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6F5A7">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米东区建设局</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FA082">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建管办</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3FCC1">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664E5">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负责本行政区域内最高投标限价（招标控制价）的备案</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8D2BF">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对最高投标限价（招标控制价）进行备案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000AC">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直接实施责任：</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1.完善本行政区域内备案工作标准，依法依规实施备案。</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2.监督责任。建立健全监督制度，对本行政区域内的备案活动进行监督检查。</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39E01">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【规章】《建筑工程施工发包与承包计价管理办法》（2013年12月11日住房和城乡建设部令第16号发布）</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第六条：全部使用国有资金投资或者以国有资金投资为主的建筑工程，应当采用工程量清单计价；非国有资金投资的建筑工程，鼓励采用工程量清单计价。</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国有资金投资的建筑工程招标的，应当设有最高投标限价；非国有资金投资的建筑工程招标的，可以设有最高投标限价或者招标标底。</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最高投标限价及其成果文件，应当由招标人报工程所在地县级以上地方人民政府住房城乡建设主管部门备案。</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【规范性文件】《建设工程工程量清单计价规范》（GB0500-2013）</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5.招标控制价第5.1.1：国有资金投资的建设工程招标，招标人必须编制招标控制价；5.1.6：招标人应在发布招标文件时发布招标控制价，同时应将招标控制价及有关资料报送工程所在地或有该工程管辖权的行业管理部门工程造价管理机构备查。</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18E7D">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1.具体承办人；</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2.内设机构负责人；</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3.单位法定代表人或分管领导。</w:t>
            </w:r>
          </w:p>
        </w:tc>
        <w:tc>
          <w:tcPr>
            <w:tcW w:w="2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AB21F">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1.玩忽职守，贻误工作的；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2.拒绝执行上级依法作出的决定和命令的；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3.弄虚作假，误导、欺骗领导和公众的；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4.滥用职权，侵害公民、法人或者其他组织的合法权益的；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5.行政权力行使过程中失职、渎职的；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6.行使职权过程中出现腐败行为的；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7.其他违反法律法规规章文件规定的行为。</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1E972">
            <w:pPr>
              <w:keepNext w:val="0"/>
              <w:keepLines w:val="0"/>
              <w:widowControl/>
              <w:suppressLineNumbers w:val="0"/>
              <w:jc w:val="left"/>
              <w:textAlignment w:val="center"/>
              <w:rPr>
                <w:rFonts w:hint="eastAsia" w:ascii="仿宋" w:hAnsi="仿宋" w:eastAsia="仿宋" w:cs="仿宋"/>
                <w:b/>
                <w:bCs/>
                <w:i w:val="0"/>
                <w:iCs w:val="0"/>
                <w:color w:val="FF0000"/>
                <w:sz w:val="36"/>
                <w:szCs w:val="36"/>
                <w:u w:val="none"/>
              </w:rPr>
            </w:pPr>
          </w:p>
        </w:tc>
      </w:tr>
      <w:tr w14:paraId="099356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6CD38">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2</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1BCA2">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工程竣工验收备案</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813F9">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房屋建筑工程和市政基础设施工程竣工验收备案</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70009">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其他行政权力</w:t>
            </w:r>
          </w:p>
        </w:tc>
        <w:tc>
          <w:tcPr>
            <w:tcW w:w="4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63220">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【规章】《房屋建筑工程和市政基础设施工程竣工验收备案管理暂行办法》（2000年4月4日建设部令第78号发布，根据2009年10月19日住房和城乡建设部令第2号修正）</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第三条第二款：县级以上地方人民政府建设行政主管部门负责本行政区域内工程的竣工验收备案管理工作。</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84F67">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米东区建设局</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AE486">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建管办</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21E84">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7B30D">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负责本行政区域内工程竣工验收备案</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5CCED">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对工程竣工验收情况进行备案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C898E">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直接实施责任：</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1.完善本行政区域内备案工作标准，依法依规实施备案。</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2.监督责任。建立健全监督制度，对本行政区域内的备案活动进行监督检查。</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2B61D">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【规章】《房屋建筑工程和市政基础设施工程竣工验收备案管理暂行办法》（2000年4月4日建设部令第78号发布，根据2009年10月19日住房和城乡建设部令第2号修正）</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第三条第二款：县级以上地方人民政府建设行政主管部门负责本行政区域内工程的竣工验收备案管理工作。</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B1C32">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1.具体承办人；</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2.内设机构负责人；</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3.单位法定代表人或分管领导。</w:t>
            </w:r>
          </w:p>
        </w:tc>
        <w:tc>
          <w:tcPr>
            <w:tcW w:w="2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38BA2">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1.玩忽职守，贻误工作的；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2.拒绝执行上级依法作出的决定和命令的；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3.弄虚作假，误导、欺骗领导和公众的；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4.滥用职权，侵害公民、法人或者其他组织的合法权益的；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5.行政权力行使过程中失职、渎职的；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6.行使职权过程中出现腐败行为的；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7.其他违反法律法规规章文件规定的行为。</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5AC51">
            <w:pPr>
              <w:keepNext w:val="0"/>
              <w:keepLines w:val="0"/>
              <w:widowControl/>
              <w:suppressLineNumbers w:val="0"/>
              <w:jc w:val="left"/>
              <w:textAlignment w:val="center"/>
              <w:rPr>
                <w:rFonts w:hint="eastAsia" w:ascii="仿宋" w:hAnsi="仿宋" w:eastAsia="仿宋" w:cs="仿宋"/>
                <w:b/>
                <w:bCs/>
                <w:i w:val="0"/>
                <w:iCs w:val="0"/>
                <w:color w:val="FF0000"/>
                <w:sz w:val="36"/>
                <w:szCs w:val="36"/>
                <w:u w:val="none"/>
              </w:rPr>
            </w:pPr>
          </w:p>
        </w:tc>
      </w:tr>
      <w:tr w14:paraId="2DE75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7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EEEF2">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3</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D4D59">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实行备案制的国有资金占控股或者主导地位的依法必须进行招标的项目采用邀请招标方式的认定</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8F848">
            <w:pPr>
              <w:jc w:val="center"/>
              <w:rPr>
                <w:rFonts w:hint="eastAsia" w:ascii="仿宋" w:hAnsi="仿宋" w:eastAsia="仿宋" w:cs="仿宋"/>
                <w:i w:val="0"/>
                <w:iCs w:val="0"/>
                <w:color w:val="000000"/>
                <w:sz w:val="13"/>
                <w:szCs w:val="13"/>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884C4">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其他行政权力</w:t>
            </w:r>
          </w:p>
        </w:tc>
        <w:tc>
          <w:tcPr>
            <w:tcW w:w="4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89EE1">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【法规】《中华人民共和国招标投标法实施条例》(2011年12月20日国务院令第613号发布，2019年3月2日国务院令第709号修订）</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第八条：国有资金占控股或者主导地位的依法必须进行招标的项目，应当公开招标；但有下列情形之一的，可以邀请招标：</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（一）技术复杂、有特殊要求或者受自然环境限制，只有少量潜在投标人可供选择；</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（二）采用公开招标方式的费用占项目合同金额的比例过大。</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有前款第二项所列情形，属于本条例第七条规定的项目，由项目审批、核准部门在审批、核准项目时作出认定；其他项目由招标人申请有关行政监督部门作出认定。</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5FBFC">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米东区建设局</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C4495">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建管办</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748FB">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55535">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负责本行政区域备案制的国有资金占控股或者主导地位的依法必须进行招标的项目采用邀请招标方式的认定</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6A8BB">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实行备案制的国有资金占控股或者主导地位的依法必须进行招标的项目采用邀请招标方式的认定</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9197F">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直接实施责任：</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1.完善本行政区域内备案工作标准，依法依规实施备案。</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2.监督责任。建立健全监督制度，对本行政区域内的备案活动进行监督检查。</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D4764">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【法规】《中华人民共和国招标投标法实施条例》(2011年12月20日国务院令第613号发布，2019年3月2日国务院令第709号修订）</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第四条[行政监督职责分工]</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国务院发展改革部门指导和协调全国招标投标工作，对国家重大建设项目的工程招标投标活动实施监督检查。国务院工业和信息化、住房城乡建设、交通运输、铁道、水利、商务等部门，按照规定的职责分工对有关招标投标活动实施监督。</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42165">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1.具体承办人；</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2.内设机构负责人；</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3.单位法定代表人或分管领导。</w:t>
            </w:r>
          </w:p>
        </w:tc>
        <w:tc>
          <w:tcPr>
            <w:tcW w:w="2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61F5B">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1.玩忽职守，贻误工作的；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2.拒绝执行上级依法作出的决定和命令的；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3.弄虚作假，误导、欺骗领导和公众的；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4.滥用职权，侵害公民、法人或者其他组织的合法权益的；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5.行政权力行使过程中失职、渎职的；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6.行使职权过程中出现腐败行为的；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7.其他违反法律法规规章文件规定的行为。</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1F35A">
            <w:pPr>
              <w:jc w:val="center"/>
              <w:rPr>
                <w:rFonts w:hint="eastAsia" w:ascii="仿宋" w:hAnsi="仿宋" w:eastAsia="仿宋" w:cs="仿宋"/>
                <w:i w:val="0"/>
                <w:iCs w:val="0"/>
                <w:color w:val="000000"/>
                <w:sz w:val="36"/>
                <w:szCs w:val="36"/>
                <w:u w:val="none"/>
              </w:rPr>
            </w:pPr>
          </w:p>
        </w:tc>
      </w:tr>
      <w:tr w14:paraId="6824A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42823">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4</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B44F7">
            <w:pPr>
              <w:keepNext w:val="0"/>
              <w:keepLines w:val="0"/>
              <w:widowControl/>
              <w:suppressLineNumbers w:val="0"/>
              <w:jc w:val="both"/>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对招投标项目招标人提交的依法必须进行招标的项目招标投标情况的书面报告备案</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11680">
            <w:pPr>
              <w:jc w:val="center"/>
              <w:rPr>
                <w:rFonts w:hint="eastAsia" w:ascii="仿宋" w:hAnsi="仿宋" w:eastAsia="仿宋" w:cs="仿宋"/>
                <w:i w:val="0"/>
                <w:iCs w:val="0"/>
                <w:color w:val="000000"/>
                <w:sz w:val="13"/>
                <w:szCs w:val="13"/>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01712">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其他行政权力</w:t>
            </w:r>
          </w:p>
        </w:tc>
        <w:tc>
          <w:tcPr>
            <w:tcW w:w="4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492D3">
            <w:pPr>
              <w:keepNext w:val="0"/>
              <w:keepLines w:val="0"/>
              <w:widowControl/>
              <w:suppressLineNumbers w:val="0"/>
              <w:jc w:val="both"/>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法律】《中华人民共和国招标投标法》（1999年8月30日第九届全国人民代表大会常务委员会第十一次会议通过。根据2017年12月27日第十二届全国人民代表大会常务委员会第三十一次会议《关于修改〈中华人民共和国招标投标法〉、〈中华人民共和国计量法〉的决定》修正）</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第四十七条：依法必须进行招标的项目，招标人应当自确定中标人之日起十五日内，向有关行政监督部门提交招标投标情况的书面报告。</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【规章】《房屋建筑和市政基础设施工程施工招标投标管理办法》（2001年6月1日建设部令第89号发布，根据住房和城乡建设部令第43号、第47号修订）</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第四十四条：依法必须进行施工招标的工程，招标人应当自确定中标人之日起15日内，向工程所在地的县级以上地方人民政府建设行政主管部门提交施工招标投标情况的书面报告。</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规章】《工程建设项目施工招标投标办法》（2003年3月8日国家计委、建设部、铁道部、交通部、信息产业部、水利部、中国民用航空总局令第30号发布，根据2013年3月11日国家发展改革委、建设部、铁道部、交通部、信息产业部、水利部、中国民用航空总局令第23号修正）</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第六十五条：依法必须进行施工招标的项目，招标人应当自发出中标通知书之日起十五日内，向有关行政监督部门提交招标投标情况的书面报告。</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EE3B7">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米东区建设局</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A41BF">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建管办</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C272E">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E6B08">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负责本行政区域招投标项目招标人提交的依法必须进行招标的项目招标投标情况的书面报告备案</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552F4">
            <w:pPr>
              <w:keepNext w:val="0"/>
              <w:keepLines w:val="0"/>
              <w:widowControl/>
              <w:suppressLineNumbers w:val="0"/>
              <w:jc w:val="both"/>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对招投标项目招标人提交的依法必须进行招标的项目招标投标情况的书面报告备案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9595C">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直接实施责任：</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1.完善本行政区域内备案工作标准，依法依规实施备案。</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2.监督责任。建立健全监督制度，对本行政区域内的备案活动进行监督检查。</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14945">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【法规】《中华人民共和国招标投标法实施条例》(2011年12月20日国务院令第613号发布，2019年3月2日国务院令第709号修订）</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第四条[行政监督职责分工]</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国务院发展改革部门指导和协调全国招标投标工作，对国家重大建设项目的工程招标投标活动实施监督检查。国务院工业和信息化、住房城乡建设、交通运输、铁道、水利、商务等部门，按照规定的职责分工对有关招标投标活动实施监督。</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23523">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1.具体承办人；</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2.内设机构负责人；</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3.单位法定代表人或分管领导。</w:t>
            </w:r>
          </w:p>
        </w:tc>
        <w:tc>
          <w:tcPr>
            <w:tcW w:w="2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EAA8F">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1.玩忽职守，贻误工作的；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2.拒绝执行上级依法作出的决定和命令的；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3.弄虚作假，误导、欺骗领导和公众的；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4.滥用职权，侵害公民、法人或者其他组织的合法权益的；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5.行政权力行使过程中失职、渎职的；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6.行使职权过程中出现腐败行为的；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7.其他违反法律法规规章文件规定的行为。</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DF3A0">
            <w:pPr>
              <w:jc w:val="center"/>
              <w:rPr>
                <w:rFonts w:hint="eastAsia" w:ascii="仿宋" w:hAnsi="仿宋" w:eastAsia="仿宋" w:cs="仿宋"/>
                <w:i w:val="0"/>
                <w:iCs w:val="0"/>
                <w:color w:val="000000"/>
                <w:sz w:val="36"/>
                <w:szCs w:val="36"/>
                <w:u w:val="none"/>
              </w:rPr>
            </w:pPr>
          </w:p>
        </w:tc>
      </w:tr>
      <w:tr w14:paraId="2CDB49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0" w:hRule="atLeast"/>
        </w:trPr>
        <w:tc>
          <w:tcPr>
            <w:tcW w:w="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C85851">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5</w:t>
            </w:r>
          </w:p>
        </w:tc>
        <w:tc>
          <w:tcPr>
            <w:tcW w:w="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98643E">
            <w:pPr>
              <w:keepNext w:val="0"/>
              <w:keepLines w:val="0"/>
              <w:widowControl/>
              <w:suppressLineNumbers w:val="0"/>
              <w:jc w:val="center"/>
              <w:textAlignment w:val="center"/>
              <w:rPr>
                <w:rFonts w:hint="eastAsia" w:ascii="仿宋" w:hAnsi="仿宋" w:eastAsia="仿宋" w:cs="仿宋"/>
                <w:i w:val="0"/>
                <w:iCs w:val="0"/>
                <w:color w:val="000000"/>
                <w:sz w:val="13"/>
                <w:szCs w:val="13"/>
                <w:highlight w:val="none"/>
                <w:u w:val="none"/>
              </w:rPr>
            </w:pPr>
            <w:r>
              <w:rPr>
                <w:rFonts w:hint="eastAsia" w:ascii="仿宋" w:hAnsi="仿宋" w:eastAsia="仿宋" w:cs="仿宋"/>
                <w:i w:val="0"/>
                <w:iCs w:val="0"/>
                <w:color w:val="000000"/>
                <w:kern w:val="0"/>
                <w:sz w:val="13"/>
                <w:szCs w:val="13"/>
                <w:highlight w:val="none"/>
                <w:u w:val="none"/>
                <w:lang w:val="en-US" w:eastAsia="zh-CN" w:bidi="ar"/>
              </w:rPr>
              <w:t>招投标项目备案</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65D2D">
            <w:pPr>
              <w:keepNext w:val="0"/>
              <w:keepLines w:val="0"/>
              <w:widowControl/>
              <w:suppressLineNumbers w:val="0"/>
              <w:jc w:val="both"/>
              <w:textAlignment w:val="center"/>
              <w:rPr>
                <w:rFonts w:hint="eastAsia" w:ascii="仿宋" w:hAnsi="仿宋" w:eastAsia="仿宋" w:cs="仿宋"/>
                <w:i w:val="0"/>
                <w:iCs w:val="0"/>
                <w:color w:val="000000"/>
                <w:sz w:val="13"/>
                <w:szCs w:val="13"/>
                <w:highlight w:val="none"/>
                <w:u w:val="none"/>
              </w:rPr>
            </w:pPr>
            <w:r>
              <w:rPr>
                <w:rFonts w:hint="eastAsia" w:ascii="仿宋" w:hAnsi="仿宋" w:eastAsia="仿宋" w:cs="仿宋"/>
                <w:i w:val="0"/>
                <w:iCs w:val="0"/>
                <w:color w:val="000000"/>
                <w:kern w:val="0"/>
                <w:sz w:val="13"/>
                <w:szCs w:val="13"/>
                <w:highlight w:val="none"/>
                <w:u w:val="none"/>
                <w:lang w:val="en-US" w:eastAsia="zh-CN" w:bidi="ar"/>
              </w:rPr>
              <w:t>1.招标文件（含资格预审文件）备案</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A162C">
            <w:pPr>
              <w:keepNext w:val="0"/>
              <w:keepLines w:val="0"/>
              <w:widowControl/>
              <w:suppressLineNumbers w:val="0"/>
              <w:jc w:val="center"/>
              <w:textAlignment w:val="center"/>
              <w:rPr>
                <w:rFonts w:hint="eastAsia" w:ascii="仿宋" w:hAnsi="仿宋" w:eastAsia="仿宋" w:cs="仿宋"/>
                <w:i w:val="0"/>
                <w:iCs w:val="0"/>
                <w:color w:val="000000"/>
                <w:sz w:val="13"/>
                <w:szCs w:val="13"/>
                <w:highlight w:val="none"/>
                <w:u w:val="none"/>
              </w:rPr>
            </w:pPr>
            <w:r>
              <w:rPr>
                <w:rFonts w:hint="eastAsia" w:ascii="仿宋" w:hAnsi="仿宋" w:eastAsia="仿宋" w:cs="仿宋"/>
                <w:i w:val="0"/>
                <w:iCs w:val="0"/>
                <w:color w:val="000000"/>
                <w:kern w:val="0"/>
                <w:sz w:val="13"/>
                <w:szCs w:val="13"/>
                <w:highlight w:val="none"/>
                <w:u w:val="none"/>
                <w:lang w:val="en-US" w:eastAsia="zh-CN" w:bidi="ar"/>
              </w:rPr>
              <w:t>其他行政权力</w:t>
            </w:r>
          </w:p>
        </w:tc>
        <w:tc>
          <w:tcPr>
            <w:tcW w:w="4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F7EF3">
            <w:pPr>
              <w:keepNext w:val="0"/>
              <w:keepLines w:val="0"/>
              <w:widowControl/>
              <w:suppressLineNumbers w:val="0"/>
              <w:jc w:val="both"/>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【规章】《房屋建筑和市政基础设施工程施工招标投标管理办法》（2001年6月1日建设部令第89号发布，根据住房和城乡建设部令第43号、第47号修订）</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第十八条：依法必须进行施工招标的工程，招标人应当在招标文件发出的同时，将招标文件报工程所在地的县级以上地方人民政府建设行政主管部门备案，但实施电子招标投标的项目除外。建设行政主管部门发现招标文件有违反法律、法规内容的，应当责令招标人改正。</w:t>
            </w:r>
          </w:p>
        </w:tc>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4CDC46">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米东区建设局</w:t>
            </w:r>
          </w:p>
        </w:tc>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3ED1D8">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建管办</w:t>
            </w:r>
          </w:p>
        </w:tc>
        <w:tc>
          <w:tcPr>
            <w:tcW w:w="4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5BAEBC">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7A363">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负责本行政区域招标文件（含资格预审文件）备案</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A5D9C">
            <w:pPr>
              <w:keepNext w:val="0"/>
              <w:keepLines w:val="0"/>
              <w:widowControl/>
              <w:suppressLineNumbers w:val="0"/>
              <w:jc w:val="both"/>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招标文件（含资格预审文件）备案</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FBD34D">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直接实施责任：</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1.完善本行政区域内备案工作标准，依法依规实施备案。</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2.监督责任。建立健全监督制度，对本行政区域内的备案活动进行监督检查。</w:t>
            </w:r>
          </w:p>
        </w:tc>
        <w:tc>
          <w:tcPr>
            <w:tcW w:w="34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2B163C">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【法规】《中华人民共和国招标投标法实施条例》(2011年12月20日国务院令第613号发布，2019年3月2日国务院令第709号修订）</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第四条[行政监督职责分工]</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国务院发展改革部门指导和协调全国招标投标工作，对国家重大建设项目的工程招标投标活动实施监督检查。国务院工业和信息化、住房城乡建设、交通运输、铁道、水利、商务等部门，按照规定的职责分工对有关招标投标活动实施监督。</w:t>
            </w:r>
          </w:p>
        </w:tc>
        <w:tc>
          <w:tcPr>
            <w:tcW w:w="1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64D80F">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1.具体承办人；</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2.内设机构负责人；</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3.单位法定代表人或分管领导。</w:t>
            </w:r>
          </w:p>
        </w:tc>
        <w:tc>
          <w:tcPr>
            <w:tcW w:w="2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99259B">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1.玩忽职守，贻误工作的；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2.拒绝执行上级依法作出的决定和命令的；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3.弄虚作假，误导、欺骗领导和公众的；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4.滥用职权，侵害公民、法人或者其他组织的合法权益的；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5.行政权力行使过程中失职、渎职的；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6.行使职权过程中出现腐败行为的；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7.其他违反法律法规规章文件规定的行为。</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5A25B">
            <w:pPr>
              <w:jc w:val="center"/>
              <w:rPr>
                <w:rFonts w:hint="eastAsia" w:ascii="仿宋" w:hAnsi="仿宋" w:eastAsia="仿宋" w:cs="仿宋"/>
                <w:i w:val="0"/>
                <w:iCs w:val="0"/>
                <w:color w:val="000000"/>
                <w:sz w:val="36"/>
                <w:szCs w:val="36"/>
                <w:u w:val="none"/>
              </w:rPr>
            </w:pPr>
          </w:p>
        </w:tc>
      </w:tr>
      <w:tr w14:paraId="1A655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5"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0E4889">
            <w:pPr>
              <w:jc w:val="center"/>
              <w:rPr>
                <w:rFonts w:hint="eastAsia" w:ascii="仿宋" w:hAnsi="仿宋" w:eastAsia="仿宋" w:cs="仿宋"/>
                <w:i w:val="0"/>
                <w:iCs w:val="0"/>
                <w:color w:val="000000"/>
                <w:sz w:val="13"/>
                <w:szCs w:val="13"/>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114532">
            <w:pPr>
              <w:jc w:val="center"/>
              <w:rPr>
                <w:rFonts w:hint="eastAsia" w:ascii="仿宋" w:hAnsi="仿宋" w:eastAsia="仿宋" w:cs="仿宋"/>
                <w:i w:val="0"/>
                <w:iCs w:val="0"/>
                <w:color w:val="000000"/>
                <w:sz w:val="13"/>
                <w:szCs w:val="13"/>
                <w:highlight w:val="none"/>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5D298">
            <w:pPr>
              <w:keepNext w:val="0"/>
              <w:keepLines w:val="0"/>
              <w:widowControl/>
              <w:suppressLineNumbers w:val="0"/>
              <w:jc w:val="both"/>
              <w:textAlignment w:val="center"/>
              <w:rPr>
                <w:rFonts w:hint="eastAsia" w:ascii="仿宋" w:hAnsi="仿宋" w:eastAsia="仿宋" w:cs="仿宋"/>
                <w:i w:val="0"/>
                <w:iCs w:val="0"/>
                <w:color w:val="000000"/>
                <w:sz w:val="13"/>
                <w:szCs w:val="13"/>
                <w:highlight w:val="none"/>
                <w:u w:val="none"/>
              </w:rPr>
            </w:pPr>
            <w:r>
              <w:rPr>
                <w:rFonts w:hint="eastAsia" w:ascii="仿宋" w:hAnsi="仿宋" w:eastAsia="仿宋" w:cs="仿宋"/>
                <w:i w:val="0"/>
                <w:iCs w:val="0"/>
                <w:color w:val="000000"/>
                <w:kern w:val="0"/>
                <w:sz w:val="13"/>
                <w:szCs w:val="13"/>
                <w:highlight w:val="none"/>
                <w:u w:val="none"/>
                <w:lang w:val="en-US" w:eastAsia="zh-CN" w:bidi="ar"/>
              </w:rPr>
              <w:t>2.对招标人自行招标的备案</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7913B">
            <w:pPr>
              <w:keepNext w:val="0"/>
              <w:keepLines w:val="0"/>
              <w:widowControl/>
              <w:suppressLineNumbers w:val="0"/>
              <w:jc w:val="center"/>
              <w:textAlignment w:val="center"/>
              <w:rPr>
                <w:rFonts w:hint="eastAsia" w:ascii="仿宋" w:hAnsi="仿宋" w:eastAsia="仿宋" w:cs="仿宋"/>
                <w:i w:val="0"/>
                <w:iCs w:val="0"/>
                <w:color w:val="000000"/>
                <w:sz w:val="13"/>
                <w:szCs w:val="13"/>
                <w:highlight w:val="none"/>
                <w:u w:val="none"/>
              </w:rPr>
            </w:pPr>
            <w:r>
              <w:rPr>
                <w:rFonts w:hint="eastAsia" w:ascii="仿宋" w:hAnsi="仿宋" w:eastAsia="仿宋" w:cs="仿宋"/>
                <w:i w:val="0"/>
                <w:iCs w:val="0"/>
                <w:color w:val="000000"/>
                <w:kern w:val="0"/>
                <w:sz w:val="13"/>
                <w:szCs w:val="13"/>
                <w:highlight w:val="none"/>
                <w:u w:val="none"/>
                <w:lang w:val="en-US" w:eastAsia="zh-CN" w:bidi="ar"/>
              </w:rPr>
              <w:t>其他行政权力</w:t>
            </w:r>
          </w:p>
        </w:tc>
        <w:tc>
          <w:tcPr>
            <w:tcW w:w="4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7D6C1">
            <w:pPr>
              <w:keepNext w:val="0"/>
              <w:keepLines w:val="0"/>
              <w:widowControl/>
              <w:suppressLineNumbers w:val="0"/>
              <w:jc w:val="both"/>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法律】《中华人民共和国招标投标法》（1999年8月30日第九届全国人民代表大会常务委员会第十一次会议通过。根据2017年12月27日第十二届全国人民代表大会常务委员会第三十一次会议《关于修改〈中华人民共和国招标投标法〉、〈中华人民共和国计量法〉的决定》修正）</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第十二条：招标人有权自行选择招标代理机构，委托其办理招标事宜。任何单位和个人不得以任何方式为招标人指定招标代理机构。招标人具有编制招标文件和组织评标能力的，可以自行办理招标事宜。任何单位和个人不得强制其委托招标代理机构办理招标事宜。依法必须进行招标的项目，招标人自行办理招标事宜的，应当向有关行政监督部门备案。</w:t>
            </w: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2DDE90">
            <w:pPr>
              <w:jc w:val="center"/>
              <w:rPr>
                <w:rFonts w:hint="eastAsia" w:ascii="仿宋" w:hAnsi="仿宋" w:eastAsia="仿宋" w:cs="仿宋"/>
                <w:i w:val="0"/>
                <w:iCs w:val="0"/>
                <w:color w:val="000000"/>
                <w:sz w:val="13"/>
                <w:szCs w:val="13"/>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FF357A">
            <w:pPr>
              <w:jc w:val="center"/>
              <w:rPr>
                <w:rFonts w:hint="eastAsia" w:ascii="仿宋" w:hAnsi="仿宋" w:eastAsia="仿宋" w:cs="仿宋"/>
                <w:i w:val="0"/>
                <w:iCs w:val="0"/>
                <w:color w:val="000000"/>
                <w:sz w:val="13"/>
                <w:szCs w:val="13"/>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8A5DFE">
            <w:pPr>
              <w:jc w:val="center"/>
              <w:rPr>
                <w:rFonts w:hint="eastAsia" w:ascii="仿宋" w:hAnsi="仿宋" w:eastAsia="仿宋" w:cs="仿宋"/>
                <w:i w:val="0"/>
                <w:iCs w:val="0"/>
                <w:color w:val="000000"/>
                <w:sz w:val="13"/>
                <w:szCs w:val="13"/>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53573">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负责本行政区域招标人自行招标的备案</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B871E">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对招标人自行招标的备案</w:t>
            </w: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69D71F">
            <w:pPr>
              <w:jc w:val="center"/>
              <w:rPr>
                <w:rFonts w:hint="eastAsia" w:ascii="仿宋" w:hAnsi="仿宋" w:eastAsia="仿宋" w:cs="仿宋"/>
                <w:i w:val="0"/>
                <w:iCs w:val="0"/>
                <w:color w:val="000000"/>
                <w:sz w:val="13"/>
                <w:szCs w:val="13"/>
                <w:u w:val="none"/>
              </w:rPr>
            </w:pPr>
          </w:p>
        </w:tc>
        <w:tc>
          <w:tcPr>
            <w:tcW w:w="34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F7AA92">
            <w:pPr>
              <w:jc w:val="center"/>
              <w:rPr>
                <w:rFonts w:hint="eastAsia" w:ascii="仿宋" w:hAnsi="仿宋" w:eastAsia="仿宋" w:cs="仿宋"/>
                <w:i w:val="0"/>
                <w:iCs w:val="0"/>
                <w:color w:val="000000"/>
                <w:sz w:val="13"/>
                <w:szCs w:val="13"/>
                <w:u w:val="none"/>
              </w:rPr>
            </w:pPr>
          </w:p>
        </w:tc>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C88E66">
            <w:pPr>
              <w:jc w:val="center"/>
              <w:rPr>
                <w:rFonts w:hint="eastAsia" w:ascii="仿宋" w:hAnsi="仿宋" w:eastAsia="仿宋" w:cs="仿宋"/>
                <w:i w:val="0"/>
                <w:iCs w:val="0"/>
                <w:color w:val="000000"/>
                <w:sz w:val="13"/>
                <w:szCs w:val="13"/>
                <w:u w:val="none"/>
              </w:rPr>
            </w:pPr>
          </w:p>
        </w:tc>
        <w:tc>
          <w:tcPr>
            <w:tcW w:w="2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98A866">
            <w:pPr>
              <w:jc w:val="left"/>
              <w:rPr>
                <w:rFonts w:hint="eastAsia" w:ascii="仿宋" w:hAnsi="仿宋" w:eastAsia="仿宋" w:cs="仿宋"/>
                <w:i w:val="0"/>
                <w:iCs w:val="0"/>
                <w:color w:val="000000"/>
                <w:sz w:val="13"/>
                <w:szCs w:val="13"/>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34DC8">
            <w:pPr>
              <w:jc w:val="center"/>
              <w:rPr>
                <w:rFonts w:hint="eastAsia" w:ascii="仿宋" w:hAnsi="仿宋" w:eastAsia="仿宋" w:cs="仿宋"/>
                <w:i w:val="0"/>
                <w:iCs w:val="0"/>
                <w:color w:val="000000"/>
                <w:sz w:val="36"/>
                <w:szCs w:val="36"/>
                <w:u w:val="none"/>
              </w:rPr>
            </w:pPr>
          </w:p>
        </w:tc>
      </w:tr>
      <w:tr w14:paraId="75C20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70E53">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6</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88A68">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建设工程消防备案</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D44C0">
            <w:pPr>
              <w:jc w:val="center"/>
              <w:rPr>
                <w:rFonts w:hint="eastAsia" w:ascii="仿宋" w:hAnsi="仿宋" w:eastAsia="仿宋" w:cs="仿宋"/>
                <w:i w:val="0"/>
                <w:iCs w:val="0"/>
                <w:color w:val="000000"/>
                <w:sz w:val="13"/>
                <w:szCs w:val="13"/>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ADB77">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其他行政权力</w:t>
            </w:r>
          </w:p>
        </w:tc>
        <w:tc>
          <w:tcPr>
            <w:tcW w:w="4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13A74">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【规章】《建设工程消防设计审查验收管理暂行规定》（2020年1月19日第15次部务会议审议通过，自2020年6月1日起施行。）</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第三条：国务院住房和城乡建设主管部门负责指导监督全国建设工程消防设计审查验收工作。</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县级以上地方人民政府住房和城乡建设主管部门（以下简称消防设计审查验收主管部门）依职责承担本行政区域内建设工程的消防设计审查、消防验收、备案和抽查工作。</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跨行政区域建设工程的消防设计审查、消防验收、备案和抽查工作，由该建设工程所在行政区域消防设计审查验收主管部门共同的上一级主管部门指定负责。</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90049">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米东区建设局</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61223">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质监站</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FC4F9">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A0053">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负责本行政区域建设工程消防备案</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35CA5">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建设工程消防备案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5722A">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直接实施责任：</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1.完善本行政区域内备案工作标准，依法依规实施备案。</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2.监督责任。建立健全监督制度，对本行政区域内的备案活动进行监督检查。</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5423A">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【规章】《建设工程消防设计审查验收管理暂行规定》（2020年1月19日第15次部务会议审议通过，自2020年6月1日起施行。）</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第三条国务院住房和城乡建设主管部门负责指导监督全国建设工程消防设计审查验收工作。</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县级以上地方人民政府住房和城乡建设主管部门（以下简称消防设计审查验收主管部门）依职责承担本行政区域内建设工程的消防设计审查、消防验收、备案和抽查工作。</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747E9">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1.具体承办人；</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2.内设机构负责人；</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3.单位法定代表人或分管领导。</w:t>
            </w:r>
          </w:p>
        </w:tc>
        <w:tc>
          <w:tcPr>
            <w:tcW w:w="2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E512C">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1.玩忽职守，贻误工作的；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2.拒绝执行上级依法作出的决定和命令的；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3.弄虚作假，误导、欺骗领导和公众的；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4.滥用职权，侵害公民、法人或者其他组织的合法权益的；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5.行政权力行使过程中失职、渎职的；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6.行使职权过程中出现腐败行为的；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7.其他违反法律法规规章文件规定的行为。</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03155">
            <w:pPr>
              <w:jc w:val="center"/>
              <w:rPr>
                <w:rFonts w:hint="eastAsia" w:ascii="仿宋" w:hAnsi="仿宋" w:eastAsia="仿宋" w:cs="仿宋"/>
                <w:i w:val="0"/>
                <w:iCs w:val="0"/>
                <w:color w:val="000000"/>
                <w:sz w:val="36"/>
                <w:szCs w:val="36"/>
                <w:u w:val="none"/>
              </w:rPr>
            </w:pPr>
          </w:p>
        </w:tc>
      </w:tr>
      <w:tr w14:paraId="679B7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0" w:hRule="atLeast"/>
        </w:trPr>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89B6F">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7</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6D032">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建设工程招标控制价备案</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317BB">
            <w:pPr>
              <w:jc w:val="center"/>
              <w:rPr>
                <w:rFonts w:hint="eastAsia" w:ascii="仿宋" w:hAnsi="仿宋" w:eastAsia="仿宋" w:cs="仿宋"/>
                <w:i w:val="0"/>
                <w:iCs w:val="0"/>
                <w:color w:val="000000"/>
                <w:sz w:val="13"/>
                <w:szCs w:val="13"/>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0A53F">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其他行政权力</w:t>
            </w:r>
          </w:p>
        </w:tc>
        <w:tc>
          <w:tcPr>
            <w:tcW w:w="4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81E41">
            <w:pPr>
              <w:keepNext w:val="0"/>
              <w:keepLines w:val="0"/>
              <w:widowControl/>
              <w:suppressLineNumbers w:val="0"/>
              <w:jc w:val="both"/>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【规章】《自治区建设工程招标控制价备案及投诉处理办法》（新建造﹝2009﹞4号）</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第三条县级以上住房和城乡建设行政主管部门按照建设工程招标投标监督管理权限，负责限额以内的建设工程招标控制价备案及投诉处理，具体工作可以委托建设工程造价管理机构实施（以下简称造价管理机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第四条招标人在公布招标控制价时，应当填写《建设工程招标控制价备案登记表》一式三份，到工程造价管理机构申请备案。</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5889F">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米东区建设局</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F1DD3">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建管办</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29D8D">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区级</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351AC">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负责本行政区域建设工程招标控制价备案</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322C4">
            <w:pPr>
              <w:keepNext w:val="0"/>
              <w:keepLines w:val="0"/>
              <w:widowControl/>
              <w:suppressLineNumbers w:val="0"/>
              <w:jc w:val="center"/>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建设工程招标控制价备案</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F7495">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直接实施责任：</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1.完善本行政区域内备案工作标准，依法依规实施备案。</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2.监督责任。建立健全监督制度，对本行政区域内的备案活动进行监督检查。</w:t>
            </w:r>
          </w:p>
        </w:tc>
        <w:tc>
          <w:tcPr>
            <w:tcW w:w="3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F6ACD">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【规章】《自治区建设工程招标控制价备案及投诉处理办法》（新建造﹝2009﹞4号）</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第三条县级以上住房和城乡建设行政主管部门按照建设工程招标投标监督管理权限，负责限额以内的建设工程招标控制价备案及投诉处理，具体工作可以委托建设工程造价管理机构实施（以下简称造价管理机构）。</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95517">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1.具体承办人；</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2.内设机构负责人；</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3.单位法定代表人或分管领导。</w:t>
            </w:r>
          </w:p>
        </w:tc>
        <w:tc>
          <w:tcPr>
            <w:tcW w:w="2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C234B">
            <w:pPr>
              <w:keepNext w:val="0"/>
              <w:keepLines w:val="0"/>
              <w:widowControl/>
              <w:suppressLineNumbers w:val="0"/>
              <w:jc w:val="left"/>
              <w:textAlignment w:val="center"/>
              <w:rPr>
                <w:rFonts w:hint="eastAsia" w:ascii="仿宋" w:hAnsi="仿宋" w:eastAsia="仿宋" w:cs="仿宋"/>
                <w:i w:val="0"/>
                <w:iCs w:val="0"/>
                <w:color w:val="000000"/>
                <w:sz w:val="13"/>
                <w:szCs w:val="13"/>
                <w:u w:val="none"/>
              </w:rPr>
            </w:pPr>
            <w:r>
              <w:rPr>
                <w:rFonts w:hint="eastAsia" w:ascii="仿宋" w:hAnsi="仿宋" w:eastAsia="仿宋" w:cs="仿宋"/>
                <w:i w:val="0"/>
                <w:iCs w:val="0"/>
                <w:color w:val="000000"/>
                <w:kern w:val="0"/>
                <w:sz w:val="13"/>
                <w:szCs w:val="13"/>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1.玩忽职守，贻误工作的；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2.拒绝执行上级依法作出的决定和命令的；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3.弄虚作假，误导、欺骗领导和公众的；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4.滥用职权，侵害公民、法人或者其他组织的合法权益的；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5.行政权力行使过程中失职、渎职的；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6.行使职权过程中出现腐败行为的；</w:t>
            </w:r>
            <w:r>
              <w:rPr>
                <w:rFonts w:hint="eastAsia" w:ascii="仿宋" w:hAnsi="仿宋" w:eastAsia="仿宋" w:cs="仿宋"/>
                <w:i w:val="0"/>
                <w:iCs w:val="0"/>
                <w:color w:val="000000"/>
                <w:kern w:val="0"/>
                <w:sz w:val="13"/>
                <w:szCs w:val="13"/>
                <w:u w:val="none"/>
                <w:lang w:val="en-US" w:eastAsia="zh-CN" w:bidi="ar"/>
              </w:rPr>
              <w:br w:type="textWrapping"/>
            </w:r>
            <w:r>
              <w:rPr>
                <w:rFonts w:hint="eastAsia" w:ascii="仿宋" w:hAnsi="仿宋" w:eastAsia="仿宋" w:cs="仿宋"/>
                <w:i w:val="0"/>
                <w:iCs w:val="0"/>
                <w:color w:val="000000"/>
                <w:kern w:val="0"/>
                <w:sz w:val="13"/>
                <w:szCs w:val="13"/>
                <w:u w:val="none"/>
                <w:lang w:val="en-US" w:eastAsia="zh-CN" w:bidi="ar"/>
              </w:rPr>
              <w:t>7.其他违反法律法规规章文件规定的行为。</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12B3D">
            <w:pPr>
              <w:keepNext w:val="0"/>
              <w:keepLines w:val="0"/>
              <w:widowControl/>
              <w:suppressLineNumbers w:val="0"/>
              <w:jc w:val="center"/>
              <w:textAlignment w:val="center"/>
              <w:rPr>
                <w:rFonts w:hint="eastAsia" w:ascii="仿宋" w:hAnsi="仿宋" w:eastAsia="仿宋" w:cs="仿宋"/>
                <w:b/>
                <w:bCs/>
                <w:i w:val="0"/>
                <w:iCs w:val="0"/>
                <w:color w:val="FF0000"/>
                <w:sz w:val="36"/>
                <w:szCs w:val="36"/>
                <w:u w:val="none"/>
              </w:rPr>
            </w:pPr>
          </w:p>
        </w:tc>
      </w:tr>
      <w:tr w14:paraId="2F83D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0" w:hRule="atLeast"/>
        </w:trPr>
        <w:tc>
          <w:tcPr>
            <w:tcW w:w="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E6585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019E63">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建设工程竣工结算文件备案</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98D48B">
            <w:pPr>
              <w:jc w:val="center"/>
              <w:rPr>
                <w:rFonts w:hint="eastAsia" w:ascii="仿宋" w:hAnsi="仿宋" w:eastAsia="仿宋" w:cs="仿宋"/>
                <w:i w:val="0"/>
                <w:iCs w:val="0"/>
                <w:color w:val="000000"/>
                <w:sz w:val="21"/>
                <w:szCs w:val="21"/>
                <w:u w:val="none"/>
              </w:rPr>
            </w:pPr>
          </w:p>
        </w:tc>
        <w:tc>
          <w:tcPr>
            <w:tcW w:w="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63D1AB">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其他行政权力</w:t>
            </w:r>
          </w:p>
        </w:tc>
        <w:tc>
          <w:tcPr>
            <w:tcW w:w="40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4873DB">
            <w:pPr>
              <w:keepNext w:val="0"/>
              <w:keepLines w:val="0"/>
              <w:widowControl/>
              <w:suppressLineNumbers w:val="0"/>
              <w:jc w:val="both"/>
              <w:textAlignment w:val="center"/>
              <w:rPr>
                <w:rFonts w:hint="eastAsia" w:ascii="仿宋" w:hAnsi="仿宋" w:eastAsia="仿宋" w:cs="仿宋"/>
                <w:i w:val="0"/>
                <w:iCs w:val="0"/>
                <w:color w:val="000000"/>
                <w:sz w:val="11"/>
                <w:szCs w:val="11"/>
                <w:u w:val="none"/>
              </w:rPr>
            </w:pPr>
            <w:r>
              <w:rPr>
                <w:rFonts w:hint="eastAsia" w:ascii="仿宋" w:hAnsi="仿宋" w:eastAsia="仿宋" w:cs="仿宋"/>
                <w:i w:val="0"/>
                <w:iCs w:val="0"/>
                <w:color w:val="000000"/>
                <w:kern w:val="0"/>
                <w:sz w:val="10"/>
                <w:szCs w:val="10"/>
                <w:u w:val="none"/>
                <w:lang w:val="en-US" w:eastAsia="zh-CN" w:bidi="ar"/>
              </w:rPr>
              <w:t>【规章】《新疆维吾尔自治区建设工程造价管理办法》（2006年5月12日自治区人民政府令第138号发布根据2010年12月13日自治区人民政府令第165号修正）</w:t>
            </w:r>
            <w:r>
              <w:rPr>
                <w:rFonts w:hint="eastAsia" w:ascii="仿宋" w:hAnsi="仿宋" w:eastAsia="仿宋" w:cs="仿宋"/>
                <w:i w:val="0"/>
                <w:iCs w:val="0"/>
                <w:color w:val="000000"/>
                <w:kern w:val="0"/>
                <w:sz w:val="10"/>
                <w:szCs w:val="10"/>
                <w:u w:val="none"/>
                <w:lang w:val="en-US" w:eastAsia="zh-CN" w:bidi="ar"/>
              </w:rPr>
              <w:br w:type="textWrapping"/>
            </w:r>
            <w:r>
              <w:rPr>
                <w:rFonts w:hint="eastAsia" w:ascii="仿宋" w:hAnsi="仿宋" w:eastAsia="仿宋" w:cs="仿宋"/>
                <w:i w:val="0"/>
                <w:iCs w:val="0"/>
                <w:color w:val="000000"/>
                <w:kern w:val="0"/>
                <w:sz w:val="10"/>
                <w:szCs w:val="10"/>
                <w:u w:val="none"/>
                <w:lang w:val="en-US" w:eastAsia="zh-CN" w:bidi="ar"/>
              </w:rPr>
              <w:t>第四条县级以上人民政府建设行政主管部门负责本行政区域的建设工程造价管理，具体工作可以委托建设工程造价管理机构负责。</w:t>
            </w:r>
            <w:r>
              <w:rPr>
                <w:rFonts w:hint="eastAsia" w:ascii="仿宋" w:hAnsi="仿宋" w:eastAsia="仿宋" w:cs="仿宋"/>
                <w:i w:val="0"/>
                <w:iCs w:val="0"/>
                <w:color w:val="000000"/>
                <w:kern w:val="0"/>
                <w:sz w:val="10"/>
                <w:szCs w:val="10"/>
                <w:u w:val="none"/>
                <w:lang w:val="en-US" w:eastAsia="zh-CN" w:bidi="ar"/>
              </w:rPr>
              <w:br w:type="textWrapping"/>
            </w:r>
            <w:r>
              <w:rPr>
                <w:rFonts w:hint="eastAsia" w:ascii="仿宋" w:hAnsi="仿宋" w:eastAsia="仿宋" w:cs="仿宋"/>
                <w:i w:val="0"/>
                <w:iCs w:val="0"/>
                <w:color w:val="000000"/>
                <w:kern w:val="0"/>
                <w:sz w:val="10"/>
                <w:szCs w:val="10"/>
                <w:u w:val="none"/>
                <w:lang w:val="en-US" w:eastAsia="zh-CN" w:bidi="ar"/>
              </w:rPr>
              <w:t>第十九条发包人在收到竣工结算文件后的约定期限内进行审核，并予以答复。政府投资建设的项目，竣工结算文件由同级财政部门直接审查，也可以委托具有相应资质的工程造价咨询机构审查，审查期限为90日。结算价在2500万元以下的，审查期限不得超过30日。由财政部门审查或者委托审查的建设工程项目竣工结算资料，应当抄送同级建设行政主管部门备案。</w:t>
            </w:r>
            <w:r>
              <w:rPr>
                <w:rFonts w:hint="eastAsia" w:ascii="仿宋" w:hAnsi="仿宋" w:eastAsia="仿宋" w:cs="仿宋"/>
                <w:i w:val="0"/>
                <w:iCs w:val="0"/>
                <w:color w:val="000000"/>
                <w:kern w:val="0"/>
                <w:sz w:val="10"/>
                <w:szCs w:val="10"/>
                <w:u w:val="none"/>
                <w:lang w:val="en-US" w:eastAsia="zh-CN" w:bidi="ar"/>
              </w:rPr>
              <w:br w:type="textWrapping"/>
            </w:r>
            <w:r>
              <w:rPr>
                <w:rFonts w:hint="eastAsia" w:ascii="仿宋" w:hAnsi="仿宋" w:eastAsia="仿宋" w:cs="仿宋"/>
                <w:i w:val="0"/>
                <w:iCs w:val="0"/>
                <w:color w:val="000000"/>
                <w:kern w:val="0"/>
                <w:sz w:val="10"/>
                <w:szCs w:val="10"/>
                <w:u w:val="none"/>
                <w:lang w:val="en-US" w:eastAsia="zh-CN" w:bidi="ar"/>
              </w:rPr>
              <w:t>【规章】《关于加强自治区建设工程竣工结算文件备案工作的通知》（新建造﹝2011﹞1号）</w:t>
            </w:r>
            <w:r>
              <w:rPr>
                <w:rFonts w:hint="eastAsia" w:ascii="仿宋" w:hAnsi="仿宋" w:eastAsia="仿宋" w:cs="仿宋"/>
                <w:i w:val="0"/>
                <w:iCs w:val="0"/>
                <w:color w:val="000000"/>
                <w:kern w:val="0"/>
                <w:sz w:val="10"/>
                <w:szCs w:val="10"/>
                <w:u w:val="none"/>
                <w:lang w:val="en-US" w:eastAsia="zh-CN" w:bidi="ar"/>
              </w:rPr>
              <w:br w:type="textWrapping"/>
            </w:r>
            <w:r>
              <w:rPr>
                <w:rFonts w:hint="eastAsia" w:ascii="仿宋" w:hAnsi="仿宋" w:eastAsia="仿宋" w:cs="仿宋"/>
                <w:i w:val="0"/>
                <w:iCs w:val="0"/>
                <w:color w:val="000000"/>
                <w:kern w:val="0"/>
                <w:sz w:val="10"/>
                <w:szCs w:val="10"/>
                <w:u w:val="none"/>
                <w:lang w:val="en-US" w:eastAsia="zh-CN" w:bidi="ar"/>
              </w:rPr>
              <w:t>第二条竣工结算文件备案工作由各级建设工程造价管理机构负责，工程造价管理机构按照建设工程招标投标监督管理权限划分，负责受理限额以内的建设工程竣工结算备案。</w:t>
            </w:r>
            <w:r>
              <w:rPr>
                <w:rFonts w:hint="eastAsia" w:ascii="仿宋" w:hAnsi="仿宋" w:eastAsia="仿宋" w:cs="仿宋"/>
                <w:i w:val="0"/>
                <w:iCs w:val="0"/>
                <w:color w:val="000000"/>
                <w:kern w:val="0"/>
                <w:sz w:val="10"/>
                <w:szCs w:val="10"/>
                <w:u w:val="none"/>
                <w:lang w:val="en-US" w:eastAsia="zh-CN" w:bidi="ar"/>
              </w:rPr>
              <w:br w:type="textWrapping"/>
            </w:r>
            <w:r>
              <w:rPr>
                <w:rFonts w:hint="eastAsia" w:ascii="仿宋" w:hAnsi="仿宋" w:eastAsia="仿宋" w:cs="仿宋"/>
                <w:i w:val="0"/>
                <w:iCs w:val="0"/>
                <w:color w:val="000000"/>
                <w:kern w:val="0"/>
                <w:sz w:val="10"/>
                <w:szCs w:val="10"/>
                <w:u w:val="none"/>
                <w:lang w:val="en-US" w:eastAsia="zh-CN" w:bidi="ar"/>
              </w:rPr>
              <w:t>【规章】《新疆维吾尔自治区建筑工程竣工结算备案办法》（新建标﹝2018﹞9号</w:t>
            </w:r>
            <w:r>
              <w:rPr>
                <w:rFonts w:hint="eastAsia" w:ascii="仿宋" w:hAnsi="仿宋" w:eastAsia="仿宋" w:cs="仿宋"/>
                <w:i w:val="0"/>
                <w:iCs w:val="0"/>
                <w:color w:val="000000"/>
                <w:kern w:val="0"/>
                <w:sz w:val="10"/>
                <w:szCs w:val="10"/>
                <w:u w:val="none"/>
                <w:lang w:val="en-US" w:eastAsia="zh-CN" w:bidi="ar"/>
              </w:rPr>
              <w:br w:type="textWrapping"/>
            </w:r>
            <w:r>
              <w:rPr>
                <w:rFonts w:hint="eastAsia" w:ascii="仿宋" w:hAnsi="仿宋" w:eastAsia="仿宋" w:cs="仿宋"/>
                <w:i w:val="0"/>
                <w:iCs w:val="0"/>
                <w:color w:val="000000"/>
                <w:kern w:val="0"/>
                <w:sz w:val="10"/>
                <w:szCs w:val="10"/>
                <w:u w:val="none"/>
                <w:lang w:val="en-US" w:eastAsia="zh-CN" w:bidi="ar"/>
              </w:rPr>
              <w:t>第三条自治区住房城乡建设行政主管部门负责全区建筑工程竣工结算备案的监督管理，负责自治区本级招标投标的建筑工程竣工结算备案工作，具体工作由自治区工程造价管理机构实施。</w:t>
            </w:r>
            <w:r>
              <w:rPr>
                <w:rFonts w:hint="eastAsia" w:ascii="仿宋" w:hAnsi="仿宋" w:eastAsia="仿宋" w:cs="仿宋"/>
                <w:i w:val="0"/>
                <w:iCs w:val="0"/>
                <w:color w:val="000000"/>
                <w:kern w:val="0"/>
                <w:sz w:val="10"/>
                <w:szCs w:val="10"/>
                <w:u w:val="none"/>
                <w:lang w:val="en-US" w:eastAsia="zh-CN" w:bidi="ar"/>
              </w:rPr>
              <w:br w:type="textWrapping"/>
            </w:r>
            <w:r>
              <w:rPr>
                <w:rFonts w:hint="eastAsia" w:ascii="仿宋" w:hAnsi="仿宋" w:eastAsia="仿宋" w:cs="仿宋"/>
                <w:i w:val="0"/>
                <w:iCs w:val="0"/>
                <w:color w:val="000000"/>
                <w:kern w:val="0"/>
                <w:sz w:val="10"/>
                <w:szCs w:val="10"/>
                <w:u w:val="none"/>
                <w:lang w:val="en-US" w:eastAsia="zh-CN" w:bidi="ar"/>
              </w:rPr>
              <w:t>州、市（地）住房城乡建设行政主管部门负责行政区域内建筑工程竣工结算备案的监督管理，负责本级招标投标的建筑工程和依法不需进行招标的建筑工程竣工结算备案工作，具体工作由所属工程造价管理机构实施。</w:t>
            </w:r>
          </w:p>
        </w:tc>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E855EA">
            <w:pPr>
              <w:keepNext w:val="0"/>
              <w:keepLines w:val="0"/>
              <w:widowControl/>
              <w:suppressLineNumbers w:val="0"/>
              <w:jc w:val="center"/>
              <w:textAlignment w:val="center"/>
              <w:rPr>
                <w:rFonts w:hint="eastAsia" w:ascii="仿宋" w:hAnsi="仿宋" w:eastAsia="仿宋" w:cs="仿宋"/>
                <w:i w:val="0"/>
                <w:iCs w:val="0"/>
                <w:color w:val="000000"/>
                <w:sz w:val="11"/>
                <w:szCs w:val="11"/>
                <w:u w:val="none"/>
              </w:rPr>
            </w:pPr>
            <w:r>
              <w:rPr>
                <w:rFonts w:hint="eastAsia" w:ascii="仿宋" w:hAnsi="仿宋" w:eastAsia="仿宋" w:cs="仿宋"/>
                <w:i w:val="0"/>
                <w:iCs w:val="0"/>
                <w:color w:val="000000"/>
                <w:kern w:val="0"/>
                <w:sz w:val="11"/>
                <w:szCs w:val="11"/>
                <w:u w:val="none"/>
                <w:lang w:val="en-US" w:eastAsia="zh-CN" w:bidi="ar"/>
              </w:rPr>
              <w:t>米东区建设局</w:t>
            </w:r>
          </w:p>
        </w:tc>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A73643">
            <w:pPr>
              <w:keepNext w:val="0"/>
              <w:keepLines w:val="0"/>
              <w:widowControl/>
              <w:suppressLineNumbers w:val="0"/>
              <w:jc w:val="center"/>
              <w:textAlignment w:val="center"/>
              <w:rPr>
                <w:rFonts w:hint="eastAsia" w:ascii="仿宋" w:hAnsi="仿宋" w:eastAsia="仿宋" w:cs="仿宋"/>
                <w:i w:val="0"/>
                <w:iCs w:val="0"/>
                <w:color w:val="000000"/>
                <w:sz w:val="11"/>
                <w:szCs w:val="11"/>
                <w:u w:val="none"/>
              </w:rPr>
            </w:pPr>
            <w:r>
              <w:rPr>
                <w:rFonts w:hint="eastAsia" w:ascii="仿宋" w:hAnsi="仿宋" w:eastAsia="仿宋" w:cs="仿宋"/>
                <w:i w:val="0"/>
                <w:iCs w:val="0"/>
                <w:color w:val="000000"/>
                <w:kern w:val="0"/>
                <w:sz w:val="11"/>
                <w:szCs w:val="11"/>
                <w:u w:val="none"/>
                <w:lang w:val="en-US" w:eastAsia="zh-CN" w:bidi="ar"/>
              </w:rPr>
              <w:t>建管办</w:t>
            </w:r>
          </w:p>
        </w:tc>
        <w:tc>
          <w:tcPr>
            <w:tcW w:w="4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0DCFFC">
            <w:pPr>
              <w:keepNext w:val="0"/>
              <w:keepLines w:val="0"/>
              <w:widowControl/>
              <w:suppressLineNumbers w:val="0"/>
              <w:jc w:val="center"/>
              <w:textAlignment w:val="center"/>
              <w:rPr>
                <w:rFonts w:hint="eastAsia" w:ascii="仿宋" w:hAnsi="仿宋" w:eastAsia="仿宋" w:cs="仿宋"/>
                <w:i w:val="0"/>
                <w:iCs w:val="0"/>
                <w:color w:val="000000"/>
                <w:sz w:val="11"/>
                <w:szCs w:val="11"/>
                <w:u w:val="none"/>
              </w:rPr>
            </w:pPr>
            <w:r>
              <w:rPr>
                <w:rFonts w:hint="eastAsia" w:ascii="仿宋" w:hAnsi="仿宋" w:eastAsia="仿宋" w:cs="仿宋"/>
                <w:i w:val="0"/>
                <w:iCs w:val="0"/>
                <w:color w:val="000000"/>
                <w:kern w:val="0"/>
                <w:sz w:val="11"/>
                <w:szCs w:val="11"/>
                <w:u w:val="none"/>
                <w:lang w:val="en-US" w:eastAsia="zh-CN" w:bidi="ar"/>
              </w:rPr>
              <w:t>区级</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771542">
            <w:pPr>
              <w:keepNext w:val="0"/>
              <w:keepLines w:val="0"/>
              <w:widowControl/>
              <w:suppressLineNumbers w:val="0"/>
              <w:jc w:val="center"/>
              <w:textAlignment w:val="center"/>
              <w:rPr>
                <w:rFonts w:hint="eastAsia" w:ascii="仿宋" w:hAnsi="仿宋" w:eastAsia="仿宋" w:cs="仿宋"/>
                <w:i w:val="0"/>
                <w:iCs w:val="0"/>
                <w:color w:val="000000"/>
                <w:sz w:val="11"/>
                <w:szCs w:val="11"/>
                <w:u w:val="none"/>
              </w:rPr>
            </w:pPr>
            <w:r>
              <w:rPr>
                <w:rFonts w:hint="eastAsia" w:ascii="仿宋" w:hAnsi="仿宋" w:eastAsia="仿宋" w:cs="仿宋"/>
                <w:i w:val="0"/>
                <w:iCs w:val="0"/>
                <w:color w:val="000000"/>
                <w:kern w:val="0"/>
                <w:sz w:val="11"/>
                <w:szCs w:val="11"/>
                <w:u w:val="none"/>
                <w:lang w:val="en-US" w:eastAsia="zh-CN" w:bidi="ar"/>
              </w:rPr>
              <w:t>负责本行政区域建设工程竣工结算文件备案</w:t>
            </w:r>
          </w:p>
        </w:tc>
        <w:tc>
          <w:tcPr>
            <w:tcW w:w="15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1051F8">
            <w:pPr>
              <w:keepNext w:val="0"/>
              <w:keepLines w:val="0"/>
              <w:widowControl/>
              <w:suppressLineNumbers w:val="0"/>
              <w:jc w:val="center"/>
              <w:textAlignment w:val="center"/>
              <w:rPr>
                <w:rFonts w:hint="eastAsia" w:ascii="仿宋" w:hAnsi="仿宋" w:eastAsia="仿宋" w:cs="仿宋"/>
                <w:i w:val="0"/>
                <w:iCs w:val="0"/>
                <w:color w:val="000000"/>
                <w:sz w:val="11"/>
                <w:szCs w:val="11"/>
                <w:u w:val="none"/>
              </w:rPr>
            </w:pPr>
            <w:r>
              <w:rPr>
                <w:rFonts w:hint="eastAsia" w:ascii="仿宋" w:hAnsi="仿宋" w:eastAsia="仿宋" w:cs="仿宋"/>
                <w:i w:val="0"/>
                <w:iCs w:val="0"/>
                <w:color w:val="000000"/>
                <w:kern w:val="0"/>
                <w:sz w:val="11"/>
                <w:szCs w:val="11"/>
                <w:u w:val="none"/>
                <w:lang w:val="en-US" w:eastAsia="zh-CN" w:bidi="ar"/>
              </w:rPr>
              <w:t>建设工程竣工结算文件备案</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4EA45C">
            <w:pPr>
              <w:keepNext w:val="0"/>
              <w:keepLines w:val="0"/>
              <w:widowControl/>
              <w:suppressLineNumbers w:val="0"/>
              <w:jc w:val="center"/>
              <w:textAlignment w:val="center"/>
              <w:rPr>
                <w:rFonts w:hint="eastAsia" w:ascii="仿宋" w:hAnsi="仿宋" w:eastAsia="仿宋" w:cs="仿宋"/>
                <w:i w:val="0"/>
                <w:iCs w:val="0"/>
                <w:color w:val="000000"/>
                <w:sz w:val="11"/>
                <w:szCs w:val="11"/>
                <w:u w:val="none"/>
              </w:rPr>
            </w:pPr>
            <w:r>
              <w:rPr>
                <w:rFonts w:hint="eastAsia" w:ascii="仿宋" w:hAnsi="仿宋" w:eastAsia="仿宋" w:cs="仿宋"/>
                <w:i w:val="0"/>
                <w:iCs w:val="0"/>
                <w:color w:val="000000"/>
                <w:kern w:val="0"/>
                <w:sz w:val="11"/>
                <w:szCs w:val="11"/>
                <w:u w:val="none"/>
                <w:lang w:val="en-US" w:eastAsia="zh-CN" w:bidi="ar"/>
              </w:rPr>
              <w:t>直接实施责任：</w:t>
            </w:r>
            <w:r>
              <w:rPr>
                <w:rFonts w:hint="eastAsia" w:ascii="仿宋" w:hAnsi="仿宋" w:eastAsia="仿宋" w:cs="仿宋"/>
                <w:i w:val="0"/>
                <w:iCs w:val="0"/>
                <w:color w:val="000000"/>
                <w:kern w:val="0"/>
                <w:sz w:val="11"/>
                <w:szCs w:val="11"/>
                <w:u w:val="none"/>
                <w:lang w:val="en-US" w:eastAsia="zh-CN" w:bidi="ar"/>
              </w:rPr>
              <w:br w:type="textWrapping"/>
            </w:r>
            <w:r>
              <w:rPr>
                <w:rFonts w:hint="eastAsia" w:ascii="仿宋" w:hAnsi="仿宋" w:eastAsia="仿宋" w:cs="仿宋"/>
                <w:i w:val="0"/>
                <w:iCs w:val="0"/>
                <w:color w:val="000000"/>
                <w:kern w:val="0"/>
                <w:sz w:val="11"/>
                <w:szCs w:val="11"/>
                <w:u w:val="none"/>
                <w:lang w:val="en-US" w:eastAsia="zh-CN" w:bidi="ar"/>
              </w:rPr>
              <w:t>1.完善本行政区域内备案工作标准，依法依规实施备案。</w:t>
            </w:r>
            <w:r>
              <w:rPr>
                <w:rFonts w:hint="eastAsia" w:ascii="仿宋" w:hAnsi="仿宋" w:eastAsia="仿宋" w:cs="仿宋"/>
                <w:i w:val="0"/>
                <w:iCs w:val="0"/>
                <w:color w:val="000000"/>
                <w:kern w:val="0"/>
                <w:sz w:val="11"/>
                <w:szCs w:val="11"/>
                <w:u w:val="none"/>
                <w:lang w:val="en-US" w:eastAsia="zh-CN" w:bidi="ar"/>
              </w:rPr>
              <w:br w:type="textWrapping"/>
            </w:r>
            <w:r>
              <w:rPr>
                <w:rFonts w:hint="eastAsia" w:ascii="仿宋" w:hAnsi="仿宋" w:eastAsia="仿宋" w:cs="仿宋"/>
                <w:i w:val="0"/>
                <w:iCs w:val="0"/>
                <w:color w:val="000000"/>
                <w:kern w:val="0"/>
                <w:sz w:val="11"/>
                <w:szCs w:val="11"/>
                <w:u w:val="none"/>
                <w:lang w:val="en-US" w:eastAsia="zh-CN" w:bidi="ar"/>
              </w:rPr>
              <w:t>2.监督责任。建立健全监督制度，对本行政区域内的备案活动进行监督检查。</w:t>
            </w:r>
          </w:p>
        </w:tc>
        <w:tc>
          <w:tcPr>
            <w:tcW w:w="34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45B79F">
            <w:pPr>
              <w:keepNext w:val="0"/>
              <w:keepLines w:val="0"/>
              <w:widowControl/>
              <w:suppressLineNumbers w:val="0"/>
              <w:jc w:val="center"/>
              <w:textAlignment w:val="center"/>
              <w:rPr>
                <w:rFonts w:hint="eastAsia" w:ascii="仿宋" w:hAnsi="仿宋" w:eastAsia="仿宋" w:cs="仿宋"/>
                <w:i w:val="0"/>
                <w:iCs w:val="0"/>
                <w:color w:val="000000"/>
                <w:sz w:val="11"/>
                <w:szCs w:val="11"/>
                <w:u w:val="none"/>
              </w:rPr>
            </w:pPr>
            <w:r>
              <w:rPr>
                <w:rFonts w:hint="eastAsia" w:ascii="仿宋" w:hAnsi="仿宋" w:eastAsia="仿宋" w:cs="仿宋"/>
                <w:i w:val="0"/>
                <w:iCs w:val="0"/>
                <w:color w:val="000000"/>
                <w:kern w:val="0"/>
                <w:sz w:val="11"/>
                <w:szCs w:val="11"/>
                <w:u w:val="none"/>
                <w:lang w:val="en-US" w:eastAsia="zh-CN" w:bidi="ar"/>
              </w:rPr>
              <w:t>【规章】《新疆维吾尔自治区建设工程造价管理办法》（2006年5月12日自治区人民政府令第138号发布根据2010年12月13日自治区人民政府令第165号修正）</w:t>
            </w:r>
            <w:r>
              <w:rPr>
                <w:rFonts w:hint="eastAsia" w:ascii="仿宋" w:hAnsi="仿宋" w:eastAsia="仿宋" w:cs="仿宋"/>
                <w:i w:val="0"/>
                <w:iCs w:val="0"/>
                <w:color w:val="000000"/>
                <w:kern w:val="0"/>
                <w:sz w:val="11"/>
                <w:szCs w:val="11"/>
                <w:u w:val="none"/>
                <w:lang w:val="en-US" w:eastAsia="zh-CN" w:bidi="ar"/>
              </w:rPr>
              <w:br w:type="textWrapping"/>
            </w:r>
            <w:r>
              <w:rPr>
                <w:rFonts w:hint="eastAsia" w:ascii="仿宋" w:hAnsi="仿宋" w:eastAsia="仿宋" w:cs="仿宋"/>
                <w:i w:val="0"/>
                <w:iCs w:val="0"/>
                <w:color w:val="000000"/>
                <w:kern w:val="0"/>
                <w:sz w:val="11"/>
                <w:szCs w:val="11"/>
                <w:u w:val="none"/>
                <w:lang w:val="en-US" w:eastAsia="zh-CN" w:bidi="ar"/>
              </w:rPr>
              <w:t>第四条县级以上人民政府住房和城乡建设行政主管部门负责本行政区域的建设工程造价管理，具体工作委托建设工程造价管理机构负责。</w:t>
            </w:r>
          </w:p>
        </w:tc>
        <w:tc>
          <w:tcPr>
            <w:tcW w:w="1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CC1C19">
            <w:pPr>
              <w:keepNext w:val="0"/>
              <w:keepLines w:val="0"/>
              <w:widowControl/>
              <w:suppressLineNumbers w:val="0"/>
              <w:jc w:val="center"/>
              <w:textAlignment w:val="center"/>
              <w:rPr>
                <w:rFonts w:hint="eastAsia" w:ascii="仿宋" w:hAnsi="仿宋" w:eastAsia="仿宋" w:cs="仿宋"/>
                <w:i w:val="0"/>
                <w:iCs w:val="0"/>
                <w:color w:val="000000"/>
                <w:sz w:val="11"/>
                <w:szCs w:val="11"/>
                <w:u w:val="none"/>
              </w:rPr>
            </w:pPr>
            <w:r>
              <w:rPr>
                <w:rFonts w:hint="eastAsia" w:ascii="仿宋" w:hAnsi="仿宋" w:eastAsia="仿宋" w:cs="仿宋"/>
                <w:i w:val="0"/>
                <w:iCs w:val="0"/>
                <w:color w:val="000000"/>
                <w:kern w:val="0"/>
                <w:sz w:val="11"/>
                <w:szCs w:val="11"/>
                <w:u w:val="none"/>
                <w:lang w:val="en-US" w:eastAsia="zh-CN" w:bidi="ar"/>
              </w:rPr>
              <w:t>1.具体承办人；</w:t>
            </w:r>
            <w:r>
              <w:rPr>
                <w:rFonts w:hint="eastAsia" w:ascii="仿宋" w:hAnsi="仿宋" w:eastAsia="仿宋" w:cs="仿宋"/>
                <w:i w:val="0"/>
                <w:iCs w:val="0"/>
                <w:color w:val="000000"/>
                <w:kern w:val="0"/>
                <w:sz w:val="11"/>
                <w:szCs w:val="11"/>
                <w:u w:val="none"/>
                <w:lang w:val="en-US" w:eastAsia="zh-CN" w:bidi="ar"/>
              </w:rPr>
              <w:br w:type="textWrapping"/>
            </w:r>
            <w:r>
              <w:rPr>
                <w:rFonts w:hint="eastAsia" w:ascii="仿宋" w:hAnsi="仿宋" w:eastAsia="仿宋" w:cs="仿宋"/>
                <w:i w:val="0"/>
                <w:iCs w:val="0"/>
                <w:color w:val="000000"/>
                <w:kern w:val="0"/>
                <w:sz w:val="11"/>
                <w:szCs w:val="11"/>
                <w:u w:val="none"/>
                <w:lang w:val="en-US" w:eastAsia="zh-CN" w:bidi="ar"/>
              </w:rPr>
              <w:t>2.内设机构负责人；</w:t>
            </w:r>
            <w:r>
              <w:rPr>
                <w:rFonts w:hint="eastAsia" w:ascii="仿宋" w:hAnsi="仿宋" w:eastAsia="仿宋" w:cs="仿宋"/>
                <w:i w:val="0"/>
                <w:iCs w:val="0"/>
                <w:color w:val="000000"/>
                <w:kern w:val="0"/>
                <w:sz w:val="11"/>
                <w:szCs w:val="11"/>
                <w:u w:val="none"/>
                <w:lang w:val="en-US" w:eastAsia="zh-CN" w:bidi="ar"/>
              </w:rPr>
              <w:br w:type="textWrapping"/>
            </w:r>
            <w:r>
              <w:rPr>
                <w:rFonts w:hint="eastAsia" w:ascii="仿宋" w:hAnsi="仿宋" w:eastAsia="仿宋" w:cs="仿宋"/>
                <w:i w:val="0"/>
                <w:iCs w:val="0"/>
                <w:color w:val="000000"/>
                <w:kern w:val="0"/>
                <w:sz w:val="11"/>
                <w:szCs w:val="11"/>
                <w:u w:val="none"/>
                <w:lang w:val="en-US" w:eastAsia="zh-CN" w:bidi="ar"/>
              </w:rPr>
              <w:t>3.单位法定代表人或分管领导。</w:t>
            </w:r>
          </w:p>
        </w:tc>
        <w:tc>
          <w:tcPr>
            <w:tcW w:w="28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73F253">
            <w:pPr>
              <w:keepNext w:val="0"/>
              <w:keepLines w:val="0"/>
              <w:widowControl/>
              <w:suppressLineNumbers w:val="0"/>
              <w:jc w:val="left"/>
              <w:textAlignment w:val="center"/>
              <w:rPr>
                <w:rFonts w:hint="eastAsia" w:ascii="仿宋" w:hAnsi="仿宋" w:eastAsia="仿宋" w:cs="仿宋"/>
                <w:i w:val="0"/>
                <w:iCs w:val="0"/>
                <w:color w:val="000000"/>
                <w:sz w:val="11"/>
                <w:szCs w:val="11"/>
                <w:u w:val="none"/>
              </w:rPr>
            </w:pPr>
            <w:r>
              <w:rPr>
                <w:rFonts w:hint="eastAsia" w:ascii="仿宋" w:hAnsi="仿宋" w:eastAsia="仿宋" w:cs="仿宋"/>
                <w:i w:val="0"/>
                <w:iCs w:val="0"/>
                <w:color w:val="000000"/>
                <w:kern w:val="0"/>
                <w:sz w:val="11"/>
                <w:szCs w:val="11"/>
                <w:u w:val="none"/>
                <w:lang w:val="en-US" w:eastAsia="zh-CN" w:bidi="ar"/>
              </w:rPr>
              <w:t>因不履行或不正确履行行政职责，有下列情形的，行政机关及相关工作人员应承担相应的责任：</w:t>
            </w:r>
            <w:r>
              <w:rPr>
                <w:rFonts w:hint="eastAsia" w:ascii="仿宋" w:hAnsi="仿宋" w:eastAsia="仿宋" w:cs="仿宋"/>
                <w:i w:val="0"/>
                <w:iCs w:val="0"/>
                <w:color w:val="000000"/>
                <w:kern w:val="0"/>
                <w:sz w:val="11"/>
                <w:szCs w:val="11"/>
                <w:u w:val="none"/>
                <w:lang w:val="en-US" w:eastAsia="zh-CN" w:bidi="ar"/>
              </w:rPr>
              <w:br w:type="textWrapping"/>
            </w:r>
            <w:r>
              <w:rPr>
                <w:rFonts w:hint="eastAsia" w:ascii="仿宋" w:hAnsi="仿宋" w:eastAsia="仿宋" w:cs="仿宋"/>
                <w:i w:val="0"/>
                <w:iCs w:val="0"/>
                <w:color w:val="000000"/>
                <w:kern w:val="0"/>
                <w:sz w:val="11"/>
                <w:szCs w:val="11"/>
                <w:u w:val="none"/>
                <w:lang w:val="en-US" w:eastAsia="zh-CN" w:bidi="ar"/>
              </w:rPr>
              <w:t>1.玩忽职守，贻误工作的；</w:t>
            </w:r>
            <w:r>
              <w:rPr>
                <w:rFonts w:hint="eastAsia" w:ascii="仿宋" w:hAnsi="仿宋" w:eastAsia="仿宋" w:cs="仿宋"/>
                <w:i w:val="0"/>
                <w:iCs w:val="0"/>
                <w:color w:val="000000"/>
                <w:kern w:val="0"/>
                <w:sz w:val="11"/>
                <w:szCs w:val="11"/>
                <w:u w:val="none"/>
                <w:lang w:val="en-US" w:eastAsia="zh-CN" w:bidi="ar"/>
              </w:rPr>
              <w:br w:type="textWrapping"/>
            </w:r>
            <w:r>
              <w:rPr>
                <w:rFonts w:hint="eastAsia" w:ascii="仿宋" w:hAnsi="仿宋" w:eastAsia="仿宋" w:cs="仿宋"/>
                <w:i w:val="0"/>
                <w:iCs w:val="0"/>
                <w:color w:val="000000"/>
                <w:kern w:val="0"/>
                <w:sz w:val="11"/>
                <w:szCs w:val="11"/>
                <w:u w:val="none"/>
                <w:lang w:val="en-US" w:eastAsia="zh-CN" w:bidi="ar"/>
              </w:rPr>
              <w:t>2.拒绝执行上级依法作出的决定和命令的；</w:t>
            </w:r>
            <w:r>
              <w:rPr>
                <w:rFonts w:hint="eastAsia" w:ascii="仿宋" w:hAnsi="仿宋" w:eastAsia="仿宋" w:cs="仿宋"/>
                <w:i w:val="0"/>
                <w:iCs w:val="0"/>
                <w:color w:val="000000"/>
                <w:kern w:val="0"/>
                <w:sz w:val="11"/>
                <w:szCs w:val="11"/>
                <w:u w:val="none"/>
                <w:lang w:val="en-US" w:eastAsia="zh-CN" w:bidi="ar"/>
              </w:rPr>
              <w:br w:type="textWrapping"/>
            </w:r>
            <w:r>
              <w:rPr>
                <w:rFonts w:hint="eastAsia" w:ascii="仿宋" w:hAnsi="仿宋" w:eastAsia="仿宋" w:cs="仿宋"/>
                <w:i w:val="0"/>
                <w:iCs w:val="0"/>
                <w:color w:val="000000"/>
                <w:kern w:val="0"/>
                <w:sz w:val="11"/>
                <w:szCs w:val="11"/>
                <w:u w:val="none"/>
                <w:lang w:val="en-US" w:eastAsia="zh-CN" w:bidi="ar"/>
              </w:rPr>
              <w:t>3.弄虚作假，误导、欺骗领导和公众的；</w:t>
            </w:r>
            <w:r>
              <w:rPr>
                <w:rFonts w:hint="eastAsia" w:ascii="仿宋" w:hAnsi="仿宋" w:eastAsia="仿宋" w:cs="仿宋"/>
                <w:i w:val="0"/>
                <w:iCs w:val="0"/>
                <w:color w:val="000000"/>
                <w:kern w:val="0"/>
                <w:sz w:val="11"/>
                <w:szCs w:val="11"/>
                <w:u w:val="none"/>
                <w:lang w:val="en-US" w:eastAsia="zh-CN" w:bidi="ar"/>
              </w:rPr>
              <w:br w:type="textWrapping"/>
            </w:r>
            <w:r>
              <w:rPr>
                <w:rFonts w:hint="eastAsia" w:ascii="仿宋" w:hAnsi="仿宋" w:eastAsia="仿宋" w:cs="仿宋"/>
                <w:i w:val="0"/>
                <w:iCs w:val="0"/>
                <w:color w:val="000000"/>
                <w:kern w:val="0"/>
                <w:sz w:val="11"/>
                <w:szCs w:val="11"/>
                <w:u w:val="none"/>
                <w:lang w:val="en-US" w:eastAsia="zh-CN" w:bidi="ar"/>
              </w:rPr>
              <w:t>4.滥用职权，侵害公民、法人或者其他组织的合法权益的；</w:t>
            </w:r>
            <w:r>
              <w:rPr>
                <w:rFonts w:hint="eastAsia" w:ascii="仿宋" w:hAnsi="仿宋" w:eastAsia="仿宋" w:cs="仿宋"/>
                <w:i w:val="0"/>
                <w:iCs w:val="0"/>
                <w:color w:val="000000"/>
                <w:kern w:val="0"/>
                <w:sz w:val="11"/>
                <w:szCs w:val="11"/>
                <w:u w:val="none"/>
                <w:lang w:val="en-US" w:eastAsia="zh-CN" w:bidi="ar"/>
              </w:rPr>
              <w:br w:type="textWrapping"/>
            </w:r>
            <w:r>
              <w:rPr>
                <w:rFonts w:hint="eastAsia" w:ascii="仿宋" w:hAnsi="仿宋" w:eastAsia="仿宋" w:cs="仿宋"/>
                <w:i w:val="0"/>
                <w:iCs w:val="0"/>
                <w:color w:val="000000"/>
                <w:kern w:val="0"/>
                <w:sz w:val="11"/>
                <w:szCs w:val="11"/>
                <w:u w:val="none"/>
                <w:lang w:val="en-US" w:eastAsia="zh-CN" w:bidi="ar"/>
              </w:rPr>
              <w:t>5.行政权力行使过程中失职、渎职的；</w:t>
            </w:r>
            <w:r>
              <w:rPr>
                <w:rFonts w:hint="eastAsia" w:ascii="仿宋" w:hAnsi="仿宋" w:eastAsia="仿宋" w:cs="仿宋"/>
                <w:i w:val="0"/>
                <w:iCs w:val="0"/>
                <w:color w:val="000000"/>
                <w:kern w:val="0"/>
                <w:sz w:val="11"/>
                <w:szCs w:val="11"/>
                <w:u w:val="none"/>
                <w:lang w:val="en-US" w:eastAsia="zh-CN" w:bidi="ar"/>
              </w:rPr>
              <w:br w:type="textWrapping"/>
            </w:r>
            <w:r>
              <w:rPr>
                <w:rFonts w:hint="eastAsia" w:ascii="仿宋" w:hAnsi="仿宋" w:eastAsia="仿宋" w:cs="仿宋"/>
                <w:i w:val="0"/>
                <w:iCs w:val="0"/>
                <w:color w:val="000000"/>
                <w:kern w:val="0"/>
                <w:sz w:val="11"/>
                <w:szCs w:val="11"/>
                <w:u w:val="none"/>
                <w:lang w:val="en-US" w:eastAsia="zh-CN" w:bidi="ar"/>
              </w:rPr>
              <w:t>6.行使职权过程中出现腐败行为的；</w:t>
            </w:r>
            <w:r>
              <w:rPr>
                <w:rFonts w:hint="eastAsia" w:ascii="仿宋" w:hAnsi="仿宋" w:eastAsia="仿宋" w:cs="仿宋"/>
                <w:i w:val="0"/>
                <w:iCs w:val="0"/>
                <w:color w:val="000000"/>
                <w:kern w:val="0"/>
                <w:sz w:val="11"/>
                <w:szCs w:val="11"/>
                <w:u w:val="none"/>
                <w:lang w:val="en-US" w:eastAsia="zh-CN" w:bidi="ar"/>
              </w:rPr>
              <w:br w:type="textWrapping"/>
            </w:r>
            <w:r>
              <w:rPr>
                <w:rFonts w:hint="eastAsia" w:ascii="仿宋" w:hAnsi="仿宋" w:eastAsia="仿宋" w:cs="仿宋"/>
                <w:i w:val="0"/>
                <w:iCs w:val="0"/>
                <w:color w:val="000000"/>
                <w:kern w:val="0"/>
                <w:sz w:val="11"/>
                <w:szCs w:val="11"/>
                <w:u w:val="none"/>
                <w:lang w:val="en-US" w:eastAsia="zh-CN" w:bidi="ar"/>
              </w:rPr>
              <w:t>7.其他违反法律法规规章文件规定的行为。</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97A5AB">
            <w:pPr>
              <w:keepNext w:val="0"/>
              <w:keepLines w:val="0"/>
              <w:widowControl/>
              <w:suppressLineNumbers w:val="0"/>
              <w:jc w:val="center"/>
              <w:textAlignment w:val="center"/>
              <w:rPr>
                <w:rFonts w:hint="eastAsia" w:ascii="仿宋" w:hAnsi="仿宋" w:eastAsia="仿宋" w:cs="仿宋"/>
                <w:b/>
                <w:bCs/>
                <w:i w:val="0"/>
                <w:iCs w:val="0"/>
                <w:color w:val="FF0000"/>
                <w:sz w:val="36"/>
                <w:szCs w:val="36"/>
                <w:u w:val="none"/>
              </w:rPr>
            </w:pPr>
          </w:p>
        </w:tc>
      </w:tr>
      <w:tr w14:paraId="5EC58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E271E8">
            <w:pPr>
              <w:jc w:val="center"/>
              <w:rPr>
                <w:rFonts w:hint="eastAsia" w:ascii="仿宋" w:hAnsi="仿宋" w:eastAsia="仿宋" w:cs="仿宋"/>
                <w:i w:val="0"/>
                <w:iCs w:val="0"/>
                <w:color w:val="000000"/>
                <w:sz w:val="36"/>
                <w:szCs w:val="36"/>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9F5736">
            <w:pPr>
              <w:jc w:val="center"/>
              <w:rPr>
                <w:rFonts w:hint="eastAsia" w:ascii="仿宋" w:hAnsi="仿宋" w:eastAsia="仿宋" w:cs="仿宋"/>
                <w:i w:val="0"/>
                <w:iCs w:val="0"/>
                <w:color w:val="000000"/>
                <w:sz w:val="36"/>
                <w:szCs w:val="36"/>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048BC">
            <w:pPr>
              <w:jc w:val="center"/>
              <w:rPr>
                <w:rFonts w:hint="eastAsia" w:ascii="仿宋" w:hAnsi="仿宋" w:eastAsia="仿宋" w:cs="仿宋"/>
                <w:i w:val="0"/>
                <w:iCs w:val="0"/>
                <w:color w:val="000000"/>
                <w:sz w:val="36"/>
                <w:szCs w:val="36"/>
                <w:u w:val="none"/>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6762D1">
            <w:pPr>
              <w:jc w:val="center"/>
              <w:rPr>
                <w:rFonts w:hint="eastAsia" w:ascii="仿宋" w:hAnsi="仿宋" w:eastAsia="仿宋" w:cs="仿宋"/>
                <w:i w:val="0"/>
                <w:iCs w:val="0"/>
                <w:color w:val="000000"/>
                <w:sz w:val="36"/>
                <w:szCs w:val="36"/>
                <w:u w:val="none"/>
              </w:rPr>
            </w:pPr>
          </w:p>
        </w:tc>
        <w:tc>
          <w:tcPr>
            <w:tcW w:w="4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312C22">
            <w:pPr>
              <w:jc w:val="both"/>
              <w:rPr>
                <w:rFonts w:hint="eastAsia" w:ascii="仿宋" w:hAnsi="仿宋" w:eastAsia="仿宋" w:cs="仿宋"/>
                <w:i w:val="0"/>
                <w:iCs w:val="0"/>
                <w:color w:val="000000"/>
                <w:sz w:val="36"/>
                <w:szCs w:val="36"/>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AE8FB3">
            <w:pPr>
              <w:jc w:val="center"/>
              <w:rPr>
                <w:rFonts w:hint="eastAsia" w:ascii="仿宋" w:hAnsi="仿宋" w:eastAsia="仿宋" w:cs="仿宋"/>
                <w:i w:val="0"/>
                <w:iCs w:val="0"/>
                <w:color w:val="000000"/>
                <w:sz w:val="36"/>
                <w:szCs w:val="36"/>
                <w:u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8F24BF">
            <w:pPr>
              <w:jc w:val="center"/>
              <w:rPr>
                <w:rFonts w:hint="eastAsia" w:ascii="仿宋" w:hAnsi="仿宋" w:eastAsia="仿宋" w:cs="仿宋"/>
                <w:i w:val="0"/>
                <w:iCs w:val="0"/>
                <w:color w:val="000000"/>
                <w:sz w:val="36"/>
                <w:szCs w:val="36"/>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F0989B">
            <w:pPr>
              <w:jc w:val="center"/>
              <w:rPr>
                <w:rFonts w:hint="eastAsia" w:ascii="仿宋" w:hAnsi="仿宋" w:eastAsia="仿宋" w:cs="仿宋"/>
                <w:i w:val="0"/>
                <w:iCs w:val="0"/>
                <w:color w:val="000000"/>
                <w:sz w:val="36"/>
                <w:szCs w:val="36"/>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9E05B">
            <w:pPr>
              <w:jc w:val="center"/>
              <w:rPr>
                <w:rFonts w:hint="eastAsia" w:ascii="仿宋" w:hAnsi="仿宋" w:eastAsia="仿宋" w:cs="仿宋"/>
                <w:i w:val="0"/>
                <w:iCs w:val="0"/>
                <w:color w:val="000000"/>
                <w:sz w:val="36"/>
                <w:szCs w:val="36"/>
                <w:u w:val="none"/>
              </w:rPr>
            </w:pPr>
          </w:p>
        </w:tc>
        <w:tc>
          <w:tcPr>
            <w:tcW w:w="15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46B74">
            <w:pPr>
              <w:jc w:val="center"/>
              <w:rPr>
                <w:rFonts w:hint="eastAsia" w:ascii="仿宋" w:hAnsi="仿宋" w:eastAsia="仿宋" w:cs="仿宋"/>
                <w:i w:val="0"/>
                <w:iCs w:val="0"/>
                <w:color w:val="000000"/>
                <w:sz w:val="36"/>
                <w:szCs w:val="36"/>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B5825C">
            <w:pPr>
              <w:jc w:val="center"/>
              <w:rPr>
                <w:rFonts w:hint="eastAsia" w:ascii="仿宋" w:hAnsi="仿宋" w:eastAsia="仿宋" w:cs="仿宋"/>
                <w:i w:val="0"/>
                <w:iCs w:val="0"/>
                <w:color w:val="000000"/>
                <w:sz w:val="36"/>
                <w:szCs w:val="36"/>
                <w:u w:val="none"/>
              </w:rPr>
            </w:pPr>
          </w:p>
        </w:tc>
        <w:tc>
          <w:tcPr>
            <w:tcW w:w="34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434035">
            <w:pPr>
              <w:jc w:val="center"/>
              <w:rPr>
                <w:rFonts w:hint="eastAsia" w:ascii="仿宋" w:hAnsi="仿宋" w:eastAsia="仿宋" w:cs="仿宋"/>
                <w:i w:val="0"/>
                <w:iCs w:val="0"/>
                <w:color w:val="000000"/>
                <w:sz w:val="36"/>
                <w:szCs w:val="36"/>
                <w:u w:val="none"/>
              </w:rPr>
            </w:pPr>
          </w:p>
        </w:tc>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9BFDC7">
            <w:pPr>
              <w:jc w:val="center"/>
              <w:rPr>
                <w:rFonts w:hint="eastAsia" w:ascii="仿宋" w:hAnsi="仿宋" w:eastAsia="仿宋" w:cs="仿宋"/>
                <w:i w:val="0"/>
                <w:iCs w:val="0"/>
                <w:color w:val="000000"/>
                <w:sz w:val="36"/>
                <w:szCs w:val="36"/>
                <w:u w:val="none"/>
              </w:rPr>
            </w:pPr>
          </w:p>
        </w:tc>
        <w:tc>
          <w:tcPr>
            <w:tcW w:w="28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EA3DCF">
            <w:pPr>
              <w:jc w:val="left"/>
              <w:rPr>
                <w:rFonts w:hint="eastAsia" w:ascii="仿宋" w:hAnsi="仿宋" w:eastAsia="仿宋" w:cs="仿宋"/>
                <w:i w:val="0"/>
                <w:iCs w:val="0"/>
                <w:color w:val="000000"/>
                <w:sz w:val="36"/>
                <w:szCs w:val="36"/>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839C6B">
            <w:pPr>
              <w:jc w:val="center"/>
              <w:rPr>
                <w:rFonts w:hint="eastAsia" w:ascii="仿宋" w:hAnsi="仿宋" w:eastAsia="仿宋" w:cs="仿宋"/>
                <w:b/>
                <w:bCs/>
                <w:i w:val="0"/>
                <w:iCs w:val="0"/>
                <w:color w:val="FF0000"/>
                <w:sz w:val="36"/>
                <w:szCs w:val="36"/>
                <w:u w:val="none"/>
              </w:rPr>
            </w:pPr>
          </w:p>
        </w:tc>
      </w:tr>
      <w:tr w14:paraId="4D51E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0" w:hRule="atLeast"/>
        </w:trPr>
        <w:tc>
          <w:tcPr>
            <w:tcW w:w="616" w:type="dxa"/>
            <w:tcBorders>
              <w:top w:val="single" w:color="000000" w:sz="4" w:space="0"/>
              <w:left w:val="single" w:color="000000" w:sz="4" w:space="0"/>
              <w:bottom w:val="nil"/>
              <w:right w:val="single" w:color="000000" w:sz="4" w:space="0"/>
            </w:tcBorders>
            <w:shd w:val="clear" w:color="auto" w:fill="FFFFFF" w:themeFill="background1"/>
            <w:vAlign w:val="center"/>
          </w:tcPr>
          <w:p w14:paraId="54D83DB0">
            <w:pPr>
              <w:keepNext w:val="0"/>
              <w:keepLines w:val="0"/>
              <w:widowControl/>
              <w:suppressLineNumbers w:val="0"/>
              <w:jc w:val="center"/>
              <w:textAlignment w:val="center"/>
              <w:rPr>
                <w:rFonts w:hint="eastAsia" w:ascii="仿宋" w:hAnsi="仿宋" w:eastAsia="仿宋" w:cs="仿宋"/>
                <w:i w:val="0"/>
                <w:iCs w:val="0"/>
                <w:color w:val="000000"/>
                <w:sz w:val="36"/>
                <w:szCs w:val="36"/>
                <w:u w:val="none"/>
              </w:rPr>
            </w:pPr>
            <w:r>
              <w:rPr>
                <w:rFonts w:hint="eastAsia" w:ascii="仿宋" w:hAnsi="仿宋" w:eastAsia="仿宋" w:cs="仿宋"/>
                <w:i w:val="0"/>
                <w:iCs w:val="0"/>
                <w:color w:val="000000"/>
                <w:kern w:val="0"/>
                <w:sz w:val="18"/>
                <w:szCs w:val="18"/>
                <w:u w:val="none"/>
                <w:lang w:val="en-US" w:eastAsia="zh-CN" w:bidi="ar"/>
              </w:rPr>
              <w:t>9</w:t>
            </w:r>
          </w:p>
        </w:tc>
        <w:tc>
          <w:tcPr>
            <w:tcW w:w="616" w:type="dxa"/>
            <w:tcBorders>
              <w:top w:val="single" w:color="000000" w:sz="4" w:space="0"/>
              <w:left w:val="single" w:color="000000" w:sz="4" w:space="0"/>
              <w:bottom w:val="nil"/>
              <w:right w:val="single" w:color="000000" w:sz="4" w:space="0"/>
            </w:tcBorders>
            <w:shd w:val="clear" w:color="auto" w:fill="FFFFFF" w:themeFill="background1"/>
            <w:vAlign w:val="center"/>
          </w:tcPr>
          <w:p w14:paraId="50EEB35B">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房地产经纪机构备案</w:t>
            </w:r>
          </w:p>
        </w:tc>
        <w:tc>
          <w:tcPr>
            <w:tcW w:w="936" w:type="dxa"/>
            <w:tcBorders>
              <w:top w:val="single" w:color="000000" w:sz="4" w:space="0"/>
              <w:left w:val="single" w:color="000000" w:sz="4" w:space="0"/>
              <w:bottom w:val="nil"/>
              <w:right w:val="single" w:color="000000" w:sz="4" w:space="0"/>
            </w:tcBorders>
            <w:shd w:val="clear" w:color="auto" w:fill="FFFFFF" w:themeFill="background1"/>
            <w:vAlign w:val="center"/>
          </w:tcPr>
          <w:p w14:paraId="1CD26793">
            <w:pPr>
              <w:jc w:val="center"/>
              <w:rPr>
                <w:rFonts w:hint="eastAsia" w:ascii="仿宋" w:hAnsi="仿宋" w:eastAsia="仿宋" w:cs="仿宋"/>
                <w:i w:val="0"/>
                <w:iCs w:val="0"/>
                <w:color w:val="000000"/>
                <w:sz w:val="16"/>
                <w:szCs w:val="16"/>
                <w:u w:val="none"/>
              </w:rPr>
            </w:pPr>
          </w:p>
        </w:tc>
        <w:tc>
          <w:tcPr>
            <w:tcW w:w="616" w:type="dxa"/>
            <w:tcBorders>
              <w:top w:val="single" w:color="000000" w:sz="4" w:space="0"/>
              <w:left w:val="single" w:color="000000" w:sz="4" w:space="0"/>
              <w:bottom w:val="nil"/>
              <w:right w:val="single" w:color="000000" w:sz="4" w:space="0"/>
            </w:tcBorders>
            <w:shd w:val="clear" w:color="auto" w:fill="FFFFFF" w:themeFill="background1"/>
            <w:vAlign w:val="center"/>
          </w:tcPr>
          <w:p w14:paraId="632BCC26">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其他行政权力</w:t>
            </w:r>
          </w:p>
        </w:tc>
        <w:tc>
          <w:tcPr>
            <w:tcW w:w="4045" w:type="dxa"/>
            <w:tcBorders>
              <w:top w:val="single" w:color="000000" w:sz="4" w:space="0"/>
              <w:left w:val="single" w:color="000000" w:sz="4" w:space="0"/>
              <w:bottom w:val="nil"/>
              <w:right w:val="single" w:color="000000" w:sz="4" w:space="0"/>
            </w:tcBorders>
            <w:shd w:val="clear" w:color="auto" w:fill="FFFFFF" w:themeFill="background1"/>
            <w:vAlign w:val="center"/>
          </w:tcPr>
          <w:p w14:paraId="181697B7">
            <w:pPr>
              <w:keepNext w:val="0"/>
              <w:keepLines w:val="0"/>
              <w:widowControl/>
              <w:suppressLineNumbers w:val="0"/>
              <w:jc w:val="left"/>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《房地产经纪管理办法 》（2011年1月20日公布，2016年3月1日修改）</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第十一条 房地产经纪机构及其分支机构应当自领取营业执照之日起30日内，到所在市级房地产主管部门备案。</w:t>
            </w:r>
          </w:p>
        </w:tc>
        <w:tc>
          <w:tcPr>
            <w:tcW w:w="570" w:type="dxa"/>
            <w:tcBorders>
              <w:top w:val="single" w:color="000000" w:sz="4" w:space="0"/>
              <w:left w:val="single" w:color="000000" w:sz="4" w:space="0"/>
              <w:bottom w:val="nil"/>
              <w:right w:val="single" w:color="000000" w:sz="4" w:space="0"/>
            </w:tcBorders>
            <w:shd w:val="clear" w:color="auto" w:fill="FFFFFF" w:themeFill="background1"/>
            <w:vAlign w:val="center"/>
          </w:tcPr>
          <w:p w14:paraId="091B7CD6">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米东区建设局</w:t>
            </w:r>
          </w:p>
        </w:tc>
        <w:tc>
          <w:tcPr>
            <w:tcW w:w="570" w:type="dxa"/>
            <w:tcBorders>
              <w:top w:val="single" w:color="000000" w:sz="4" w:space="0"/>
              <w:left w:val="single" w:color="000000" w:sz="4" w:space="0"/>
              <w:bottom w:val="nil"/>
              <w:right w:val="single" w:color="000000" w:sz="4" w:space="0"/>
            </w:tcBorders>
            <w:shd w:val="clear" w:color="auto" w:fill="FFFFFF" w:themeFill="background1"/>
            <w:vAlign w:val="center"/>
          </w:tcPr>
          <w:p w14:paraId="7A0E9C50">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themeColor="text1"/>
                <w:kern w:val="0"/>
                <w:sz w:val="16"/>
                <w:szCs w:val="16"/>
                <w:u w:val="none"/>
                <w:lang w:val="en-US" w:eastAsia="zh-CN" w:bidi="ar"/>
                <w14:textFill>
                  <w14:solidFill>
                    <w14:schemeClr w14:val="tx1"/>
                  </w14:solidFill>
                </w14:textFill>
              </w:rPr>
              <w:t>房产综合服务办公室</w:t>
            </w:r>
          </w:p>
        </w:tc>
        <w:tc>
          <w:tcPr>
            <w:tcW w:w="495" w:type="dxa"/>
            <w:tcBorders>
              <w:top w:val="single" w:color="000000" w:sz="4" w:space="0"/>
              <w:left w:val="single" w:color="000000" w:sz="4" w:space="0"/>
              <w:bottom w:val="nil"/>
              <w:right w:val="single" w:color="000000" w:sz="4" w:space="0"/>
            </w:tcBorders>
            <w:shd w:val="clear" w:color="auto" w:fill="FFFFFF" w:themeFill="background1"/>
            <w:vAlign w:val="center"/>
          </w:tcPr>
          <w:p w14:paraId="094CBD98">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区级</w:t>
            </w:r>
          </w:p>
        </w:tc>
        <w:tc>
          <w:tcPr>
            <w:tcW w:w="780" w:type="dxa"/>
            <w:tcBorders>
              <w:top w:val="single" w:color="000000" w:sz="4" w:space="0"/>
              <w:left w:val="single" w:color="000000" w:sz="4" w:space="0"/>
              <w:bottom w:val="nil"/>
              <w:right w:val="single" w:color="000000" w:sz="4" w:space="0"/>
            </w:tcBorders>
            <w:shd w:val="clear" w:color="auto" w:fill="FFFFFF" w:themeFill="background1"/>
            <w:vAlign w:val="center"/>
          </w:tcPr>
          <w:p w14:paraId="50462100">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负责本行政区域房地产经纪机构备案</w:t>
            </w:r>
          </w:p>
        </w:tc>
        <w:tc>
          <w:tcPr>
            <w:tcW w:w="1545" w:type="dxa"/>
            <w:tcBorders>
              <w:top w:val="single" w:color="000000" w:sz="4" w:space="0"/>
              <w:left w:val="single" w:color="000000" w:sz="4" w:space="0"/>
              <w:bottom w:val="nil"/>
              <w:right w:val="single" w:color="000000" w:sz="4" w:space="0"/>
            </w:tcBorders>
            <w:shd w:val="clear" w:color="auto" w:fill="FFFFFF" w:themeFill="background1"/>
            <w:vAlign w:val="center"/>
          </w:tcPr>
          <w:p w14:paraId="6A460781">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房地产经纪机构备案</w:t>
            </w:r>
          </w:p>
        </w:tc>
        <w:tc>
          <w:tcPr>
            <w:tcW w:w="1395" w:type="dxa"/>
            <w:tcBorders>
              <w:top w:val="single" w:color="000000" w:sz="4" w:space="0"/>
              <w:left w:val="single" w:color="000000" w:sz="4" w:space="0"/>
              <w:bottom w:val="nil"/>
              <w:right w:val="single" w:color="000000" w:sz="4" w:space="0"/>
            </w:tcBorders>
            <w:shd w:val="clear" w:color="auto" w:fill="FFFFFF" w:themeFill="background1"/>
            <w:vAlign w:val="center"/>
          </w:tcPr>
          <w:p w14:paraId="3BF38749">
            <w:pPr>
              <w:keepNext w:val="0"/>
              <w:keepLines w:val="0"/>
              <w:widowControl/>
              <w:suppressLineNumbers w:val="0"/>
              <w:jc w:val="left"/>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1</w:t>
            </w:r>
            <w:r>
              <w:rPr>
                <w:rFonts w:hint="eastAsia" w:ascii="仿宋" w:hAnsi="仿宋" w:eastAsia="仿宋" w:cs="仿宋"/>
                <w:i w:val="0"/>
                <w:iCs w:val="0"/>
                <w:color w:val="000000"/>
                <w:kern w:val="0"/>
                <w:sz w:val="11"/>
                <w:szCs w:val="11"/>
                <w:u w:val="none"/>
                <w:lang w:val="en-US" w:eastAsia="zh-CN" w:bidi="ar"/>
              </w:rPr>
              <w:t>.受理责任：公示房地产经纪机构备案依法应当提交的材料；一次性告知补正材料 ；依法受理或不予受理 （不予受理应当告知理由）。</w:t>
            </w:r>
            <w:r>
              <w:rPr>
                <w:rFonts w:hint="eastAsia" w:ascii="仿宋" w:hAnsi="仿宋" w:eastAsia="仿宋" w:cs="仿宋"/>
                <w:i w:val="0"/>
                <w:iCs w:val="0"/>
                <w:color w:val="000000"/>
                <w:kern w:val="0"/>
                <w:sz w:val="11"/>
                <w:szCs w:val="11"/>
                <w:u w:val="none"/>
                <w:lang w:val="en-US" w:eastAsia="zh-CN" w:bidi="ar"/>
              </w:rPr>
              <w:br w:type="textWrapping"/>
            </w:r>
            <w:r>
              <w:rPr>
                <w:rFonts w:hint="eastAsia" w:ascii="仿宋" w:hAnsi="仿宋" w:eastAsia="仿宋" w:cs="仿宋"/>
                <w:i w:val="0"/>
                <w:iCs w:val="0"/>
                <w:color w:val="000000"/>
                <w:kern w:val="0"/>
                <w:sz w:val="11"/>
                <w:szCs w:val="11"/>
                <w:u w:val="none"/>
                <w:lang w:val="en-US" w:eastAsia="zh-CN" w:bidi="ar"/>
              </w:rPr>
              <w:t>2.审查责任：对申请人提交的申请材料进行审查 ，提出审查意见。</w:t>
            </w:r>
            <w:r>
              <w:rPr>
                <w:rFonts w:hint="eastAsia" w:ascii="仿宋" w:hAnsi="仿宋" w:eastAsia="仿宋" w:cs="仿宋"/>
                <w:i w:val="0"/>
                <w:iCs w:val="0"/>
                <w:color w:val="000000"/>
                <w:kern w:val="0"/>
                <w:sz w:val="11"/>
                <w:szCs w:val="11"/>
                <w:u w:val="none"/>
                <w:lang w:val="en-US" w:eastAsia="zh-CN" w:bidi="ar"/>
              </w:rPr>
              <w:br w:type="textWrapping"/>
            </w:r>
            <w:r>
              <w:rPr>
                <w:rFonts w:hint="eastAsia" w:ascii="仿宋" w:hAnsi="仿宋" w:eastAsia="仿宋" w:cs="仿宋"/>
                <w:i w:val="0"/>
                <w:iCs w:val="0"/>
                <w:color w:val="000000"/>
                <w:kern w:val="0"/>
                <w:sz w:val="11"/>
                <w:szCs w:val="11"/>
                <w:u w:val="none"/>
                <w:lang w:val="en-US" w:eastAsia="zh-CN" w:bidi="ar"/>
              </w:rPr>
              <w:t>3.备案责任：根据审查意见，在规定期限内办理备案登记 。无需备案的说明理由 。对备案情况予以公布 。</w:t>
            </w:r>
            <w:r>
              <w:rPr>
                <w:rFonts w:hint="eastAsia" w:ascii="仿宋" w:hAnsi="仿宋" w:eastAsia="仿宋" w:cs="仿宋"/>
                <w:i w:val="0"/>
                <w:iCs w:val="0"/>
                <w:color w:val="000000"/>
                <w:kern w:val="0"/>
                <w:sz w:val="11"/>
                <w:szCs w:val="11"/>
                <w:u w:val="none"/>
                <w:lang w:val="en-US" w:eastAsia="zh-CN" w:bidi="ar"/>
              </w:rPr>
              <w:br w:type="textWrapping"/>
            </w:r>
            <w:r>
              <w:rPr>
                <w:rFonts w:hint="eastAsia" w:ascii="仿宋" w:hAnsi="仿宋" w:eastAsia="仿宋" w:cs="仿宋"/>
                <w:i w:val="0"/>
                <w:iCs w:val="0"/>
                <w:color w:val="000000"/>
                <w:kern w:val="0"/>
                <w:sz w:val="11"/>
                <w:szCs w:val="11"/>
                <w:u w:val="none"/>
                <w:lang w:val="en-US" w:eastAsia="zh-CN" w:bidi="ar"/>
              </w:rPr>
              <w:t>4.其他法律法规规章文件规定应当履行的责任 。</w:t>
            </w:r>
          </w:p>
        </w:tc>
        <w:tc>
          <w:tcPr>
            <w:tcW w:w="3464" w:type="dxa"/>
            <w:tcBorders>
              <w:top w:val="single" w:color="000000" w:sz="4" w:space="0"/>
              <w:left w:val="single" w:color="000000" w:sz="4" w:space="0"/>
              <w:bottom w:val="nil"/>
              <w:right w:val="single" w:color="000000" w:sz="4" w:space="0"/>
            </w:tcBorders>
            <w:shd w:val="clear" w:color="auto" w:fill="FFFFFF" w:themeFill="background1"/>
            <w:vAlign w:val="center"/>
          </w:tcPr>
          <w:p w14:paraId="73E7CCE3">
            <w:pPr>
              <w:keepNext w:val="0"/>
              <w:keepLines w:val="0"/>
              <w:widowControl/>
              <w:suppressLineNumbers w:val="0"/>
              <w:jc w:val="left"/>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《房地产经纪管理办法 》（2011年1月20日公布，2016年3月1日修改）</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第十一条 房地产经纪机构及其分支机构应当自领取营业执照之日起30日内，到所在市级房地产主管部门备案。</w:t>
            </w:r>
          </w:p>
        </w:tc>
        <w:tc>
          <w:tcPr>
            <w:tcW w:w="1095" w:type="dxa"/>
            <w:tcBorders>
              <w:top w:val="single" w:color="000000" w:sz="4" w:space="0"/>
              <w:left w:val="single" w:color="000000" w:sz="4" w:space="0"/>
              <w:bottom w:val="nil"/>
              <w:right w:val="single" w:color="000000" w:sz="4" w:space="0"/>
            </w:tcBorders>
            <w:shd w:val="clear" w:color="auto" w:fill="FFFFFF" w:themeFill="background1"/>
            <w:vAlign w:val="center"/>
          </w:tcPr>
          <w:p w14:paraId="0F332A55">
            <w:pPr>
              <w:keepNext w:val="0"/>
              <w:keepLines w:val="0"/>
              <w:widowControl/>
              <w:suppressLineNumbers w:val="0"/>
              <w:jc w:val="left"/>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1.具体承办人；</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2.内设机构负责人；</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3.单位法定代表人或分管领导。</w:t>
            </w:r>
          </w:p>
        </w:tc>
        <w:tc>
          <w:tcPr>
            <w:tcW w:w="2880" w:type="dxa"/>
            <w:tcBorders>
              <w:top w:val="single" w:color="000000" w:sz="4" w:space="0"/>
              <w:left w:val="single" w:color="000000" w:sz="4" w:space="0"/>
              <w:bottom w:val="nil"/>
              <w:right w:val="single" w:color="000000" w:sz="4" w:space="0"/>
            </w:tcBorders>
            <w:shd w:val="clear" w:color="auto" w:fill="FFFFFF" w:themeFill="background1"/>
            <w:vAlign w:val="center"/>
          </w:tcPr>
          <w:p w14:paraId="6806B2DB">
            <w:pPr>
              <w:keepNext w:val="0"/>
              <w:keepLines w:val="0"/>
              <w:widowControl/>
              <w:suppressLineNumbers w:val="0"/>
              <w:jc w:val="left"/>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因不履行或不正确履行行政职责 ，有下列情形</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的行政机关及相关工作人员应承担相应责任 ：</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1.不能一次性告知和说明所需材料的 ；</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2.对符合条件的不予受理且不说明原因和依据</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3.对不符合条件而予以受理的 ；</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4.其他违反法律法规规章文件规定的行为 。</w:t>
            </w:r>
          </w:p>
        </w:tc>
        <w:tc>
          <w:tcPr>
            <w:tcW w:w="1200" w:type="dxa"/>
            <w:tcBorders>
              <w:top w:val="single" w:color="000000" w:sz="4" w:space="0"/>
              <w:left w:val="single" w:color="000000" w:sz="4" w:space="0"/>
              <w:bottom w:val="nil"/>
              <w:right w:val="single" w:color="000000" w:sz="4" w:space="0"/>
            </w:tcBorders>
            <w:shd w:val="clear" w:color="auto" w:fill="FFFFFF" w:themeFill="background1"/>
            <w:vAlign w:val="center"/>
          </w:tcPr>
          <w:p w14:paraId="47992E9E">
            <w:pPr>
              <w:jc w:val="center"/>
              <w:rPr>
                <w:rFonts w:hint="eastAsia" w:ascii="仿宋" w:hAnsi="仿宋" w:eastAsia="仿宋" w:cs="仿宋"/>
                <w:i w:val="0"/>
                <w:iCs w:val="0"/>
                <w:color w:val="000000"/>
                <w:sz w:val="16"/>
                <w:szCs w:val="16"/>
                <w:u w:val="none"/>
              </w:rPr>
            </w:pPr>
          </w:p>
        </w:tc>
      </w:tr>
      <w:tr w14:paraId="7029B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30" w:hRule="atLeast"/>
        </w:trPr>
        <w:tc>
          <w:tcPr>
            <w:tcW w:w="61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28D36D">
            <w:pPr>
              <w:keepNext w:val="0"/>
              <w:keepLines w:val="0"/>
              <w:widowControl/>
              <w:suppressLineNumbers w:val="0"/>
              <w:jc w:val="center"/>
              <w:textAlignment w:val="center"/>
              <w:rPr>
                <w:rFonts w:hint="default" w:ascii="仿宋" w:hAnsi="仿宋" w:eastAsia="仿宋" w:cs="仿宋"/>
                <w:i w:val="0"/>
                <w:iCs w:val="0"/>
                <w:color w:val="000000"/>
                <w:sz w:val="36"/>
                <w:szCs w:val="36"/>
                <w:u w:val="none"/>
                <w:lang w:val="en-US"/>
              </w:rPr>
            </w:pPr>
            <w:r>
              <w:rPr>
                <w:rFonts w:hint="eastAsia" w:ascii="仿宋" w:hAnsi="仿宋" w:eastAsia="仿宋" w:cs="仿宋"/>
                <w:i w:val="0"/>
                <w:iCs w:val="0"/>
                <w:color w:val="000000"/>
                <w:kern w:val="0"/>
                <w:sz w:val="18"/>
                <w:szCs w:val="18"/>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FC18A72">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商品房预售资金监管</w:t>
            </w:r>
          </w:p>
        </w:tc>
        <w:tc>
          <w:tcPr>
            <w:tcW w:w="93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FB4C363">
            <w:pPr>
              <w:jc w:val="center"/>
              <w:rPr>
                <w:rFonts w:hint="eastAsia" w:ascii="仿宋" w:hAnsi="仿宋" w:eastAsia="仿宋" w:cs="仿宋"/>
                <w:i w:val="0"/>
                <w:iCs w:val="0"/>
                <w:color w:val="000000"/>
                <w:sz w:val="16"/>
                <w:szCs w:val="16"/>
                <w:u w:val="none"/>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8B7079C">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其他行政权力</w:t>
            </w:r>
          </w:p>
        </w:tc>
        <w:tc>
          <w:tcPr>
            <w:tcW w:w="404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1BC58DE">
            <w:pPr>
              <w:keepNext w:val="0"/>
              <w:keepLines w:val="0"/>
              <w:widowControl/>
              <w:suppressLineNumbers w:val="0"/>
              <w:jc w:val="left"/>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《城市商品房预售管理办法 》 第十一条 开发企</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业预售商品房所得款项应当用于有关的工程建设 。商品房预售款监管的具体办法 ，由房地产管理部门制定 。</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《中华人民共和国城市房地产管理法 》</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第四十五条 商品房预售所得款项 ，必须用于有</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关的工程建设。</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《乌鲁木齐市商品房预售资金监督管理办法 》（市人民政府令第146号）</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第四条 市房产行政主管部门 ，是本市商品房预售资金监督管理的主管部门 。负责制定具体实施细则 ，进一步明确和细化商品房预售资金监管工作 。市房屋产权交易中心是本市商品房预售资金监管机构 ，根据本办法及实施细则具体负责商品房预售资金的监管工作。（2025年委托区县办理相关业务）</w:t>
            </w:r>
          </w:p>
        </w:tc>
        <w:tc>
          <w:tcPr>
            <w:tcW w:w="57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DE268EC">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米东区建设局</w:t>
            </w:r>
          </w:p>
        </w:tc>
        <w:tc>
          <w:tcPr>
            <w:tcW w:w="57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9EF332D">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themeColor="text1"/>
                <w:kern w:val="0"/>
                <w:sz w:val="16"/>
                <w:szCs w:val="16"/>
                <w:u w:val="none"/>
                <w:lang w:val="en-US" w:eastAsia="zh-CN" w:bidi="ar"/>
                <w14:textFill>
                  <w14:solidFill>
                    <w14:schemeClr w14:val="tx1"/>
                  </w14:solidFill>
                </w14:textFill>
              </w:rPr>
              <w:t>房产综合服务办公室</w:t>
            </w:r>
          </w:p>
        </w:tc>
        <w:tc>
          <w:tcPr>
            <w:tcW w:w="4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A5FAE29">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区级</w:t>
            </w:r>
          </w:p>
        </w:tc>
        <w:tc>
          <w:tcPr>
            <w:tcW w:w="7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7BB80DD">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负责本行政区域房地产商品房预售资金监管</w:t>
            </w:r>
          </w:p>
        </w:tc>
        <w:tc>
          <w:tcPr>
            <w:tcW w:w="154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4B879FD">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商品房预售资金监管</w:t>
            </w:r>
          </w:p>
        </w:tc>
        <w:tc>
          <w:tcPr>
            <w:tcW w:w="13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28DA864">
            <w:pPr>
              <w:keepNext w:val="0"/>
              <w:keepLines w:val="0"/>
              <w:widowControl/>
              <w:suppressLineNumbers w:val="0"/>
              <w:jc w:val="left"/>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1.受理责任：对依法应当施行新建商品房预售资金监管的企</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业依法进行预售资金监管 ，按照法定条件拨付监管资金</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2.其他法律法规规章文件规定应当履行的责任 。</w:t>
            </w:r>
          </w:p>
        </w:tc>
        <w:tc>
          <w:tcPr>
            <w:tcW w:w="3464"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A5C8EF7">
            <w:pPr>
              <w:keepNext w:val="0"/>
              <w:keepLines w:val="0"/>
              <w:widowControl/>
              <w:suppressLineNumbers w:val="0"/>
              <w:jc w:val="left"/>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《城市商品房预售管理办法 》 第十一条 开发企业预售商品房所得款项应当用于有关的工程建设 。商品房预售款监管的具体办法 ，由房地产管理部门制定 。</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《中华人民共和国城市房地产管理法 》</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第四十五条 商品房预售所得款项 ，必须用于有关的工程建设。</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《乌鲁木齐市商品房预售资金监督管理办法 》（市人民政府令第146号）</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第四条 市房产行政主管部门 ，是本市商品房预售资金监督管理的主管部门 。负责制定具体实施细则 ，进一步明确和细化商品房预售资金监管工作 。市房屋产权交易中心是本市商品房预售资金监管机构 ，根据本办法及实施细则具体负责商品房预售资金的监管工作。（2025年委托区县办理相关业务）</w:t>
            </w:r>
          </w:p>
        </w:tc>
        <w:tc>
          <w:tcPr>
            <w:tcW w:w="10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3BB13D8">
            <w:pPr>
              <w:keepNext w:val="0"/>
              <w:keepLines w:val="0"/>
              <w:widowControl/>
              <w:suppressLineNumbers w:val="0"/>
              <w:jc w:val="left"/>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1.具体承办人；</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2.内设机构负责人；</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3.单位法定代表人或分管领导。</w:t>
            </w:r>
          </w:p>
        </w:tc>
        <w:tc>
          <w:tcPr>
            <w:tcW w:w="288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DEF884">
            <w:pPr>
              <w:keepNext w:val="0"/>
              <w:keepLines w:val="0"/>
              <w:widowControl/>
              <w:suppressLineNumbers w:val="0"/>
              <w:jc w:val="left"/>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因不履行或不正确履行行政职责 ，有下列情形</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的行政机关及相关工作人员应承担相应责任 ：</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1.不能一次性告知和说明所需材料的 ；</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2.对符合条件的不予受理且不说明原因和依据</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的；</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3.对不符合条件而予以受理的 ；</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4.不按规定现场查勘的 ；</w:t>
            </w:r>
            <w:r>
              <w:rPr>
                <w:rFonts w:hint="eastAsia" w:ascii="仿宋" w:hAnsi="仿宋" w:eastAsia="仿宋" w:cs="仿宋"/>
                <w:i w:val="0"/>
                <w:iCs w:val="0"/>
                <w:color w:val="000000"/>
                <w:kern w:val="0"/>
                <w:sz w:val="16"/>
                <w:szCs w:val="16"/>
                <w:u w:val="none"/>
                <w:lang w:val="en-US" w:eastAsia="zh-CN" w:bidi="ar"/>
              </w:rPr>
              <w:br w:type="textWrapping"/>
            </w:r>
            <w:r>
              <w:rPr>
                <w:rFonts w:hint="eastAsia" w:ascii="仿宋" w:hAnsi="仿宋" w:eastAsia="仿宋" w:cs="仿宋"/>
                <w:i w:val="0"/>
                <w:iCs w:val="0"/>
                <w:color w:val="000000"/>
                <w:kern w:val="0"/>
                <w:sz w:val="16"/>
                <w:szCs w:val="16"/>
                <w:u w:val="none"/>
                <w:lang w:val="en-US" w:eastAsia="zh-CN" w:bidi="ar"/>
              </w:rPr>
              <w:t>5.其他违反法律法规规章文件规定的行为 。</w:t>
            </w:r>
          </w:p>
        </w:tc>
        <w:tc>
          <w:tcPr>
            <w:tcW w:w="12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63BE79">
            <w:pPr>
              <w:jc w:val="center"/>
              <w:rPr>
                <w:rFonts w:hint="eastAsia" w:ascii="仿宋" w:hAnsi="仿宋" w:eastAsia="仿宋" w:cs="仿宋"/>
                <w:i w:val="0"/>
                <w:iCs w:val="0"/>
                <w:color w:val="000000"/>
                <w:sz w:val="16"/>
                <w:szCs w:val="16"/>
                <w:u w:val="none"/>
              </w:rPr>
            </w:pPr>
          </w:p>
        </w:tc>
      </w:tr>
    </w:tbl>
    <w:p w14:paraId="6437375A">
      <w:pPr>
        <w:pStyle w:val="2"/>
      </w:pPr>
    </w:p>
    <w:p w14:paraId="4784CDD7"/>
    <w:sectPr>
      <w:pgSz w:w="23811" w:h="16838"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D45D78"/>
    <w:rsid w:val="00822633"/>
    <w:rsid w:val="01827F88"/>
    <w:rsid w:val="07EB147C"/>
    <w:rsid w:val="08A0544C"/>
    <w:rsid w:val="0C8B1556"/>
    <w:rsid w:val="0CD110A7"/>
    <w:rsid w:val="120E39AF"/>
    <w:rsid w:val="22293405"/>
    <w:rsid w:val="2569598A"/>
    <w:rsid w:val="2621095E"/>
    <w:rsid w:val="263764C7"/>
    <w:rsid w:val="2D465469"/>
    <w:rsid w:val="2FC00D07"/>
    <w:rsid w:val="326121FE"/>
    <w:rsid w:val="490920B8"/>
    <w:rsid w:val="4B761E41"/>
    <w:rsid w:val="4DE26CCA"/>
    <w:rsid w:val="53111E3B"/>
    <w:rsid w:val="5F4A6064"/>
    <w:rsid w:val="61970220"/>
    <w:rsid w:val="61D45D78"/>
    <w:rsid w:val="7F7041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font61"/>
    <w:basedOn w:val="4"/>
    <w:qFormat/>
    <w:uiPriority w:val="0"/>
    <w:rPr>
      <w:rFonts w:hint="eastAsia" w:ascii="仿宋" w:hAnsi="仿宋" w:eastAsia="仿宋" w:cs="仿宋"/>
      <w:color w:val="000000"/>
      <w:sz w:val="36"/>
      <w:szCs w:val="36"/>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104</Pages>
  <Words>34665</Words>
  <Characters>35913</Characters>
  <Lines>0</Lines>
  <Paragraphs>0</Paragraphs>
  <TotalTime>152</TotalTime>
  <ScaleCrop>false</ScaleCrop>
  <LinksUpToDate>false</LinksUpToDate>
  <CharactersWithSpaces>35913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2025-09-30T03:53:00Z</dcterms:created>
  <dc:creator>Administrator</dc:creator>
  <cp:lastModifiedBy>此去经年丶1405612783</cp:lastModifiedBy>
  <dcterms:modified xsi:type="dcterms:W3CDTF">2025-10-30T10:04:04Z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7CD862ABAF764035A36642912EA99DBB_13</vt:lpwstr>
  </property>
  <property fmtid="{D5CDD505-2E9C-101B-9397-08002B2CF9AE}" pid="4" name="KSOTemplateDocerSaveRecord">
    <vt:lpwstr>eyJoZGlkIjoiNzAzMTZiOTBhOTBkMDc3MWNhMWMyZjVmMDg2YmMwOTgiLCJ1c2VySWQiOiIxODc2NTQwNiJ9</vt:lpwstr>
  </property>
</Properties>
</file>