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D496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-3</w:t>
      </w:r>
    </w:p>
    <w:p w14:paraId="437A87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81961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米东区征收办</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征收</w:t>
      </w:r>
      <w:r>
        <w:rPr>
          <w:rFonts w:hint="eastAsia" w:ascii="方正小标宋_GBK" w:hAnsi="方正小标宋_GBK" w:eastAsia="方正小标宋_GBK" w:cs="方正小标宋_GBK"/>
          <w:sz w:val="44"/>
          <w:szCs w:val="44"/>
        </w:rPr>
        <w:t>类）</w:t>
      </w:r>
    </w:p>
    <w:p w14:paraId="26E2B4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2853" w:type="dxa"/>
        <w:tblInd w:w="-15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967"/>
        <w:gridCol w:w="500"/>
        <w:gridCol w:w="516"/>
        <w:gridCol w:w="9467"/>
        <w:gridCol w:w="483"/>
        <w:gridCol w:w="567"/>
        <w:gridCol w:w="317"/>
        <w:gridCol w:w="433"/>
        <w:gridCol w:w="36"/>
        <w:gridCol w:w="531"/>
        <w:gridCol w:w="36"/>
        <w:gridCol w:w="2080"/>
        <w:gridCol w:w="36"/>
        <w:gridCol w:w="1414"/>
        <w:gridCol w:w="36"/>
        <w:gridCol w:w="673"/>
        <w:gridCol w:w="3855"/>
        <w:gridCol w:w="36"/>
        <w:gridCol w:w="450"/>
      </w:tblGrid>
      <w:tr w14:paraId="40698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4" w:hRule="atLeast"/>
        </w:trPr>
        <w:tc>
          <w:tcPr>
            <w:tcW w:w="420" w:type="dxa"/>
            <w:vAlign w:val="center"/>
          </w:tcPr>
          <w:p w14:paraId="10D048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967" w:type="dxa"/>
            <w:vAlign w:val="center"/>
          </w:tcPr>
          <w:p w14:paraId="14EE2F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500" w:type="dxa"/>
            <w:vAlign w:val="center"/>
          </w:tcPr>
          <w:p w14:paraId="758C1E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516" w:type="dxa"/>
            <w:vAlign w:val="center"/>
          </w:tcPr>
          <w:p w14:paraId="06357A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9467" w:type="dxa"/>
            <w:vAlign w:val="center"/>
          </w:tcPr>
          <w:p w14:paraId="401E8F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483" w:type="dxa"/>
            <w:vAlign w:val="center"/>
          </w:tcPr>
          <w:p w14:paraId="53E822E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567" w:type="dxa"/>
            <w:vAlign w:val="center"/>
          </w:tcPr>
          <w:p w14:paraId="3AC78D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750" w:type="dxa"/>
            <w:gridSpan w:val="2"/>
            <w:vAlign w:val="center"/>
          </w:tcPr>
          <w:p w14:paraId="0155F2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567" w:type="dxa"/>
            <w:gridSpan w:val="2"/>
            <w:vAlign w:val="center"/>
          </w:tcPr>
          <w:p w14:paraId="68CBC8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2116" w:type="dxa"/>
            <w:gridSpan w:val="2"/>
            <w:vAlign w:val="center"/>
          </w:tcPr>
          <w:p w14:paraId="5E20B2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450" w:type="dxa"/>
            <w:gridSpan w:val="2"/>
            <w:vAlign w:val="center"/>
          </w:tcPr>
          <w:p w14:paraId="2B3D60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709" w:type="dxa"/>
            <w:gridSpan w:val="2"/>
            <w:vAlign w:val="center"/>
          </w:tcPr>
          <w:p w14:paraId="0978E7D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lang w:eastAsia="zh-CN"/>
              </w:rPr>
              <w:t>追责</w:t>
            </w:r>
            <w:r>
              <w:rPr>
                <w:rFonts w:hint="eastAsia" w:ascii="方正仿宋_GBK" w:hAnsi="方正仿宋_GBK" w:eastAsia="方正仿宋_GBK" w:cs="方正仿宋_GBK"/>
                <w:b/>
                <w:bCs/>
                <w:sz w:val="28"/>
                <w:szCs w:val="28"/>
                <w:vertAlign w:val="baseline"/>
              </w:rPr>
              <w:t>对象范围</w:t>
            </w:r>
          </w:p>
        </w:tc>
        <w:tc>
          <w:tcPr>
            <w:tcW w:w="3855" w:type="dxa"/>
            <w:vAlign w:val="center"/>
          </w:tcPr>
          <w:p w14:paraId="3EC77C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486" w:type="dxa"/>
            <w:gridSpan w:val="2"/>
            <w:vAlign w:val="center"/>
          </w:tcPr>
          <w:p w14:paraId="3FDCC12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3D15A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trPr>
        <w:tc>
          <w:tcPr>
            <w:tcW w:w="420" w:type="dxa"/>
            <w:vAlign w:val="center"/>
          </w:tcPr>
          <w:p w14:paraId="44D50F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1</w:t>
            </w:r>
          </w:p>
        </w:tc>
        <w:tc>
          <w:tcPr>
            <w:tcW w:w="967" w:type="dxa"/>
            <w:vAlign w:val="center"/>
          </w:tcPr>
          <w:p w14:paraId="35C7F56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国有土地上房屋征收</w:t>
            </w:r>
          </w:p>
        </w:tc>
        <w:tc>
          <w:tcPr>
            <w:tcW w:w="500" w:type="dxa"/>
          </w:tcPr>
          <w:p w14:paraId="00DD7EF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p>
        </w:tc>
        <w:tc>
          <w:tcPr>
            <w:tcW w:w="516" w:type="dxa"/>
            <w:vAlign w:val="center"/>
          </w:tcPr>
          <w:p w14:paraId="709B49A6">
            <w:pPr>
              <w:keepNext w:val="0"/>
              <w:keepLines w:val="0"/>
              <w:widowControl/>
              <w:suppressLineNumbers w:val="0"/>
              <w:jc w:val="center"/>
              <w:textAlignment w:val="center"/>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i w:val="0"/>
                <w:color w:val="000000"/>
                <w:kern w:val="0"/>
                <w:sz w:val="21"/>
                <w:szCs w:val="21"/>
                <w:u w:val="none"/>
                <w:lang w:val="en-US" w:eastAsia="zh-CN" w:bidi="ar"/>
              </w:rPr>
              <w:t>行政征收</w:t>
            </w:r>
          </w:p>
        </w:tc>
        <w:tc>
          <w:tcPr>
            <w:tcW w:w="9467" w:type="dxa"/>
          </w:tcPr>
          <w:p w14:paraId="6A370F6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《国有土地上房屋征收与补偿条例》（国务院令第590号）                                                          第二条：为了公共利益的需要，征收国有土地上单位、个人的房屋，应当对被征收房屋所有权人（以下称被征收人）给予公平补偿</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第十条：房屋征收部门拟定征收补偿方案，报市、县级人民政府。市、县级人民政府应当组织有关部门对征收补偿方案进行论证并予以公布，征求公众意见。征求意见期限不得少于30日</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十一条：市、县级人民政府应当将征求意见情况和根据公众意见修改的情况及时公布。因旧城区改建需要征收房屋，多数被征收人认为征收补偿方案不符合本条例规定的，市、县级人民政府应当组织由被征收人和公众代表参加的听证会，并根据听证会情况修改方案。第十二条：市、县级人民政府作出房屋征收决定前，应当按照有关规定进行社会稳定风险评估；房屋征收决定涉及被征收人数量较多的，应当经政府常务会议讨论决定。作出房屋征收决定前，征收补偿费用应当足额到位、专户存储、专款专用。第十三条：市、县级人民政府作出房屋征收决定后应当及时公告。公告应当载明征收补偿方案和行政复议、行政诉讼权利等事项。市、县级人民政府及房屋征收部门应当做好房屋征收与补偿的宣传、解释工作。第十五条：房屋征收部门应当对房屋征收范围内房屋的权属、区位、用途、建筑面积等情况组织调查登记，调查结果应当在房屋征收范围内向被征收人公布。第十六条：房屋征收范围确定后，不得在房屋征收范围内实施新建、扩建、改建房屋和改变房屋用途等不当增加补偿费用的行为；违反规定实施的，不予补偿。房屋征收部门应当将前款所列事项书面通知有关部门暂停办理相关手续。暂停办理相关手续的书面通知应当载明暂停期限。暂停期限最长不得超过1年。第二十一条第二款：被征收人选择房屋产权调换的，市、县级人民政府应当提供用于产权调换的房屋，并与被征收人计算、结清被征收房屋价值与用于产权调换房屋价值的差价。第三款：因旧城区改建征收个人住宅，被征收人选择在改建地段进行房屋产权调换的，作出房屋征收决定的市、县级人民政府应当提供改建地段或者就近地段的房屋。第二十二条：因征收房屋造成搬迁的，房屋征收部门应当向被征收人支付搬迁费；选择房屋产权调换的，产权调换房屋交付前，房屋征收部门应当向被征收人支付临时安置费或者提供周转用房</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第二十五条：房屋征收部门与被征收人依照本条例的规定，就补偿方式、补偿金额和支付期限、用于产权调换房屋的地点和面积、搬迁费、临时安置费或者周转用房、停产停业损失、搬迁期限、过渡方式和过渡期限等事项，订立补偿协议。第二十六条第一款：房屋征收部门与被征收人在征收补偿方案确定的签约期限内达不成补偿协议，或者被征收房屋所有权人不明确的，由房屋征收部门报请作出房屋征收决定的市、县级人民政府依照本条例的规定，按照征收补偿方案作出补偿决定，并在房屋征收范围内予以公告</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第二十八条第一款：被征收人在法定期限内不申请行政复议或者不提起行政诉讼，在补偿决定规定的期限内又不搬迁的，由作出房屋征收决定的市、县级人民政府依法申请人民法院强制执行。第二十九条第一款：房屋征收部门应当依法建立房屋征收补偿档案，并将分户补偿情况在房屋征收范围内向被征收人公布。                                                                                                                                《新疆维吾尔自治区实施</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国有土地上房屋征收与补偿条例</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办法》（新疆维吾尔自治区人民政府令第187号</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第九条：房屋征收范围确定后，房屋征收部门应当向社会发布暂停办理征收范围内新建、扩建、改建房屋，改变房屋用途的有关审批、备案登记手续的公告，有关城乡规划、建设、房产、国土资源、工商、税务等有关部门应当暂停办理相关手续。暂停期限不得超过1年。 第十条 房屋征收部门在拟定征收补偿方案前，应当对征收范围内的房屋现状进行调查登记。第十一条：房屋征收部门在调查登记时，发现征收范围内的房屋未办理房屋所有权登记或者与登记不符的，应当报请负责房屋征收工作的政府组织城乡规划、国土资源、建设、房产、工商、税务等部门，对房屋及被征收人进行核实认定。第十三条：征收范围内的房屋经调查登记或者核实认定后，房屋征收部门应当委托两家以上房地产价格评估机构进行咨询性估价，并根据估价测算结果，与项目建设单位明确下列事项后，拟定房屋征收补偿方案。第十四条房屋征收补偿方案由房屋征收部门拟定，应当包括下列内容：（一）房屋征收与补偿的法律依据和房屋征收目的；（二）项目批准文件；（三）房屋征收部门、房屋征收实施单位；（四）房屋征收的范围、规模或者分段实施的范围、规模、时序；（五）征收补偿费用标准、计算方法及依据；（六）用于产权调换和周转用房情况说明及选购方法；（七）征收补偿费用监管情况；（八）享受住房保障的条件和取得方式；（九）房屋征收整体实施或者分段实施的搬迁期限、回迁期限；（十）征求公众意见方式、期限；（十一）其他需要明确的事项。第二款：房屋征收补偿方案由负责房屋征收工作的政府组织有关部门进行论证，在房屋征收范围内公告，公开征求公众意见，并根据征求意见情况对征收补偿方案进行修改。房屋征收补偿方案的征求意见和修改情况应当及时公布。第十六条：负责房屋征收工作的政府作出房屋征收决定前，应当组织城乡规划、建设、房产、财政、国土资源、发展改革、公安、信访、社会管理综合治理等部门，以及街道办事处、社区居民委员会进行社会稳定风险评估。第十八条：负责房屋征收工作的政府作出房屋征收决定后应当及时公告。公告应当载明下列内容：（一）征收补偿方案；（二）补偿协议签约期限；（三）禁止在征收范围内实施新建、扩建、改建房屋和改变房屋用途等不当增加补偿费用行为的规定；（四）对征收决定不服申请行政复议或者提起行政诉讼的期限及复议机关和管辖法院。第二十三条：房地产价格评估机构由被征收人协商选定；协商不成的，通过多数决定、随机选定等方式确定。第二十四条：房地产价格评估机构应当将房屋分户评估初步结果在征收范围内公示。被征收人对分户评估初步结果有异议的，房地产价格评估机构应当对分户初步评估结果进行解释、说明，存在错误的，应当进行修正。第三十四条：征收未向房屋居住人出售的单位自建住宅，建房单位选择产权调换的，应当用产权调换房屋安置房屋居住人；选择货币补偿的，应当将80%的货币补偿支付给房屋居住人</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第三十五条：因征收房屋造成搬迁的，房屋征收部门应当按照市场价向被征收人支付搬迁补偿费。第三十六条：因征收房屋造成停产停业损失的，按照以下方式补偿：（一）被征收人选择产权调换的，根据停产停业期限，比照房屋征收决定公告之日类似被征收房屋市场租金价格的2倍按月给予停产停业损失补偿；被征收人认为停产停业损失补偿不足以弥补实际损失的，应当向房屋征收部门提供房屋被征收前上一年度实际经营效益，以及因停产停业造成的职工遣散费、设施设备拆除转让损失、存货低价出售损失等证明材料，由房地产价格评估机构进行评估，并按评估结果给予补偿；（二）被征收人选择货币补偿的，房屋征收部门应当与被征收人按照前项规定的标准，协商确定给予不少于两个月的一次性停产停业损失补偿。第四十条：房屋征收补偿协议由房屋征收部门与被征收人签订，房屋征收补偿协议应当载明下列内容：（一）房屋征收部门和被征收人或者房屋占有人；（二）被征收房屋地点、权属、用途、建筑面积、建筑结构、公摊系数、楼层等；（三）房屋征收补偿方式；（四）房屋价值补偿金额、计算方式、支付方式和期限等；（五）产权调换房屋地点、用途、建筑面积、建筑结构、建设标准、公摊系数、楼层、差价结算方式等；（六）搬迁补偿金额、搬迁期限、过渡方式、过渡期限、回迁期限等；（七）临时安置补偿金额或者周转用房状况；（八）停产停业损失补偿金额、计算方式；（九）违约责任；（十）其他约定事项。第四十二条：房屋征收部门与被征收人在补偿协议签约期限内达不成补偿协议的，房屋征收部门应当向负责房屋征收工作的政府报告，由负责房屋征收工作的政府按照征收补偿方案依法作出房屋征收补偿决定，送达被征收人，并在房屋征收范围内予以公告。作出房屋征收补偿决定前，被征收房屋价值评估报告未经自治区房地产价格评估专家委员会鉴定的，应当申请鉴定</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 xml:space="preserve">第四十四条第一款被征收人在法定期限内不申请行政复议或者不提起行政诉讼，又未在房屋征收补偿决定规定的搬迁期限内搬迁的，由负责房屋征收工作的政府依法申请人民法院强制执行。 第二款 在申请人民法院强制执行前，房屋征收部门应当书面催告被征收人履行房屋征收补偿决定。 第四十五条第一款 房屋征收部门应当建立房屋征收补偿档案，并将分户补偿结果在房屋征收范围内向被征收人公布。房屋征收补偿档案应当允许被征收人查阅，接受被征收人监督。 </w:t>
            </w:r>
          </w:p>
          <w:p w14:paraId="132F08D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p>
          <w:p w14:paraId="041DC1F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p>
          <w:p w14:paraId="6C14182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p>
          <w:p w14:paraId="7AC8BF3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p>
          <w:p w14:paraId="7BE32EE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p>
          <w:p w14:paraId="73DF757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p>
        </w:tc>
        <w:tc>
          <w:tcPr>
            <w:tcW w:w="483" w:type="dxa"/>
            <w:vAlign w:val="center"/>
          </w:tcPr>
          <w:p w14:paraId="7583B56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乌鲁木齐市米东区房屋征收与补偿管理办公室（乌鲁木齐市米东区土地征收储备管理办公室）</w:t>
            </w:r>
          </w:p>
          <w:p w14:paraId="76C3E70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p>
        </w:tc>
        <w:tc>
          <w:tcPr>
            <w:tcW w:w="567" w:type="dxa"/>
            <w:vAlign w:val="center"/>
          </w:tcPr>
          <w:p w14:paraId="3D468D0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房屋征收股</w:t>
            </w:r>
          </w:p>
        </w:tc>
        <w:tc>
          <w:tcPr>
            <w:tcW w:w="317" w:type="dxa"/>
            <w:vAlign w:val="center"/>
          </w:tcPr>
          <w:p w14:paraId="1AEDDF5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cstheme="minorEastAsia"/>
                <w:i w:val="0"/>
                <w:color w:val="000000"/>
                <w:kern w:val="0"/>
                <w:sz w:val="21"/>
                <w:szCs w:val="21"/>
                <w:u w:val="none"/>
                <w:lang w:val="en-US" w:eastAsia="zh-CN" w:bidi="ar"/>
              </w:rPr>
              <w:t>区级</w:t>
            </w:r>
          </w:p>
        </w:tc>
        <w:tc>
          <w:tcPr>
            <w:tcW w:w="469" w:type="dxa"/>
            <w:gridSpan w:val="2"/>
            <w:vAlign w:val="center"/>
          </w:tcPr>
          <w:p w14:paraId="28F9552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按照实施</w:t>
            </w:r>
            <w:r>
              <w:rPr>
                <w:rFonts w:hint="eastAsia" w:asciiTheme="minorEastAsia" w:hAnsiTheme="minorEastAsia" w:cstheme="minorEastAsia"/>
                <w:sz w:val="21"/>
                <w:szCs w:val="21"/>
                <w:vertAlign w:val="baseline"/>
                <w:lang w:eastAsia="zh-CN"/>
              </w:rPr>
              <w:t>项目征收行政范围内的房屋</w:t>
            </w:r>
          </w:p>
        </w:tc>
        <w:tc>
          <w:tcPr>
            <w:tcW w:w="567" w:type="dxa"/>
            <w:gridSpan w:val="2"/>
            <w:vAlign w:val="center"/>
          </w:tcPr>
          <w:p w14:paraId="0834A44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征收国有土地上房屋</w:t>
            </w:r>
          </w:p>
        </w:tc>
        <w:tc>
          <w:tcPr>
            <w:tcW w:w="2116" w:type="dxa"/>
            <w:gridSpan w:val="2"/>
          </w:tcPr>
          <w:p w14:paraId="788B9883">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1、前期工作阶段的责任：                </w:t>
            </w:r>
          </w:p>
          <w:p w14:paraId="14654DC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（1）发布暂停公告；                                                                                                                                                       （2）房屋调查登记；                               </w:t>
            </w:r>
          </w:p>
          <w:p w14:paraId="6E97B99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（3）发现征收范围内的房屋未办理房屋所有权登记或者与登记不符的，报请政府组织相关部门核实认定。           </w:t>
            </w:r>
          </w:p>
          <w:p w14:paraId="5BF04A2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2、征收决定阶段的责任:                </w:t>
            </w:r>
          </w:p>
          <w:p w14:paraId="0675D66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（1）委托咨询性评估机构进行咨询性估价；                           </w:t>
            </w:r>
          </w:p>
          <w:p w14:paraId="0496630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（2）拟定征收补偿方案并征求意见，征求意见期限不得少于30日；              </w:t>
            </w:r>
          </w:p>
          <w:p w14:paraId="5EE071DD">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（3）公布征求意见情况及确定修改后的补偿方案；                        </w:t>
            </w:r>
          </w:p>
          <w:p w14:paraId="672D701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（4）报请政府进行社会稳定风险评估，形成社会稳定风险评估报告；                                    </w:t>
            </w:r>
          </w:p>
          <w:p w14:paraId="5FC23AF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（5）发布征收决定公告；</w:t>
            </w:r>
          </w:p>
          <w:p w14:paraId="750ADE7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（6）选定房屋价值评估机构对被征收房屋价值进行评估；                </w:t>
            </w:r>
          </w:p>
          <w:p w14:paraId="156C58AF">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（7）公示评估结果并送达分户评估报告。</w:t>
            </w:r>
          </w:p>
          <w:p w14:paraId="614561F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3、征收实施阶段的责任：                   </w:t>
            </w:r>
          </w:p>
          <w:p w14:paraId="49C9E32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（1）签订补偿协议；</w:t>
            </w:r>
          </w:p>
          <w:p w14:paraId="0A9084B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（2）将安置房和相关补偿补助款项交付被征收人。</w:t>
            </w:r>
          </w:p>
          <w:p w14:paraId="63DDB6E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4、征收后续阶段的责任：               </w:t>
            </w:r>
          </w:p>
          <w:p w14:paraId="1CA451C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（1）在征收补偿方案确定的签约期限内达不成补偿协议的报请政府作出征收补偿决定；（2）书面催告被征收人履行房屋征收补偿决定；                  </w:t>
            </w:r>
          </w:p>
          <w:p w14:paraId="11F435C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（3）房屋征收部门报请政府依法申请人民法院强制执行；     </w:t>
            </w:r>
          </w:p>
          <w:p w14:paraId="29F92F81">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（4） 建档和公布补偿结果。</w:t>
            </w:r>
          </w:p>
          <w:p w14:paraId="6F502064">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5、其他法律法规规章文件规定应履行的责任。</w:t>
            </w:r>
          </w:p>
          <w:p w14:paraId="26E43F7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 </w:t>
            </w:r>
          </w:p>
        </w:tc>
        <w:tc>
          <w:tcPr>
            <w:tcW w:w="1450" w:type="dxa"/>
            <w:gridSpan w:val="2"/>
            <w:vAlign w:val="center"/>
          </w:tcPr>
          <w:p w14:paraId="11304C8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rPr>
              <w:t>《国有土地上房屋征收与补偿条例》（国务院令第590号）</w:t>
            </w:r>
            <w:r>
              <w:rPr>
                <w:rFonts w:hint="eastAsia" w:asciiTheme="minorEastAsia" w:hAnsiTheme="minorEastAsia" w:eastAsia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《新疆维吾尔自治区实施</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国有土地上房屋征收与补偿条例</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办法》（新疆维吾尔自治区人民政府令第187号）</w:t>
            </w:r>
            <w:r>
              <w:rPr>
                <w:rFonts w:hint="eastAsia" w:asciiTheme="minorEastAsia" w:hAnsiTheme="minorEastAsia" w:cstheme="minorEastAsia"/>
                <w:sz w:val="21"/>
                <w:szCs w:val="21"/>
                <w:vertAlign w:val="baseline"/>
                <w:lang w:eastAsia="zh-CN"/>
              </w:rPr>
              <w:t>、《征收补偿方案》和评估结果</w:t>
            </w:r>
            <w:r>
              <w:rPr>
                <w:rFonts w:hint="eastAsia" w:asciiTheme="minorEastAsia" w:hAnsiTheme="minorEastAsia" w:eastAsiaTheme="minorEastAsia" w:cstheme="minorEastAsia"/>
                <w:sz w:val="21"/>
                <w:szCs w:val="21"/>
                <w:vertAlign w:val="baseline"/>
              </w:rPr>
              <w:t xml:space="preserve"> </w:t>
            </w:r>
          </w:p>
        </w:tc>
        <w:tc>
          <w:tcPr>
            <w:tcW w:w="673" w:type="dxa"/>
            <w:vAlign w:val="center"/>
          </w:tcPr>
          <w:p w14:paraId="091EF31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lang w:eastAsia="zh-CN"/>
              </w:rPr>
            </w:pPr>
            <w:bookmarkStart w:id="0" w:name="OLE_LINK1"/>
            <w:r>
              <w:rPr>
                <w:rFonts w:ascii="宋体" w:hAnsi="宋体" w:eastAsia="宋体" w:cs="宋体"/>
                <w:sz w:val="24"/>
                <w:szCs w:val="24"/>
              </w:rPr>
              <w:t>1.具体</w:t>
            </w:r>
            <w:r>
              <w:rPr>
                <w:rFonts w:hint="eastAsia" w:ascii="宋体" w:hAnsi="宋体" w:eastAsia="宋体" w:cs="宋体"/>
                <w:sz w:val="24"/>
                <w:szCs w:val="24"/>
                <w:lang w:eastAsia="zh-CN"/>
              </w:rPr>
              <w:t>承</w:t>
            </w:r>
            <w:r>
              <w:rPr>
                <w:rFonts w:ascii="宋体" w:hAnsi="宋体" w:eastAsia="宋体" w:cs="宋体"/>
                <w:sz w:val="24"/>
                <w:szCs w:val="24"/>
              </w:rPr>
              <w:t>办人；2.内设机构负责人；3.单位法定代表人或分管领导。</w:t>
            </w:r>
            <w:bookmarkEnd w:id="0"/>
          </w:p>
        </w:tc>
        <w:tc>
          <w:tcPr>
            <w:tcW w:w="3891" w:type="dxa"/>
            <w:gridSpan w:val="2"/>
          </w:tcPr>
          <w:p w14:paraId="01D7A3C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因不履行或不正确履行行政职责，有下列情形的，行政机关及相关工作人员应承担相应责任：</w:t>
            </w:r>
          </w:p>
          <w:p w14:paraId="5328D21B">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1、 在房屋征收工作中滥用职权、玩忽职守、徇私舞弊的，由上级人民政府或者本级人民政府责令改正，通报批评；造成损失的，依法承担赔偿责任；对直接负责的主管人员和其他直接责任人员，依法给予处分；构成犯罪的，依法追究刑事责任。                                                                                                                                   2、采取暴力、威胁或者违反规定中断供水、供热、供气、供电和道路通行等采取非法方式迫使被征收人搬迁，造成损失的，依法承担赔偿责任；对直接负责的主管人员和其他直接责任人员，构成犯罪的，依法追究刑事责任；尚不构成犯罪的，依法给予处分；构成违反治安管理行为的，依法给予治安管理处罚。           采取暴力、威胁等方法阻碍依法进行的房屋征收与补偿工作，构成犯罪的，依法追究刑事责任；构成违反治安管理行为的，依法给予治安管理处罚。                                                                                       3、贪污、挪用、私分、截留、拖欠征收补偿费用的，责令改正，追回有关款项，限期退还违法所得，对有关责任单位通报批评、给予警告；造成损失的，依法承担赔偿责任；对直接负责的主管人员和其他直接责任人员，构成犯罪的，依法追究刑事责任；尚不构成犯罪的，依法给予处分。 </w:t>
            </w:r>
            <w:r>
              <w:rPr>
                <w:rFonts w:hint="eastAsia" w:asciiTheme="minorEastAsia" w:hAnsiTheme="minorEastAsia" w:eastAsia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sz w:val="21"/>
                <w:szCs w:val="21"/>
                <w:vertAlign w:val="baseline"/>
              </w:rPr>
              <w:t xml:space="preserve">   4、有下列行为之一的，由上级人民政府或者本级人民政府责令改正，通报批评；造成损失的，依法承担赔偿责任；对直接负责的主管人员和其他直接责任人员，依法给予处分；构成犯罪的，依法追究刑事责任：</w:t>
            </w:r>
          </w:p>
          <w:p w14:paraId="5DD2B88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（一）违反法定条件和程序确定征收范围、制定征收补偿方案、作出征收决定或者补偿决定的；</w:t>
            </w:r>
          </w:p>
          <w:p w14:paraId="2798D35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（二）干预房地产价格评估机构或者房地产价格评估专家鉴定委员会独立、客观、公正开展评估工作，或者直接确定房屋价值补偿价格的；</w:t>
            </w:r>
          </w:p>
          <w:p w14:paraId="175C3A4E">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（三）妨碍或者限制被征收人选定评估机构、选择补偿安置方式、申请行政复议或者提起行政诉讼等权利的；</w:t>
            </w:r>
          </w:p>
          <w:p w14:paraId="4BDECAE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（四）采取非法方式或者默许他人采用非法方式迫使被征收人签订补偿协议或者搬迁的；</w:t>
            </w:r>
          </w:p>
          <w:p w14:paraId="52A1443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（五）违法实施强制拆迁的；</w:t>
            </w:r>
          </w:p>
          <w:p w14:paraId="001ABC4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（六）不依法公开征收补偿结果及其他相关信息的；</w:t>
            </w:r>
          </w:p>
          <w:p w14:paraId="7BDED945">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（七）为非公共利益需要的项目征收房屋的；</w:t>
            </w:r>
          </w:p>
          <w:p w14:paraId="3F9F0F2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（八）其他滥用职权、玩忽职守、徇私舞弊行为的。 </w:t>
            </w:r>
          </w:p>
          <w:p w14:paraId="5795071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5、负责房屋征收工作的政府不得对非公共利益建设项目实施房屋征收，项目建设单位采取欺骗、暴力、威胁或者干扰房屋所有权人生活等方式，迫使房屋所有权人签订协议、强制搬迁的，负责房屋征收工作的政府及有关部门应当予以制止；情节严重的，由城乡规划、国土资源、发展改革、建设等部门依法撤销建设项目有关批准文件；构成犯罪的，依法追究刑事责任。</w:t>
            </w:r>
          </w:p>
          <w:p w14:paraId="05EF4DD8">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6、其他违反法律法规规章文件规定的行为。</w:t>
            </w:r>
          </w:p>
        </w:tc>
        <w:tc>
          <w:tcPr>
            <w:tcW w:w="450" w:type="dxa"/>
          </w:tcPr>
          <w:p w14:paraId="116FAED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p>
        </w:tc>
      </w:tr>
      <w:tr w14:paraId="522F2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420" w:type="dxa"/>
            <w:vAlign w:val="center"/>
          </w:tcPr>
          <w:p w14:paraId="6CCD1E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2</w:t>
            </w:r>
          </w:p>
        </w:tc>
        <w:tc>
          <w:tcPr>
            <w:tcW w:w="967" w:type="dxa"/>
            <w:vAlign w:val="center"/>
          </w:tcPr>
          <w:p w14:paraId="0F3A40D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lang w:val="en-US" w:eastAsia="zh-CN"/>
              </w:rPr>
            </w:pPr>
            <w:r>
              <w:rPr>
                <w:rFonts w:hint="eastAsia" w:asciiTheme="minorEastAsia" w:hAnsiTheme="minorEastAsia" w:eastAsiaTheme="minorEastAsia" w:cstheme="minorEastAsia"/>
                <w:sz w:val="21"/>
                <w:szCs w:val="21"/>
                <w:vertAlign w:val="baseline"/>
                <w:lang w:val="en-US" w:eastAsia="zh-CN"/>
              </w:rPr>
              <w:t>储备土地</w:t>
            </w:r>
            <w:r>
              <w:rPr>
                <w:rFonts w:hint="eastAsia" w:asciiTheme="minorEastAsia" w:hAnsiTheme="minorEastAsia" w:cstheme="minorEastAsia"/>
                <w:sz w:val="21"/>
                <w:szCs w:val="21"/>
                <w:vertAlign w:val="baseline"/>
                <w:lang w:val="en-US" w:eastAsia="zh-CN"/>
              </w:rPr>
              <w:t>的</w:t>
            </w:r>
            <w:r>
              <w:rPr>
                <w:rFonts w:hint="eastAsia" w:asciiTheme="minorEastAsia" w:hAnsiTheme="minorEastAsia" w:eastAsiaTheme="minorEastAsia" w:cstheme="minorEastAsia"/>
                <w:sz w:val="21"/>
                <w:szCs w:val="21"/>
                <w:vertAlign w:val="baseline"/>
                <w:lang w:val="en-US" w:eastAsia="zh-CN"/>
              </w:rPr>
              <w:t>征收</w:t>
            </w:r>
          </w:p>
        </w:tc>
        <w:tc>
          <w:tcPr>
            <w:tcW w:w="500" w:type="dxa"/>
          </w:tcPr>
          <w:p w14:paraId="0C28FB6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p>
        </w:tc>
        <w:tc>
          <w:tcPr>
            <w:tcW w:w="516" w:type="dxa"/>
            <w:vAlign w:val="center"/>
          </w:tcPr>
          <w:p w14:paraId="4D891FF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i w:val="0"/>
                <w:color w:val="000000"/>
                <w:kern w:val="0"/>
                <w:sz w:val="21"/>
                <w:szCs w:val="21"/>
                <w:u w:val="none"/>
                <w:lang w:val="en-US" w:eastAsia="zh-CN" w:bidi="ar"/>
              </w:rPr>
              <w:t>行政征收</w:t>
            </w:r>
          </w:p>
        </w:tc>
        <w:tc>
          <w:tcPr>
            <w:tcW w:w="9467" w:type="dxa"/>
          </w:tcPr>
          <w:p w14:paraId="0FD07E9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《中华人民共和国土地管理法》</w:t>
            </w:r>
            <w:r>
              <w:rPr>
                <w:rFonts w:hint="eastAsia" w:asciiTheme="minorEastAsia" w:hAnsi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sz w:val="21"/>
                <w:szCs w:val="21"/>
                <w:vertAlign w:val="baseline"/>
              </w:rPr>
              <w:t>第四十七条 国家征收土地的，依照法定程序批准后，由县级以上地方人民政府予以公告并组织实施。县级以上地方人民政府拟申请征收土地的，应当开展拟征收土地现状调查和社会稳定风险评估，并将征收范围、土地现状、征收目的、补偿标准、安置方式和社会保障等在拟征收土地所在的乡(镇)和村、村民小组范围内公告至少三十日，听取被征地的农村集体经济组织及其成员、村民委员会和其他利害关系人的意见。多数被征地的农村集体经济组织成员认为征地补偿安置方案不符合法律、法规规定的，县级以上地方人民政府应当组织召开听证会，并根据法律、法规的规定和听证会情况修改方案。拟征收土地的所有权人、使用权人应当在公告规定期限内，持不动产权属证明材料办理补偿登记。县级以上地方人民政府应当组织有关部门测算并落实有关费用，保证足额到位，与拟征收土地的所有权人、使用权人就补偿、安置等签订协议;个别确实难以达成协议的，应当在申请征收土地时如实说明。相关前期工作完成后，县级以上地方人民政府方可申请征收土地。第四十八条 征收土地应当给予公平、合理的补偿，保障被征地农民原有生活水平不降低、长远生计有保障。征收土地应当依法及时足额支付土地补偿费、安置补助费以及农村村民住宅、其他地上附着物和青苗等的补偿费用，并安排被征地农民的社会保障费用。征收农用地的土地补偿费、安置补助费标准由省、自治区、直辖市通过制定公布区片综合地价确定。制定区片综合地价应当综合考虑土地原用途、土地资源条件、土地产值、土地区位、土地供求关系</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人口以及经济社会发展水平等因素，并至少每三年调整或者重新公布一次。征收农用地以外的其他土地、地上附着物和青苗等的补偿标准，由省、自治区、直辖市制定。对其中的农村村民住宅，应当按照先补偿后搬迁、居住条件有改善的原则，尊重农村村民意愿，采取重新安排宅基地建房、提供安置房或者货币补偿等方式给予公平、合理的补偿，并对因征收造成的搬迁、临时安置等费用予以补偿，保障农村村民居住的权利和合法的住房财产权益。县级以上地方人民政府应当将被征地农民纳入相应的养老等社会保障体系。被征地农民的社会保障费用主要用于符合条件的被征地农民的养老保险等社会保险缴费补贴。被征地农民社会保障费用的筹集、管理和使用办法，由省、自治区、直辖市制定。</w:t>
            </w:r>
          </w:p>
          <w:p w14:paraId="6C22F52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《中华人民共和国土地管理法实施条例》                                                                                                        第二十六条  需要征收土地，县级以上地方人民政府认为符合《中华人民共和国土地管理法》第四十五条规定的，应当发布征收土地预公告，并开展拟征收土地现状调查和社会稳定风险评估。</w:t>
            </w:r>
          </w:p>
          <w:p w14:paraId="6CDC5AC6">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征收土地预公告应当包括征收范围、征收目的、开展土地现状调查的安排等内容。征收土地预公告应当采用有利于社会公众知晓的方式，在拟征收土地所在的乡（镇）和村、村民小组范围内发布，预公告时间不少于十个工作日。自征收土地预公告发布之日起，任何单位和个人不得在拟征收范围内抢栽抢建；违反规定抢栽抢建的，对抢栽抢建部分不予补偿。土地现状调查应当查明土地的位置、权属、地类、面积，以及农村村民住宅、其他地上附着物和青苗等的权属、种类、数量等情况。社会稳定风险评估应当对征收土地的社会稳定风险状况进行综合研判，确定风险点，提出风险防范措施和处置预案。社会稳定风险评估应当有被征地的农村集体经济组织及其成员、村民委员会和其他利害关系人参加，评估结果是申请征收土地的重要依据</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第二十七条  县级以上地方人民政府应当依据社会稳定风险评估结果，结合土地现状调查情况，组织自然资源、财政、农业农村、人力资源和社会保障等有关部门拟定征地补偿安置方案。征地补偿安置方案应当包括征收范围、土地现状、征收目的、补偿方式和标准、安置对象、安置方式、社会保障等内容。第二十八条  征地补偿安置方案拟定后，县级以上地方人民政府应当在拟征收土地所在的乡（镇）和村、村民小组范围内公告，公告时间不少于三十日。</w:t>
            </w:r>
          </w:p>
          <w:p w14:paraId="3B400FE9">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征地补偿安置公告应当同时载明办理补偿登记的方式和期限、异议反馈渠道等内容。</w:t>
            </w:r>
          </w:p>
          <w:p w14:paraId="1A554EA4">
            <w:pPr>
              <w:keepNext w:val="0"/>
              <w:keepLines w:val="0"/>
              <w:pageBreakBefore w:val="0"/>
              <w:widowControl w:val="0"/>
              <w:kinsoku/>
              <w:wordWrap/>
              <w:overflowPunct/>
              <w:topLinePunct w:val="0"/>
              <w:autoSpaceDE/>
              <w:autoSpaceDN/>
              <w:bidi w:val="0"/>
              <w:adjustRightInd/>
              <w:snapToGrid/>
              <w:spacing w:line="23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多数被征地的农村集体经济组织成员认为拟定的征地补偿安置方案不符合法律、法规规定的，县级以上地方人民政府应当组织听证。第二十九条  县级以上地方人民政府根据法律、法规规定和听证会等情况确定征地补偿安置方案后，应当组织有关部门与拟征收土地的所有权人、使用权人签订征地补偿安置协议。征地补偿安置协议示范文本由省、自治区、直辖市人民政府制定。对个别确实难以达成征地补偿安置协议的，县级以上地方人民政府应当在申请征收土地时如实说明。第三十条  县级以上地方人民政府完成本条例规定的征地前期工作后，方可提出征收土地申请，依照《中华人民共和国土地管理法》第四十六条的规定报有批准权的人民政府批准。有批准权的人民政府应当对征收土地的必要性、合理性、是否符合《中华人民共和国土地管理法》第四十五条规定的为了公共利益确需征收土地的情形以及是否符合法定程序进行审查。第三十一条  征收土地申请经依法批准后，县级以上地方人民政府应当自收到批准文件之日起十五个工作日内在拟征收土地所在的乡（镇）和村、村民小组范围内发布征收土地公告，公布征收范围、征收时间等具体工作安排，对个别未达成征地补偿安置协议的应当作出征地补偿安置决定，并依法组织实施。第三十二条  省、自治区、直辖市应当制定公布区片综合地价，确定征收农用地的土地补偿费、安置补助费标准，并制定土地补偿费、安置补助费分配办法。地上附着物和青苗等的补偿费用，归其所有权人所有。社会保障费用主要用于符合条件的被征地农民的养老保险等社会保险缴费补贴，按照省、自治区、直辖市的规定单独列支。申请征收土地的县级以上地方人民政府应当及时落实土地补偿费、安置补助费、农村村民住宅以及其他地上附着物和青苗等的补偿费用、社会保障费用等，并保证足额到位，专款专用。有关费用未足额到位的，不得批准征收土地。第六十二条  违反土地管理法律、法规规定，阻挠国家建设征收土地的，由县级以上地方人民政府责令交出土地；拒不交出土地的，依法申请人民法院强制执行。</w:t>
            </w:r>
          </w:p>
          <w:p w14:paraId="21ADEBC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p>
        </w:tc>
        <w:tc>
          <w:tcPr>
            <w:tcW w:w="483" w:type="dxa"/>
            <w:vAlign w:val="center"/>
          </w:tcPr>
          <w:p w14:paraId="54F4041E">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乌鲁木齐市米东区房屋征收与补偿管理办公室（乌鲁木齐市米东区土地征收储备管理办公室）</w:t>
            </w:r>
          </w:p>
          <w:p w14:paraId="30DD63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p>
        </w:tc>
        <w:tc>
          <w:tcPr>
            <w:tcW w:w="567" w:type="dxa"/>
            <w:vAlign w:val="center"/>
          </w:tcPr>
          <w:p w14:paraId="3F531B6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土地征收股</w:t>
            </w:r>
          </w:p>
        </w:tc>
        <w:tc>
          <w:tcPr>
            <w:tcW w:w="317" w:type="dxa"/>
            <w:vAlign w:val="center"/>
          </w:tcPr>
          <w:p w14:paraId="00E18FE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cstheme="minorEastAsia"/>
                <w:i w:val="0"/>
                <w:color w:val="000000"/>
                <w:kern w:val="0"/>
                <w:sz w:val="21"/>
                <w:szCs w:val="21"/>
                <w:u w:val="none"/>
                <w:lang w:val="en-US" w:eastAsia="zh-CN" w:bidi="ar"/>
              </w:rPr>
              <w:t>区级</w:t>
            </w:r>
          </w:p>
        </w:tc>
        <w:tc>
          <w:tcPr>
            <w:tcW w:w="469" w:type="dxa"/>
            <w:gridSpan w:val="2"/>
            <w:vAlign w:val="center"/>
          </w:tcPr>
          <w:p w14:paraId="58CF9F8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eastAsiaTheme="minorEastAsia" w:cstheme="minorEastAsia"/>
                <w:sz w:val="21"/>
                <w:szCs w:val="21"/>
                <w:vertAlign w:val="baseline"/>
              </w:rPr>
              <w:t>按照实施</w:t>
            </w:r>
            <w:r>
              <w:rPr>
                <w:rFonts w:hint="eastAsia" w:asciiTheme="minorEastAsia" w:hAnsiTheme="minorEastAsia" w:cstheme="minorEastAsia"/>
                <w:sz w:val="21"/>
                <w:szCs w:val="21"/>
                <w:vertAlign w:val="baseline"/>
                <w:lang w:eastAsia="zh-CN"/>
              </w:rPr>
              <w:t>项目征收行政范围内的土地</w:t>
            </w:r>
          </w:p>
        </w:tc>
        <w:tc>
          <w:tcPr>
            <w:tcW w:w="567" w:type="dxa"/>
            <w:gridSpan w:val="2"/>
            <w:vAlign w:val="center"/>
          </w:tcPr>
          <w:p w14:paraId="3E85ABD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征收储备土地</w:t>
            </w:r>
          </w:p>
        </w:tc>
        <w:tc>
          <w:tcPr>
            <w:tcW w:w="2116" w:type="dxa"/>
            <w:gridSpan w:val="2"/>
            <w:vAlign w:val="center"/>
          </w:tcPr>
          <w:p w14:paraId="6D08A90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1、发布土地征收预公告</w:t>
            </w:r>
          </w:p>
          <w:p w14:paraId="04C0231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2、开展土地现状调查</w:t>
            </w:r>
          </w:p>
          <w:p w14:paraId="18F8362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3、开展社会稳定风险评估</w:t>
            </w:r>
          </w:p>
          <w:p w14:paraId="0F37833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4、拟定征地补偿安置方案</w:t>
            </w:r>
          </w:p>
          <w:p w14:paraId="4F55DEB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5、发布征地补偿安置方案公告</w:t>
            </w:r>
          </w:p>
          <w:p w14:paraId="465503A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6、组织听证</w:t>
            </w:r>
          </w:p>
          <w:p w14:paraId="13196FF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7、办理征地补偿登记</w:t>
            </w:r>
          </w:p>
          <w:p w14:paraId="6DD0B26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8、签订征地补偿安置协议</w:t>
            </w:r>
          </w:p>
          <w:p w14:paraId="5ED90C2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9、发布土地征收公告</w:t>
            </w:r>
          </w:p>
          <w:p w14:paraId="1DA9CA2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10、作出征地补偿安置决定</w:t>
            </w:r>
          </w:p>
          <w:p w14:paraId="27AEA6A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11、责令交出土地</w:t>
            </w:r>
          </w:p>
          <w:p w14:paraId="3F9811E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12、申请法院强制执行</w:t>
            </w:r>
          </w:p>
          <w:p w14:paraId="541D462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                      </w:t>
            </w:r>
          </w:p>
        </w:tc>
        <w:tc>
          <w:tcPr>
            <w:tcW w:w="1450" w:type="dxa"/>
            <w:gridSpan w:val="2"/>
            <w:vAlign w:val="center"/>
          </w:tcPr>
          <w:p w14:paraId="223461C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《中华人民共和国土地管理法》</w:t>
            </w:r>
            <w:r>
              <w:rPr>
                <w:rFonts w:hint="eastAsia" w:asciiTheme="minorEastAsia" w:hAnsiTheme="minorEastAsia" w:cstheme="minorEastAsia"/>
                <w:sz w:val="21"/>
                <w:szCs w:val="21"/>
                <w:vertAlign w:val="baseline"/>
                <w:lang w:eastAsia="zh-CN"/>
              </w:rPr>
              <w:t>、</w:t>
            </w:r>
            <w:r>
              <w:rPr>
                <w:rFonts w:hint="eastAsia" w:asciiTheme="minorEastAsia" w:hAnsiTheme="minorEastAsia" w:eastAsiaTheme="minorEastAsia" w:cstheme="minorEastAsia"/>
                <w:sz w:val="21"/>
                <w:szCs w:val="21"/>
                <w:vertAlign w:val="baseline"/>
              </w:rPr>
              <w:t>《中华人民共和国土地管理法实施条例》</w:t>
            </w:r>
            <w:r>
              <w:rPr>
                <w:rFonts w:hint="eastAsia" w:asciiTheme="minorEastAsia" w:hAnsiTheme="minorEastAsia" w:cstheme="minorEastAsia"/>
                <w:sz w:val="21"/>
                <w:szCs w:val="21"/>
                <w:vertAlign w:val="baseline"/>
                <w:lang w:eastAsia="zh-CN"/>
              </w:rPr>
              <w:t>、《征收土地方案》和评估结果</w:t>
            </w:r>
            <w:r>
              <w:rPr>
                <w:rFonts w:hint="eastAsia" w:asciiTheme="minorEastAsia" w:hAnsiTheme="minorEastAsia" w:eastAsiaTheme="minorEastAsia" w:cstheme="minorEastAsia"/>
                <w:sz w:val="21"/>
                <w:szCs w:val="21"/>
                <w:vertAlign w:val="baseline"/>
              </w:rPr>
              <w:t xml:space="preserve">  </w:t>
            </w:r>
          </w:p>
        </w:tc>
        <w:tc>
          <w:tcPr>
            <w:tcW w:w="673" w:type="dxa"/>
            <w:vAlign w:val="center"/>
          </w:tcPr>
          <w:p w14:paraId="16BF8252">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eastAsiaTheme="minorEastAsia" w:cstheme="minorEastAsia"/>
                <w:sz w:val="21"/>
                <w:szCs w:val="21"/>
                <w:vertAlign w:val="baseline"/>
              </w:rPr>
            </w:pPr>
            <w:r>
              <w:rPr>
                <w:rFonts w:ascii="宋体" w:hAnsi="宋体" w:eastAsia="宋体" w:cs="宋体"/>
                <w:sz w:val="24"/>
                <w:szCs w:val="24"/>
              </w:rPr>
              <w:t>1.具体</w:t>
            </w:r>
            <w:r>
              <w:rPr>
                <w:rFonts w:hint="eastAsia" w:ascii="宋体" w:hAnsi="宋体" w:eastAsia="宋体" w:cs="宋体"/>
                <w:sz w:val="24"/>
                <w:szCs w:val="24"/>
                <w:lang w:eastAsia="zh-CN"/>
              </w:rPr>
              <w:t>承</w:t>
            </w:r>
            <w:r>
              <w:rPr>
                <w:rFonts w:ascii="宋体" w:hAnsi="宋体" w:eastAsia="宋体" w:cs="宋体"/>
                <w:sz w:val="24"/>
                <w:szCs w:val="24"/>
              </w:rPr>
              <w:t>办人；2.内设机构负责人；3.单位法定代表人或分管领导。</w:t>
            </w:r>
          </w:p>
        </w:tc>
        <w:tc>
          <w:tcPr>
            <w:tcW w:w="3891" w:type="dxa"/>
            <w:gridSpan w:val="2"/>
            <w:vAlign w:val="center"/>
          </w:tcPr>
          <w:p w14:paraId="12080D0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《中华人民共和国土地管理法》                                                                                                                                第七十九条 无权批准征收、使用土地的单位或者个人非法批准占用土地的，超越批准权限非法批准占用土地的，不按照土地利用总体规划确定的用途批准用地的，或者违反法律规定的程序批准占用、征收土地的，其批准文件无效，对非法批准征收、使用土地的直接负责的主管人员和其他直接责任人员，依法给予处分;构成犯罪的，依法追究刑事责任。非法批准、使用的土地应当收回，有关当事人拒不归还的，以非法占用土地论处。</w:t>
            </w:r>
          </w:p>
          <w:p w14:paraId="22EA096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非法批准征收、使用土地，对当事人造成损失的，依法应当承担赔偿责任。</w:t>
            </w:r>
          </w:p>
          <w:p w14:paraId="6C265DF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 xml:space="preserve">第八十条 侵占、挪用被征收土地单位的征地补偿费用和其他有关费用，构成犯罪的，依法追究刑事责任;尚不构成犯罪的，依法给予处分。                </w:t>
            </w:r>
          </w:p>
          <w:p w14:paraId="1745D5E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p>
          <w:p w14:paraId="0B73462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vertAlign w:val="baseline"/>
              </w:rPr>
              <w:t>《中华人民共和国土地管理法实施条例》第六十四条  贪污、侵占、挪用、私分、截留、拖欠征地补偿安置费用和其他有关费用的，责令改正，追回有关款项，限期退还违法所得，对有关责任单位通报批评、给予警告；造成损失的，依法承担赔偿责任；对直接负责的主管人员和其他直接责任人员，依法给予处分。</w:t>
            </w:r>
          </w:p>
          <w:p w14:paraId="550F54F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p>
          <w:p w14:paraId="4F0104C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p>
        </w:tc>
        <w:tc>
          <w:tcPr>
            <w:tcW w:w="450" w:type="dxa"/>
          </w:tcPr>
          <w:p w14:paraId="12393DF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sz w:val="21"/>
                <w:szCs w:val="21"/>
                <w:vertAlign w:val="baseline"/>
              </w:rPr>
            </w:pPr>
          </w:p>
        </w:tc>
      </w:tr>
      <w:tr w14:paraId="6CAA3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3" w:hRule="atLeast"/>
        </w:trPr>
        <w:tc>
          <w:tcPr>
            <w:tcW w:w="420" w:type="dxa"/>
            <w:shd w:val="clear" w:color="auto" w:fill="auto"/>
            <w:vAlign w:val="center"/>
          </w:tcPr>
          <w:p w14:paraId="1DE1AA8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eastAsiaTheme="minorEastAsia" w:cstheme="minorEastAsia"/>
                <w:kern w:val="2"/>
                <w:sz w:val="21"/>
                <w:szCs w:val="21"/>
                <w:vertAlign w:val="baseline"/>
                <w:lang w:val="en-US" w:eastAsia="zh-CN" w:bidi="ar-SA"/>
              </w:rPr>
              <w:t>3</w:t>
            </w:r>
          </w:p>
        </w:tc>
        <w:tc>
          <w:tcPr>
            <w:tcW w:w="967" w:type="dxa"/>
            <w:shd w:val="clear" w:color="auto" w:fill="auto"/>
            <w:vAlign w:val="center"/>
          </w:tcPr>
          <w:p w14:paraId="549611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eastAsiaTheme="minorEastAsia" w:cstheme="minorEastAsia"/>
                <w:sz w:val="21"/>
                <w:szCs w:val="21"/>
                <w:vertAlign w:val="baseline"/>
                <w:lang w:val="en-US" w:eastAsia="zh-CN"/>
              </w:rPr>
              <w:t xml:space="preserve">          </w:t>
            </w:r>
            <w:r>
              <w:rPr>
                <w:rFonts w:hint="eastAsia" w:asciiTheme="minorEastAsia" w:hAnsiTheme="minorEastAsia" w:eastAsiaTheme="minorEastAsia" w:cstheme="minorEastAsia"/>
                <w:sz w:val="21"/>
                <w:szCs w:val="21"/>
                <w:vertAlign w:val="baseline"/>
              </w:rPr>
              <w:t>土地储备</w:t>
            </w:r>
          </w:p>
        </w:tc>
        <w:tc>
          <w:tcPr>
            <w:tcW w:w="500" w:type="dxa"/>
            <w:shd w:val="clear" w:color="auto" w:fill="auto"/>
            <w:vAlign w:val="top"/>
          </w:tcPr>
          <w:p w14:paraId="790B93E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p>
        </w:tc>
        <w:tc>
          <w:tcPr>
            <w:tcW w:w="516" w:type="dxa"/>
            <w:shd w:val="clear" w:color="auto" w:fill="auto"/>
            <w:vAlign w:val="center"/>
          </w:tcPr>
          <w:p w14:paraId="14809FE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i w:val="0"/>
                <w:color w:val="000000"/>
                <w:kern w:val="0"/>
                <w:sz w:val="21"/>
                <w:szCs w:val="21"/>
                <w:highlight w:val="none"/>
                <w:u w:val="none"/>
                <w:lang w:val="en-US" w:eastAsia="zh-CN" w:bidi="ar"/>
              </w:rPr>
            </w:pPr>
            <w:r>
              <w:rPr>
                <w:rFonts w:hint="eastAsia" w:asciiTheme="minorEastAsia" w:hAnsiTheme="minorEastAsia" w:eastAsiaTheme="minorEastAsia" w:cstheme="minorEastAsia"/>
                <w:i w:val="0"/>
                <w:color w:val="000000"/>
                <w:kern w:val="0"/>
                <w:sz w:val="21"/>
                <w:szCs w:val="21"/>
                <w:highlight w:val="none"/>
                <w:u w:val="none"/>
                <w:lang w:val="en-US" w:eastAsia="zh-CN" w:bidi="ar"/>
              </w:rPr>
              <w:t>行政</w:t>
            </w:r>
          </w:p>
          <w:p w14:paraId="16A78F5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i w:val="0"/>
                <w:color w:val="000000"/>
                <w:kern w:val="0"/>
                <w:sz w:val="21"/>
                <w:szCs w:val="21"/>
                <w:highlight w:val="none"/>
                <w:u w:val="none"/>
                <w:lang w:val="en-US" w:eastAsia="zh-CN" w:bidi="ar"/>
              </w:rPr>
            </w:pPr>
            <w:r>
              <w:rPr>
                <w:rFonts w:hint="eastAsia" w:asciiTheme="minorEastAsia" w:hAnsiTheme="minorEastAsia" w:cstheme="minorEastAsia"/>
                <w:i w:val="0"/>
                <w:color w:val="000000"/>
                <w:kern w:val="0"/>
                <w:sz w:val="21"/>
                <w:szCs w:val="21"/>
                <w:highlight w:val="none"/>
                <w:u w:val="none"/>
                <w:lang w:val="en-US" w:eastAsia="zh-CN" w:bidi="ar"/>
              </w:rPr>
              <w:t>征收</w:t>
            </w:r>
          </w:p>
        </w:tc>
        <w:tc>
          <w:tcPr>
            <w:tcW w:w="9467" w:type="dxa"/>
            <w:shd w:val="clear" w:color="auto" w:fill="auto"/>
            <w:vAlign w:val="center"/>
          </w:tcPr>
          <w:p w14:paraId="6724B4F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eastAsiaTheme="minorEastAsia" w:cstheme="minorEastAsia"/>
                <w:sz w:val="21"/>
                <w:szCs w:val="21"/>
                <w:vertAlign w:val="baseline"/>
              </w:rPr>
              <w:t>《关于各区房屋土地征收机构名称及职责调整事项的通知》（乌编办〔2025〕9号）                                          完善市、区两级权责明晰、程序高效、流程紧扣、责任压实的征收储备一体化机制工作机制。</w:t>
            </w:r>
          </w:p>
        </w:tc>
        <w:tc>
          <w:tcPr>
            <w:tcW w:w="483" w:type="dxa"/>
            <w:shd w:val="clear" w:color="auto" w:fill="auto"/>
            <w:vAlign w:val="top"/>
          </w:tcPr>
          <w:p w14:paraId="4A48C0C0">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Theme="minorEastAsia" w:hAnsiTheme="minorEastAsia" w:cstheme="minorEastAsia"/>
                <w:sz w:val="21"/>
                <w:szCs w:val="21"/>
                <w:vertAlign w:val="baseline"/>
                <w:lang w:eastAsia="zh-CN"/>
              </w:rPr>
            </w:pPr>
            <w:r>
              <w:rPr>
                <w:rFonts w:hint="eastAsia" w:asciiTheme="minorEastAsia" w:hAnsiTheme="minorEastAsia" w:cstheme="minorEastAsia"/>
                <w:sz w:val="21"/>
                <w:szCs w:val="21"/>
                <w:vertAlign w:val="baseline"/>
                <w:lang w:eastAsia="zh-CN"/>
              </w:rPr>
              <w:t>乌鲁木齐市米东区房屋征收与补偿管理办公室（乌鲁木齐市米东区土地征收储备管理办公室）</w:t>
            </w:r>
          </w:p>
          <w:p w14:paraId="4DE4EDF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p>
        </w:tc>
        <w:tc>
          <w:tcPr>
            <w:tcW w:w="567" w:type="dxa"/>
            <w:shd w:val="clear" w:color="auto" w:fill="auto"/>
            <w:vAlign w:val="center"/>
          </w:tcPr>
          <w:p w14:paraId="7B76ACB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cstheme="minorEastAsia"/>
                <w:sz w:val="21"/>
                <w:szCs w:val="21"/>
                <w:vertAlign w:val="baseline"/>
                <w:lang w:eastAsia="zh-CN"/>
              </w:rPr>
              <w:t>土地征收股</w:t>
            </w:r>
          </w:p>
        </w:tc>
        <w:tc>
          <w:tcPr>
            <w:tcW w:w="317" w:type="dxa"/>
            <w:shd w:val="clear" w:color="auto" w:fill="auto"/>
            <w:vAlign w:val="center"/>
          </w:tcPr>
          <w:p w14:paraId="61C9A32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cstheme="minorEastAsia"/>
                <w:i w:val="0"/>
                <w:color w:val="000000"/>
                <w:kern w:val="0"/>
                <w:sz w:val="21"/>
                <w:szCs w:val="21"/>
                <w:u w:val="none"/>
                <w:lang w:val="en-US" w:eastAsia="zh-CN" w:bidi="ar"/>
              </w:rPr>
              <w:t>区级</w:t>
            </w:r>
          </w:p>
        </w:tc>
        <w:tc>
          <w:tcPr>
            <w:tcW w:w="469" w:type="dxa"/>
            <w:gridSpan w:val="2"/>
            <w:shd w:val="clear" w:color="auto" w:fill="auto"/>
            <w:vAlign w:val="center"/>
          </w:tcPr>
          <w:p w14:paraId="4D14014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cstheme="minorEastAsia"/>
                <w:sz w:val="21"/>
                <w:szCs w:val="21"/>
                <w:vertAlign w:val="baseline"/>
                <w:lang w:eastAsia="zh-CN"/>
              </w:rPr>
              <w:t>收储行政区域范围内的土地</w:t>
            </w:r>
          </w:p>
        </w:tc>
        <w:tc>
          <w:tcPr>
            <w:tcW w:w="567" w:type="dxa"/>
            <w:gridSpan w:val="2"/>
            <w:shd w:val="clear" w:color="auto" w:fill="auto"/>
            <w:vAlign w:val="center"/>
          </w:tcPr>
          <w:p w14:paraId="27FCD9F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eastAsiaTheme="minorEastAsia" w:cstheme="minorEastAsia"/>
                <w:kern w:val="2"/>
                <w:sz w:val="21"/>
                <w:szCs w:val="21"/>
                <w:vertAlign w:val="baseline"/>
                <w:lang w:val="en-US" w:eastAsia="zh-CN" w:bidi="ar-SA"/>
              </w:rPr>
              <w:t>已征收需储备的土地</w:t>
            </w:r>
          </w:p>
        </w:tc>
        <w:tc>
          <w:tcPr>
            <w:tcW w:w="2116" w:type="dxa"/>
            <w:gridSpan w:val="2"/>
            <w:shd w:val="clear" w:color="auto" w:fill="auto"/>
            <w:vAlign w:val="center"/>
          </w:tcPr>
          <w:p w14:paraId="26E8EFC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eastAsiaTheme="minorEastAsia" w:cstheme="minorEastAsia"/>
                <w:sz w:val="21"/>
                <w:szCs w:val="21"/>
                <w:vertAlign w:val="baseline"/>
              </w:rPr>
              <w:t>1.负责建立本区拟储备土地项目库；                              2.编制土地储备年度计划、土地储备实施方案；                     3.测算土地储备资金需求；                                   4.负责对储备土地的日常管理和临时利用等工作；                    5.做好全民所有土地资产管理信息系统的录入、统计和管理工作；                                                    6.配合开展土地储备专项债项目的申报、资金使用、管理和偿还等工作。</w:t>
            </w:r>
          </w:p>
        </w:tc>
        <w:tc>
          <w:tcPr>
            <w:tcW w:w="1450" w:type="dxa"/>
            <w:gridSpan w:val="2"/>
            <w:shd w:val="clear" w:color="auto" w:fill="auto"/>
            <w:vAlign w:val="center"/>
          </w:tcPr>
          <w:p w14:paraId="5E0703C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r>
              <w:rPr>
                <w:rFonts w:hint="eastAsia" w:asciiTheme="minorEastAsia" w:hAnsiTheme="minorEastAsia" w:eastAsiaTheme="minorEastAsia" w:cstheme="minorEastAsia"/>
                <w:sz w:val="21"/>
                <w:szCs w:val="21"/>
                <w:vertAlign w:val="baseline"/>
              </w:rPr>
              <w:t>《关于各区房屋土地征收机构名称及职责调整事项的通知》（乌编办〔2025〕9号）</w:t>
            </w:r>
          </w:p>
        </w:tc>
        <w:tc>
          <w:tcPr>
            <w:tcW w:w="673" w:type="dxa"/>
            <w:shd w:val="clear" w:color="auto" w:fill="auto"/>
            <w:vAlign w:val="center"/>
          </w:tcPr>
          <w:p w14:paraId="53D4E20B">
            <w:pPr>
              <w:keepNext w:val="0"/>
              <w:keepLines w:val="0"/>
              <w:pageBreakBefore w:val="0"/>
              <w:widowControl w:val="0"/>
              <w:kinsoku/>
              <w:wordWrap/>
              <w:overflowPunct/>
              <w:topLinePunct w:val="0"/>
              <w:autoSpaceDE/>
              <w:autoSpaceDN/>
              <w:bidi w:val="0"/>
              <w:adjustRightInd/>
              <w:snapToGrid/>
              <w:spacing w:line="26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r>
              <w:rPr>
                <w:rFonts w:ascii="宋体" w:hAnsi="宋体" w:eastAsia="宋体" w:cs="宋体"/>
                <w:sz w:val="24"/>
                <w:szCs w:val="24"/>
              </w:rPr>
              <w:t>1.具体</w:t>
            </w:r>
            <w:r>
              <w:rPr>
                <w:rFonts w:hint="eastAsia" w:ascii="宋体" w:hAnsi="宋体" w:eastAsia="宋体" w:cs="宋体"/>
                <w:sz w:val="24"/>
                <w:szCs w:val="24"/>
                <w:lang w:eastAsia="zh-CN"/>
              </w:rPr>
              <w:t>承</w:t>
            </w:r>
            <w:r>
              <w:rPr>
                <w:rFonts w:ascii="宋体" w:hAnsi="宋体" w:eastAsia="宋体" w:cs="宋体"/>
                <w:sz w:val="24"/>
                <w:szCs w:val="24"/>
              </w:rPr>
              <w:t>办人；2.内设机构负责人；3.单位法定代表人或分管领导。</w:t>
            </w:r>
          </w:p>
        </w:tc>
        <w:tc>
          <w:tcPr>
            <w:tcW w:w="3891" w:type="dxa"/>
            <w:gridSpan w:val="2"/>
            <w:shd w:val="clear" w:color="auto" w:fill="auto"/>
            <w:vAlign w:val="center"/>
          </w:tcPr>
          <w:p w14:paraId="3B8666D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cstheme="minorEastAsia"/>
                <w:kern w:val="2"/>
                <w:sz w:val="21"/>
                <w:szCs w:val="21"/>
                <w:vertAlign w:val="baseline"/>
                <w:lang w:val="en-US" w:eastAsia="zh-CN" w:bidi="ar-SA"/>
              </w:rPr>
            </w:pPr>
            <w:r>
              <w:rPr>
                <w:rFonts w:hint="eastAsia" w:asciiTheme="minorEastAsia" w:hAnsiTheme="minorEastAsia" w:cstheme="minorEastAsia"/>
                <w:kern w:val="2"/>
                <w:sz w:val="21"/>
                <w:szCs w:val="21"/>
                <w:vertAlign w:val="baseline"/>
                <w:lang w:val="en-US" w:eastAsia="zh-CN" w:bidi="ar-SA"/>
              </w:rPr>
              <w:t>1、未经合法审批</w:t>
            </w:r>
          </w:p>
          <w:p w14:paraId="0BE4167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cstheme="minorEastAsia"/>
                <w:kern w:val="2"/>
                <w:sz w:val="21"/>
                <w:szCs w:val="21"/>
                <w:vertAlign w:val="baseline"/>
                <w:lang w:val="en-US" w:eastAsia="zh-CN" w:bidi="ar-SA"/>
              </w:rPr>
            </w:pPr>
            <w:r>
              <w:rPr>
                <w:rFonts w:hint="eastAsia" w:asciiTheme="minorEastAsia" w:hAnsiTheme="minorEastAsia" w:cstheme="minorEastAsia"/>
                <w:kern w:val="2"/>
                <w:sz w:val="21"/>
                <w:szCs w:val="21"/>
                <w:vertAlign w:val="baseline"/>
                <w:lang w:val="en-US" w:eastAsia="zh-CN" w:bidi="ar-SA"/>
              </w:rPr>
              <w:t>2、违反规划用途</w:t>
            </w:r>
          </w:p>
          <w:p w14:paraId="50F1E73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cstheme="minorEastAsia"/>
                <w:kern w:val="2"/>
                <w:sz w:val="21"/>
                <w:szCs w:val="21"/>
                <w:vertAlign w:val="baseline"/>
                <w:lang w:val="en-US" w:eastAsia="zh-CN" w:bidi="ar-SA"/>
              </w:rPr>
            </w:pPr>
            <w:r>
              <w:rPr>
                <w:rFonts w:hint="eastAsia" w:asciiTheme="minorEastAsia" w:hAnsiTheme="minorEastAsia" w:cstheme="minorEastAsia"/>
                <w:kern w:val="2"/>
                <w:sz w:val="21"/>
                <w:szCs w:val="21"/>
                <w:vertAlign w:val="baseline"/>
                <w:lang w:val="en-US" w:eastAsia="zh-CN" w:bidi="ar-SA"/>
              </w:rPr>
              <w:t>3、侵占、截留、挪用专项债资金</w:t>
            </w:r>
          </w:p>
          <w:p w14:paraId="5AA2FA8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Theme="minorEastAsia" w:hAnsiTheme="minorEastAsia" w:cstheme="minorEastAsia"/>
                <w:kern w:val="2"/>
                <w:sz w:val="21"/>
                <w:szCs w:val="21"/>
                <w:vertAlign w:val="baseline"/>
                <w:lang w:val="en-US" w:eastAsia="zh-CN" w:bidi="ar-SA"/>
              </w:rPr>
            </w:pPr>
            <w:bookmarkStart w:id="1" w:name="_GoBack"/>
            <w:r>
              <w:rPr>
                <w:rFonts w:hint="eastAsia" w:asciiTheme="minorEastAsia" w:hAnsiTheme="minorEastAsia" w:cstheme="minorEastAsia"/>
                <w:kern w:val="2"/>
                <w:sz w:val="21"/>
                <w:szCs w:val="21"/>
                <w:vertAlign w:val="baseline"/>
                <w:lang w:val="en-US" w:eastAsia="zh-CN" w:bidi="ar-SA"/>
              </w:rPr>
              <w:t>4、</w:t>
            </w:r>
            <w:bookmarkEnd w:id="1"/>
            <w:r>
              <w:rPr>
                <w:rFonts w:hint="eastAsia" w:asciiTheme="minorEastAsia" w:hAnsiTheme="minorEastAsia" w:cstheme="minorEastAsia"/>
                <w:kern w:val="2"/>
                <w:sz w:val="21"/>
                <w:szCs w:val="21"/>
                <w:vertAlign w:val="baseline"/>
                <w:lang w:val="en-US" w:eastAsia="zh-CN" w:bidi="ar-SA"/>
              </w:rPr>
              <w:t>未履行法定程序</w:t>
            </w:r>
          </w:p>
          <w:p w14:paraId="0FE0275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heme="minorEastAsia" w:hAnsiTheme="minorEastAsia" w:cstheme="minorEastAsia"/>
                <w:kern w:val="2"/>
                <w:sz w:val="21"/>
                <w:szCs w:val="21"/>
                <w:vertAlign w:val="baseline"/>
                <w:lang w:val="en-US" w:eastAsia="zh-CN" w:bidi="ar-SA"/>
              </w:rPr>
            </w:pPr>
          </w:p>
        </w:tc>
        <w:tc>
          <w:tcPr>
            <w:tcW w:w="450" w:type="dxa"/>
            <w:shd w:val="clear" w:color="auto" w:fill="auto"/>
            <w:vAlign w:val="top"/>
          </w:tcPr>
          <w:p w14:paraId="243A9FE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heme="minorEastAsia" w:hAnsiTheme="minorEastAsia" w:eastAsiaTheme="minorEastAsia" w:cstheme="minorEastAsia"/>
                <w:kern w:val="2"/>
                <w:sz w:val="21"/>
                <w:szCs w:val="21"/>
                <w:vertAlign w:val="baseline"/>
                <w:lang w:val="en-US" w:eastAsia="zh-CN" w:bidi="ar-SA"/>
              </w:rPr>
            </w:pPr>
          </w:p>
        </w:tc>
      </w:tr>
    </w:tbl>
    <w:p w14:paraId="307F43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2E1969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657F35E">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6AC00285">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4CE7ED0"/>
    <w:rsid w:val="06D412A7"/>
    <w:rsid w:val="15D05455"/>
    <w:rsid w:val="19EB1A74"/>
    <w:rsid w:val="1AFF6057"/>
    <w:rsid w:val="1DF451D9"/>
    <w:rsid w:val="1EF413AD"/>
    <w:rsid w:val="20052EF5"/>
    <w:rsid w:val="204958FC"/>
    <w:rsid w:val="25C42A83"/>
    <w:rsid w:val="26186658"/>
    <w:rsid w:val="26864808"/>
    <w:rsid w:val="291C5AE4"/>
    <w:rsid w:val="29B05DA7"/>
    <w:rsid w:val="31416C5C"/>
    <w:rsid w:val="320E354B"/>
    <w:rsid w:val="325255F8"/>
    <w:rsid w:val="33A928CE"/>
    <w:rsid w:val="342901D5"/>
    <w:rsid w:val="350604B7"/>
    <w:rsid w:val="3775327A"/>
    <w:rsid w:val="37B4116F"/>
    <w:rsid w:val="39965008"/>
    <w:rsid w:val="3C746176"/>
    <w:rsid w:val="3C761E16"/>
    <w:rsid w:val="3DCD35F9"/>
    <w:rsid w:val="3F90010D"/>
    <w:rsid w:val="427C45A1"/>
    <w:rsid w:val="44CC2B6C"/>
    <w:rsid w:val="4AED334A"/>
    <w:rsid w:val="5A66425D"/>
    <w:rsid w:val="5DEE5DA8"/>
    <w:rsid w:val="63954645"/>
    <w:rsid w:val="63CC36EB"/>
    <w:rsid w:val="668F2A3A"/>
    <w:rsid w:val="74B64688"/>
    <w:rsid w:val="752062B5"/>
    <w:rsid w:val="79537342"/>
    <w:rsid w:val="7B712812"/>
    <w:rsid w:val="7F7F7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8772</Words>
  <Characters>8819</Characters>
  <Lines>0</Lines>
  <Paragraphs>0</Paragraphs>
  <TotalTime>21</TotalTime>
  <ScaleCrop>false</ScaleCrop>
  <LinksUpToDate>false</LinksUpToDate>
  <CharactersWithSpaces>10215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2025-09-17T10:05:00Z</cp:lastPrinted>
  <dcterms:modified xsi:type="dcterms:W3CDTF">2025-10-29T02:37:06Z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7D2A644BE4E84D0C8BF56B17A4410146_13</vt:lpwstr>
  </property>
  <property fmtid="{D5CDD505-2E9C-101B-9397-08002B2CF9AE}" pid="4" name="KSOTemplateDocerSaveRecord">
    <vt:lpwstr>eyJoZGlkIjoiNzAzMTZiOTBhOTBkMDc3MWNhMWMyZjVmMDg2YmMwOTgiLCJ1c2VySWQiOiIxODc2NTQwNiJ9</vt:lpwstr>
  </property>
</Properties>
</file>