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23E48">
      <w:pPr>
        <w:keepNext w:val="0"/>
        <w:keepLines w:val="0"/>
        <w:pageBreakBefore w:val="0"/>
        <w:kinsoku/>
        <w:wordWrap/>
        <w:overflowPunct/>
        <w:topLinePunct w:val="0"/>
        <w:autoSpaceDE/>
        <w:autoSpaceDN/>
        <w:bidi w:val="0"/>
        <w:adjustRightInd/>
        <w:snapToGrid/>
        <w:spacing w:line="720" w:lineRule="auto"/>
        <w:jc w:val="center"/>
        <w:rPr>
          <w:rFonts w:hint="eastAsia" w:ascii="方正仿宋_GBK" w:hAnsi="方正仿宋_GBK" w:eastAsia="方正仿宋_GBK" w:cs="方正仿宋_GBK"/>
          <w:sz w:val="15"/>
          <w:szCs w:val="15"/>
        </w:rPr>
      </w:pPr>
      <w:r>
        <w:rPr>
          <w:rFonts w:hint="eastAsia" w:ascii="方正小标宋_GBK" w:hAnsi="方正小标宋_GBK" w:eastAsia="方正小标宋_GBK" w:cs="方正小标宋_GBK"/>
          <w:sz w:val="44"/>
          <w:szCs w:val="44"/>
        </w:rPr>
        <w:t>米东区民政局权责清单（行政处罚类）</w:t>
      </w:r>
    </w:p>
    <w:tbl>
      <w:tblPr>
        <w:tblStyle w:val="5"/>
        <w:tblW w:w="1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948"/>
        <w:gridCol w:w="435"/>
        <w:gridCol w:w="455"/>
        <w:gridCol w:w="3724"/>
        <w:gridCol w:w="497"/>
        <w:gridCol w:w="382"/>
        <w:gridCol w:w="513"/>
        <w:gridCol w:w="945"/>
        <w:gridCol w:w="1086"/>
        <w:gridCol w:w="1086"/>
        <w:gridCol w:w="1187"/>
        <w:gridCol w:w="1073"/>
        <w:gridCol w:w="2911"/>
        <w:gridCol w:w="2096"/>
      </w:tblGrid>
      <w:tr w14:paraId="43BB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600" w:type="dxa"/>
            <w:vAlign w:val="center"/>
          </w:tcPr>
          <w:p w14:paraId="1D6B578A">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序号</w:t>
            </w:r>
          </w:p>
        </w:tc>
        <w:tc>
          <w:tcPr>
            <w:tcW w:w="948" w:type="dxa"/>
            <w:vAlign w:val="center"/>
          </w:tcPr>
          <w:p w14:paraId="300B5008">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事项名称</w:t>
            </w:r>
          </w:p>
        </w:tc>
        <w:tc>
          <w:tcPr>
            <w:tcW w:w="435" w:type="dxa"/>
            <w:vAlign w:val="center"/>
          </w:tcPr>
          <w:p w14:paraId="73C7FBC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455" w:type="dxa"/>
            <w:vAlign w:val="center"/>
          </w:tcPr>
          <w:p w14:paraId="46BA1FD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3724" w:type="dxa"/>
            <w:vAlign w:val="center"/>
          </w:tcPr>
          <w:p w14:paraId="2C247CE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497" w:type="dxa"/>
            <w:vAlign w:val="center"/>
          </w:tcPr>
          <w:p w14:paraId="54C77F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382" w:type="dxa"/>
            <w:vAlign w:val="center"/>
          </w:tcPr>
          <w:p w14:paraId="6BBBF46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458" w:type="dxa"/>
            <w:gridSpan w:val="2"/>
            <w:vAlign w:val="center"/>
          </w:tcPr>
          <w:p w14:paraId="5644E62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1086" w:type="dxa"/>
            <w:vAlign w:val="center"/>
          </w:tcPr>
          <w:p w14:paraId="111A90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086" w:type="dxa"/>
            <w:vAlign w:val="center"/>
          </w:tcPr>
          <w:p w14:paraId="1F1E2B0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187" w:type="dxa"/>
            <w:vAlign w:val="center"/>
          </w:tcPr>
          <w:p w14:paraId="106E151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1073" w:type="dxa"/>
            <w:vAlign w:val="center"/>
          </w:tcPr>
          <w:p w14:paraId="611F9A5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2911" w:type="dxa"/>
            <w:vAlign w:val="center"/>
          </w:tcPr>
          <w:p w14:paraId="266D693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2096" w:type="dxa"/>
            <w:vAlign w:val="center"/>
          </w:tcPr>
          <w:p w14:paraId="250F681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359B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8" w:hRule="atLeast"/>
          <w:jc w:val="center"/>
        </w:trPr>
        <w:tc>
          <w:tcPr>
            <w:tcW w:w="600" w:type="dxa"/>
            <w:vAlign w:val="center"/>
          </w:tcPr>
          <w:p w14:paraId="49767A87">
            <w:pPr>
              <w:keepNext w:val="0"/>
              <w:keepLines w:val="0"/>
              <w:pageBreakBefore w:val="0"/>
              <w:numPr>
                <w:ilvl w:val="0"/>
                <w:numId w:val="0"/>
              </w:numPr>
              <w:kinsoku/>
              <w:wordWrap/>
              <w:overflowPunct/>
              <w:topLinePunct w:val="0"/>
              <w:autoSpaceDE/>
              <w:autoSpaceDN/>
              <w:bidi w:val="0"/>
              <w:adjustRightInd/>
              <w:snapToGrid/>
              <w:spacing w:line="200" w:lineRule="exact"/>
              <w:ind w:leftChars="0"/>
              <w:jc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sz w:val="18"/>
                <w:szCs w:val="18"/>
                <w:vertAlign w:val="baseline"/>
                <w:lang w:val="en-US" w:eastAsia="zh-CN"/>
              </w:rPr>
              <w:t>1</w:t>
            </w:r>
          </w:p>
        </w:tc>
        <w:tc>
          <w:tcPr>
            <w:tcW w:w="948" w:type="dxa"/>
            <w:vAlign w:val="center"/>
          </w:tcPr>
          <w:p w14:paraId="7018F867">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对社会团体涂改、出租、出借《社会团体法人登记证书》，或者出租、出借社会团体印章，超出章程规定的宗旨和业务范围进行活动等情形的处罚</w:t>
            </w:r>
          </w:p>
        </w:tc>
        <w:tc>
          <w:tcPr>
            <w:tcW w:w="435" w:type="dxa"/>
            <w:vAlign w:val="center"/>
          </w:tcPr>
          <w:p w14:paraId="466BF1E7">
            <w:pPr>
              <w:keepNext w:val="0"/>
              <w:keepLines w:val="0"/>
              <w:pageBreakBefore w:val="0"/>
              <w:numPr>
                <w:ilvl w:val="0"/>
                <w:numId w:val="0"/>
              </w:numPr>
              <w:kinsoku/>
              <w:wordWrap/>
              <w:overflowPunct/>
              <w:topLinePunct w:val="0"/>
              <w:autoSpaceDE/>
              <w:autoSpaceDN/>
              <w:bidi w:val="0"/>
              <w:adjustRightInd/>
              <w:snapToGrid/>
              <w:spacing w:line="200" w:lineRule="exact"/>
              <w:ind w:leftChars="0"/>
              <w:jc w:val="center"/>
              <w:rPr>
                <w:rFonts w:hint="eastAsia" w:ascii="方正仿宋_GBK" w:hAnsi="方正仿宋_GBK" w:eastAsia="方正仿宋_GBK" w:cs="方正仿宋_GBK"/>
                <w:sz w:val="18"/>
                <w:szCs w:val="18"/>
                <w:vertAlign w:val="baseline"/>
              </w:rPr>
            </w:pPr>
          </w:p>
        </w:tc>
        <w:tc>
          <w:tcPr>
            <w:tcW w:w="455" w:type="dxa"/>
            <w:vAlign w:val="center"/>
          </w:tcPr>
          <w:p w14:paraId="7B1B769D">
            <w:pPr>
              <w:keepNext w:val="0"/>
              <w:keepLines w:val="0"/>
              <w:pageBreakBefore w:val="0"/>
              <w:numPr>
                <w:ilvl w:val="0"/>
                <w:numId w:val="0"/>
              </w:numPr>
              <w:kinsoku/>
              <w:wordWrap/>
              <w:overflowPunct/>
              <w:topLinePunct w:val="0"/>
              <w:autoSpaceDE/>
              <w:autoSpaceDN/>
              <w:bidi w:val="0"/>
              <w:adjustRightInd/>
              <w:snapToGrid/>
              <w:spacing w:line="200" w:lineRule="exact"/>
              <w:ind w:leftChars="0"/>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行政处罚</w:t>
            </w:r>
          </w:p>
        </w:tc>
        <w:tc>
          <w:tcPr>
            <w:tcW w:w="3724" w:type="dxa"/>
            <w:vAlign w:val="center"/>
          </w:tcPr>
          <w:p w14:paraId="4D263293">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【法规】《社会团体登记管理条例》（1998年9月25日国务院令第250号发布 2016年2月6日国务院令第666号修订）</w:t>
            </w:r>
          </w:p>
          <w:p w14:paraId="465E3B20">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第三十条：社会团体有下列情形之一的，由登记管理机关给予警告，责令改正，可以限期停止活动，并可以责令撤换直接负责的主管人员；情节严重的，予以撤销登记；构成犯罪的，依法追究刑事责任：</w:t>
            </w:r>
          </w:p>
          <w:p w14:paraId="64453568">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（一）涂改、出租、出借《社会团体法人登记证书》，或者出租、出借社会团体印章的；</w:t>
            </w:r>
          </w:p>
          <w:p w14:paraId="3842B134">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（二）超出章程规定的宗旨和业务范围进行活动的；</w:t>
            </w:r>
          </w:p>
          <w:p w14:paraId="612B4337">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（三）拒不接受或者不按照规定接受监督检查的；</w:t>
            </w:r>
          </w:p>
          <w:p w14:paraId="4C9989E2">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（四）不按照规定办理变更登记的；</w:t>
            </w:r>
          </w:p>
          <w:p w14:paraId="1379EB74">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（五）违反规定设立分支机构、代表机构，或者对分支机构、代表机构疏于管理，造成严重后果的；</w:t>
            </w:r>
          </w:p>
          <w:p w14:paraId="72CAAE2F">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（六）从事营利性的经营活动的；</w:t>
            </w:r>
          </w:p>
          <w:p w14:paraId="3FC08705">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（七）侵占、私分、挪用社会团体资产或者所接受的捐赠、资助的；</w:t>
            </w:r>
          </w:p>
          <w:p w14:paraId="7B504FDA">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（八）违反国家有关规定收取费用、筹集资金或者接受、使用捐赠、资助的。</w:t>
            </w:r>
          </w:p>
          <w:p w14:paraId="0ED0F028">
            <w:pPr>
              <w:keepNext w:val="0"/>
              <w:keepLines w:val="0"/>
              <w:pageBreakBefore w:val="0"/>
              <w:numPr>
                <w:ilvl w:val="0"/>
                <w:numId w:val="0"/>
              </w:numPr>
              <w:kinsoku/>
              <w:wordWrap/>
              <w:overflowPunct/>
              <w:topLinePunct w:val="0"/>
              <w:autoSpaceDE/>
              <w:autoSpaceDN/>
              <w:bidi w:val="0"/>
              <w:adjustRightInd/>
              <w:snapToGrid/>
              <w:spacing w:line="200" w:lineRule="exact"/>
              <w:ind w:leftChars="0" w:firstLine="360" w:firstLineChars="20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前款规定的行为有违法经营额或者违法所得的，予以没收，可以并处违法经营额1倍以上3倍以下或者违法所得3倍以上5倍以下的罚款。</w:t>
            </w:r>
          </w:p>
        </w:tc>
        <w:tc>
          <w:tcPr>
            <w:tcW w:w="497" w:type="dxa"/>
            <w:vAlign w:val="center"/>
          </w:tcPr>
          <w:p w14:paraId="37A8621B">
            <w:pPr>
              <w:keepNext w:val="0"/>
              <w:keepLines w:val="0"/>
              <w:pageBreakBefore w:val="0"/>
              <w:numPr>
                <w:ilvl w:val="0"/>
                <w:numId w:val="0"/>
              </w:numPr>
              <w:kinsoku/>
              <w:wordWrap/>
              <w:overflowPunct/>
              <w:topLinePunct w:val="0"/>
              <w:autoSpaceDE/>
              <w:autoSpaceDN/>
              <w:bidi w:val="0"/>
              <w:adjustRightInd/>
              <w:snapToGrid/>
              <w:spacing w:line="200" w:lineRule="exact"/>
              <w:ind w:leftChars="0"/>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区民政局</w:t>
            </w:r>
          </w:p>
        </w:tc>
        <w:tc>
          <w:tcPr>
            <w:tcW w:w="382" w:type="dxa"/>
            <w:vAlign w:val="center"/>
          </w:tcPr>
          <w:p w14:paraId="03A846AF">
            <w:pPr>
              <w:keepNext w:val="0"/>
              <w:keepLines w:val="0"/>
              <w:pageBreakBefore w:val="0"/>
              <w:numPr>
                <w:ilvl w:val="0"/>
                <w:numId w:val="0"/>
              </w:numPr>
              <w:kinsoku/>
              <w:wordWrap/>
              <w:overflowPunct/>
              <w:topLinePunct w:val="0"/>
              <w:autoSpaceDE/>
              <w:autoSpaceDN/>
              <w:bidi w:val="0"/>
              <w:adjustRightInd/>
              <w:snapToGrid/>
              <w:spacing w:line="200" w:lineRule="exact"/>
              <w:ind w:leftChars="0"/>
              <w:jc w:val="center"/>
              <w:rPr>
                <w:rFonts w:hint="eastAsia" w:ascii="方正仿宋_GBK" w:hAnsi="方正仿宋_GBK" w:eastAsia="方正仿宋_GBK" w:cs="方正仿宋_GBK"/>
                <w:sz w:val="18"/>
                <w:szCs w:val="18"/>
                <w:vertAlign w:val="baseline"/>
                <w:lang w:eastAsia="zh-CN"/>
              </w:rPr>
            </w:pPr>
            <w:r>
              <w:rPr>
                <w:rFonts w:hint="eastAsia" w:ascii="方正仿宋_GBK" w:hAnsi="方正仿宋_GBK" w:eastAsia="方正仿宋_GBK" w:cs="方正仿宋_GBK"/>
                <w:sz w:val="18"/>
                <w:szCs w:val="18"/>
                <w:vertAlign w:val="baseline"/>
                <w:lang w:eastAsia="zh-CN"/>
              </w:rPr>
              <w:t>社会组织办公室</w:t>
            </w:r>
          </w:p>
        </w:tc>
        <w:tc>
          <w:tcPr>
            <w:tcW w:w="513" w:type="dxa"/>
            <w:vAlign w:val="center"/>
          </w:tcPr>
          <w:p w14:paraId="4F0657CD">
            <w:pPr>
              <w:keepNext w:val="0"/>
              <w:keepLines w:val="0"/>
              <w:pageBreakBefore w:val="0"/>
              <w:numPr>
                <w:ilvl w:val="0"/>
                <w:numId w:val="0"/>
              </w:numPr>
              <w:kinsoku/>
              <w:wordWrap/>
              <w:overflowPunct/>
              <w:topLinePunct w:val="0"/>
              <w:autoSpaceDE/>
              <w:autoSpaceDN/>
              <w:bidi w:val="0"/>
              <w:adjustRightInd/>
              <w:snapToGrid/>
              <w:spacing w:line="200" w:lineRule="exact"/>
              <w:ind w:leftChars="0"/>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区级</w:t>
            </w:r>
          </w:p>
        </w:tc>
        <w:tc>
          <w:tcPr>
            <w:tcW w:w="945" w:type="dxa"/>
            <w:vAlign w:val="center"/>
          </w:tcPr>
          <w:p w14:paraId="6AE8D891">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负责对权限内社会团体涂改、出租、出借《社会团体法人登记证书》，或者出租、出借社会团体印章，超出章程规定的宗旨和业务范围进行活动等情形的处罚</w:t>
            </w:r>
          </w:p>
        </w:tc>
        <w:tc>
          <w:tcPr>
            <w:tcW w:w="1086" w:type="dxa"/>
            <w:shd w:val="clear" w:color="auto" w:fill="auto"/>
            <w:vAlign w:val="center"/>
          </w:tcPr>
          <w:p w14:paraId="495FC3E6">
            <w:pPr>
              <w:keepNext w:val="0"/>
              <w:keepLines w:val="0"/>
              <w:pageBreakBefore w:val="0"/>
              <w:numPr>
                <w:ilvl w:val="0"/>
                <w:numId w:val="0"/>
              </w:numPr>
              <w:kinsoku/>
              <w:wordWrap/>
              <w:overflowPunct/>
              <w:topLinePunct w:val="0"/>
              <w:autoSpaceDE/>
              <w:autoSpaceDN/>
              <w:bidi w:val="0"/>
              <w:adjustRightInd/>
              <w:snapToGrid/>
              <w:spacing w:line="200" w:lineRule="exact"/>
              <w:ind w:left="0" w:leftChars="0" w:firstLine="0" w:firstLineChars="0"/>
              <w:jc w:val="left"/>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负责</w:t>
            </w:r>
            <w:r>
              <w:rPr>
                <w:rFonts w:hint="eastAsia" w:ascii="方正仿宋_GBK" w:hAnsi="方正仿宋_GBK" w:eastAsia="方正仿宋_GBK" w:cs="方正仿宋_GBK"/>
                <w:sz w:val="18"/>
                <w:szCs w:val="18"/>
                <w:vertAlign w:val="baseline"/>
                <w:lang w:eastAsia="zh-CN"/>
              </w:rPr>
              <w:t>区本</w:t>
            </w:r>
            <w:r>
              <w:rPr>
                <w:rFonts w:hint="eastAsia" w:ascii="方正仿宋_GBK" w:hAnsi="方正仿宋_GBK" w:eastAsia="方正仿宋_GBK" w:cs="方正仿宋_GBK"/>
                <w:sz w:val="18"/>
                <w:szCs w:val="18"/>
                <w:vertAlign w:val="baseline"/>
              </w:rPr>
              <w:t>级社会团体登记管理和执法监督检查工作。</w:t>
            </w:r>
          </w:p>
        </w:tc>
        <w:tc>
          <w:tcPr>
            <w:tcW w:w="1086" w:type="dxa"/>
            <w:shd w:val="clear" w:color="auto" w:fill="auto"/>
            <w:vAlign w:val="center"/>
          </w:tcPr>
          <w:p w14:paraId="1965E98D">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直接实施责任：</w:t>
            </w:r>
          </w:p>
          <w:p w14:paraId="140EE7A5">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1.执行行政处罚标准规范，结合本地实际，细化、量化行政处罚裁量基准的具体标准。建立健全对行政处罚的监督制度。</w:t>
            </w:r>
          </w:p>
          <w:p w14:paraId="0314A75F">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2.依法依规实施本级行政处罚事项，作出的行政处罚决定应当予以公开。</w:t>
            </w:r>
          </w:p>
          <w:p w14:paraId="394034DA">
            <w:pPr>
              <w:keepNext w:val="0"/>
              <w:keepLines w:val="0"/>
              <w:pageBreakBefore w:val="0"/>
              <w:numPr>
                <w:ilvl w:val="0"/>
                <w:numId w:val="0"/>
              </w:numPr>
              <w:kinsoku/>
              <w:wordWrap/>
              <w:overflowPunct/>
              <w:topLinePunct w:val="0"/>
              <w:autoSpaceDE/>
              <w:autoSpaceDN/>
              <w:bidi w:val="0"/>
              <w:adjustRightInd/>
              <w:snapToGrid/>
              <w:spacing w:line="200" w:lineRule="exact"/>
              <w:ind w:left="0" w:leftChars="0" w:firstLine="0" w:firstLineChars="0"/>
              <w:jc w:val="center"/>
              <w:rPr>
                <w:rFonts w:hint="eastAsia" w:ascii="方正仿宋_GBK" w:hAnsi="方正仿宋_GBK" w:eastAsia="方正仿宋_GBK" w:cs="方正仿宋_GBK"/>
                <w:kern w:val="2"/>
                <w:sz w:val="18"/>
                <w:szCs w:val="18"/>
                <w:vertAlign w:val="baseline"/>
                <w:lang w:val="en-US" w:eastAsia="zh-CN" w:bidi="ar-SA"/>
              </w:rPr>
            </w:pPr>
          </w:p>
        </w:tc>
        <w:tc>
          <w:tcPr>
            <w:tcW w:w="1187" w:type="dxa"/>
            <w:shd w:val="clear" w:color="auto" w:fill="auto"/>
            <w:vAlign w:val="center"/>
          </w:tcPr>
          <w:p w14:paraId="67523A83">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p>
          <w:p w14:paraId="58901E4B">
            <w:pPr>
              <w:keepNext w:val="0"/>
              <w:keepLines w:val="0"/>
              <w:pageBreakBefore w:val="0"/>
              <w:numPr>
                <w:ilvl w:val="0"/>
                <w:numId w:val="0"/>
              </w:numPr>
              <w:kinsoku/>
              <w:wordWrap/>
              <w:overflowPunct/>
              <w:topLinePunct w:val="0"/>
              <w:autoSpaceDE/>
              <w:autoSpaceDN/>
              <w:bidi w:val="0"/>
              <w:adjustRightInd/>
              <w:snapToGrid/>
              <w:spacing w:line="200" w:lineRule="exact"/>
              <w:ind w:left="0" w:leftChars="0" w:firstLine="0" w:firstLineChars="0"/>
              <w:jc w:val="left"/>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第五章、第六章、第七章。</w:t>
            </w:r>
          </w:p>
        </w:tc>
        <w:tc>
          <w:tcPr>
            <w:tcW w:w="1073" w:type="dxa"/>
            <w:shd w:val="clear" w:color="auto" w:fill="auto"/>
            <w:vAlign w:val="center"/>
          </w:tcPr>
          <w:p w14:paraId="7D173842">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1.具体承办人；</w:t>
            </w:r>
          </w:p>
          <w:p w14:paraId="19334B7E">
            <w:pPr>
              <w:keepNext w:val="0"/>
              <w:keepLines w:val="0"/>
              <w:pageBreakBefore w:val="0"/>
              <w:numPr>
                <w:ilvl w:val="0"/>
                <w:numId w:val="0"/>
              </w:numPr>
              <w:kinsoku/>
              <w:wordWrap/>
              <w:overflowPunct/>
              <w:topLinePunct w:val="0"/>
              <w:autoSpaceDE/>
              <w:autoSpaceDN/>
              <w:bidi w:val="0"/>
              <w:adjustRightInd/>
              <w:snapToGrid/>
              <w:spacing w:line="200" w:lineRule="exact"/>
              <w:ind w:leftChars="0"/>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2.内设机构负责人；</w:t>
            </w:r>
          </w:p>
          <w:p w14:paraId="0B3197B8">
            <w:pPr>
              <w:keepNext w:val="0"/>
              <w:keepLines w:val="0"/>
              <w:pageBreakBefore w:val="0"/>
              <w:numPr>
                <w:ilvl w:val="0"/>
                <w:numId w:val="0"/>
              </w:numPr>
              <w:kinsoku/>
              <w:wordWrap/>
              <w:overflowPunct/>
              <w:topLinePunct w:val="0"/>
              <w:autoSpaceDE/>
              <w:autoSpaceDN/>
              <w:bidi w:val="0"/>
              <w:adjustRightInd/>
              <w:snapToGrid/>
              <w:spacing w:line="200" w:lineRule="exact"/>
              <w:ind w:left="0" w:leftChars="0" w:firstLine="0" w:firstLineChars="0"/>
              <w:jc w:val="left"/>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3.单位法定代表人或分管领导。</w:t>
            </w:r>
          </w:p>
        </w:tc>
        <w:tc>
          <w:tcPr>
            <w:tcW w:w="2911" w:type="dxa"/>
            <w:shd w:val="clear" w:color="auto" w:fill="auto"/>
            <w:vAlign w:val="center"/>
          </w:tcPr>
          <w:p w14:paraId="11410A31">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因不履行或不正确履行行政职责，出现以下情形的，行政机关及相关工作人员应承担相应责任：</w:t>
            </w:r>
          </w:p>
          <w:p w14:paraId="6A297FDF">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1.没有法律和事实依据对社会团体实施行政处罚的；</w:t>
            </w:r>
          </w:p>
          <w:p w14:paraId="153C0A0E">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2.违反法定程序对社会团体进行处罚的；</w:t>
            </w:r>
          </w:p>
          <w:p w14:paraId="74965EED">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3.擅自改变对社会团体行政处罚种类、幅度的；</w:t>
            </w:r>
          </w:p>
          <w:p w14:paraId="0B8C92D3">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4.对应当予以制止和处罚的违法行为不予制止、处罚的；</w:t>
            </w:r>
          </w:p>
          <w:p w14:paraId="4F6409FC">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5.违法处罚，造成不良社会影响或后果的；</w:t>
            </w:r>
          </w:p>
          <w:p w14:paraId="3E1A4641">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6.违反“缴罚分离”规定，擅自收取罚款的；</w:t>
            </w:r>
          </w:p>
          <w:p w14:paraId="66E80220">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7.将罚款、没收的违法所得或者财物截留、私分或者变相私分的；</w:t>
            </w:r>
          </w:p>
          <w:p w14:paraId="6550F77E">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8.符合听证条件、行政管理相对人要求听证，应予组织听证而不组织听证的；</w:t>
            </w:r>
          </w:p>
          <w:p w14:paraId="6AE8AC90">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9.在行政处罚过程中发生腐败行为的；</w:t>
            </w:r>
          </w:p>
          <w:p w14:paraId="02B81102">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10.依法应当移送司法机关处理而未移送的；</w:t>
            </w:r>
          </w:p>
          <w:p w14:paraId="028EA11B">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sz w:val="18"/>
                <w:szCs w:val="18"/>
                <w:lang w:val="en-US" w:eastAsia="zh-CN"/>
              </w:rPr>
              <w:t>11.其他违反法律法规规章文件规定的行为。</w:t>
            </w:r>
          </w:p>
        </w:tc>
        <w:tc>
          <w:tcPr>
            <w:tcW w:w="2096" w:type="dxa"/>
            <w:vAlign w:val="center"/>
          </w:tcPr>
          <w:p w14:paraId="495C3E88">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lang w:val="en-US" w:eastAsia="zh-CN"/>
              </w:rPr>
            </w:pPr>
          </w:p>
        </w:tc>
      </w:tr>
      <w:tr w14:paraId="7373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0" w:type="dxa"/>
            <w:vAlign w:val="center"/>
          </w:tcPr>
          <w:p w14:paraId="35CAD6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948" w:type="dxa"/>
            <w:vAlign w:val="center"/>
          </w:tcPr>
          <w:p w14:paraId="1EF02B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对社会团体筹备期间开展筹备以外的活动，或者未经登记，擅自以社会团体名义进行活动，以及被撤销登记的社会团体继续以社会团体名义进行活动的处罚</w:t>
            </w:r>
          </w:p>
        </w:tc>
        <w:tc>
          <w:tcPr>
            <w:tcW w:w="435" w:type="dxa"/>
            <w:vAlign w:val="center"/>
          </w:tcPr>
          <w:p w14:paraId="075E28D0">
            <w:pPr>
              <w:keepNext w:val="0"/>
              <w:keepLines w:val="0"/>
              <w:pageBreakBefore w:val="0"/>
              <w:widowControl/>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p>
        </w:tc>
        <w:tc>
          <w:tcPr>
            <w:tcW w:w="455" w:type="dxa"/>
            <w:vAlign w:val="center"/>
          </w:tcPr>
          <w:p w14:paraId="3A85787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724" w:type="dxa"/>
            <w:vAlign w:val="center"/>
          </w:tcPr>
          <w:p w14:paraId="11E230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【法规】《社会团体登记管理条例》（1998年9月25日国务院令第250号发布 2016年2月6日国务院令第666号修订）</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三十二条：筹备期间开展筹备以外的活动，或者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tc>
        <w:tc>
          <w:tcPr>
            <w:tcW w:w="497" w:type="dxa"/>
            <w:vAlign w:val="center"/>
          </w:tcPr>
          <w:p w14:paraId="4E7E895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795ED1A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513" w:type="dxa"/>
            <w:vAlign w:val="center"/>
          </w:tcPr>
          <w:p w14:paraId="7BC975F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945" w:type="dxa"/>
            <w:vAlign w:val="center"/>
          </w:tcPr>
          <w:p w14:paraId="6A8125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负责对社会团体筹备期间开展筹备以外的活动，或者未经登记，擅自以社会团体名义进行活动，以及被撤销登记的社会团体继续以社会团体名义进行活动的处罚</w:t>
            </w:r>
          </w:p>
        </w:tc>
        <w:tc>
          <w:tcPr>
            <w:tcW w:w="1086" w:type="dxa"/>
            <w:shd w:val="clear" w:color="auto" w:fill="auto"/>
            <w:vAlign w:val="center"/>
          </w:tcPr>
          <w:p w14:paraId="3FF629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负责区本级社会团体登记管理和执法监督检查工作。</w:t>
            </w:r>
          </w:p>
        </w:tc>
        <w:tc>
          <w:tcPr>
            <w:tcW w:w="1086" w:type="dxa"/>
            <w:shd w:val="clear" w:color="auto" w:fill="auto"/>
            <w:vAlign w:val="center"/>
          </w:tcPr>
          <w:p w14:paraId="7166825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2.依法依规实施本级行政处罚事项，作出的行政处罚决定应当予以公开。</w:t>
            </w:r>
          </w:p>
        </w:tc>
        <w:tc>
          <w:tcPr>
            <w:tcW w:w="1187" w:type="dxa"/>
            <w:shd w:val="clear" w:color="auto" w:fill="auto"/>
            <w:vAlign w:val="center"/>
          </w:tcPr>
          <w:p w14:paraId="768FF01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073" w:type="dxa"/>
            <w:shd w:val="clear" w:color="auto" w:fill="auto"/>
            <w:vAlign w:val="center"/>
          </w:tcPr>
          <w:p w14:paraId="26B10C0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2911" w:type="dxa"/>
            <w:shd w:val="clear" w:color="auto" w:fill="auto"/>
            <w:vAlign w:val="center"/>
          </w:tcPr>
          <w:p w14:paraId="5210B0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2.擅自改变行政处罚种类、幅度的；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3.对非法社会团体和活动应当予以取缔而没有取缔的；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4.对应当没收非法财产而没有没收的或者财物截留、私分或者变相私分的；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5.在行政处罚过程中发生腐败行为的；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6.依法应当移送司法机关处理而不移送的；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7.其他违反法律法规规章文件规定的行为。</w:t>
            </w:r>
          </w:p>
        </w:tc>
        <w:tc>
          <w:tcPr>
            <w:tcW w:w="2096" w:type="dxa"/>
            <w:vAlign w:val="center"/>
          </w:tcPr>
          <w:p w14:paraId="4FF5FA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4177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jc w:val="center"/>
        </w:trPr>
        <w:tc>
          <w:tcPr>
            <w:tcW w:w="600" w:type="dxa"/>
            <w:shd w:val="clear" w:color="auto" w:fill="auto"/>
            <w:vAlign w:val="center"/>
          </w:tcPr>
          <w:p w14:paraId="7970FD70">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序号</w:t>
            </w:r>
          </w:p>
        </w:tc>
        <w:tc>
          <w:tcPr>
            <w:tcW w:w="948" w:type="dxa"/>
            <w:shd w:val="clear" w:color="auto" w:fill="auto"/>
            <w:vAlign w:val="center"/>
          </w:tcPr>
          <w:p w14:paraId="32C0DBBB">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事项名称</w:t>
            </w:r>
          </w:p>
        </w:tc>
        <w:tc>
          <w:tcPr>
            <w:tcW w:w="435" w:type="dxa"/>
            <w:shd w:val="clear" w:color="auto" w:fill="auto"/>
            <w:vAlign w:val="center"/>
          </w:tcPr>
          <w:p w14:paraId="38ED8CF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455" w:type="dxa"/>
            <w:shd w:val="clear" w:color="auto" w:fill="auto"/>
            <w:vAlign w:val="center"/>
          </w:tcPr>
          <w:p w14:paraId="1CA25F5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3724" w:type="dxa"/>
            <w:shd w:val="clear" w:color="auto" w:fill="auto"/>
            <w:vAlign w:val="center"/>
          </w:tcPr>
          <w:p w14:paraId="7998993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497" w:type="dxa"/>
            <w:shd w:val="clear" w:color="auto" w:fill="auto"/>
            <w:vAlign w:val="center"/>
          </w:tcPr>
          <w:p w14:paraId="5C99670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382" w:type="dxa"/>
            <w:shd w:val="clear" w:color="auto" w:fill="auto"/>
            <w:vAlign w:val="center"/>
          </w:tcPr>
          <w:p w14:paraId="7E54A1B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458" w:type="dxa"/>
            <w:gridSpan w:val="2"/>
            <w:shd w:val="clear" w:color="auto" w:fill="auto"/>
            <w:vAlign w:val="center"/>
          </w:tcPr>
          <w:p w14:paraId="218C764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1086" w:type="dxa"/>
            <w:shd w:val="clear" w:color="auto" w:fill="auto"/>
            <w:vAlign w:val="center"/>
          </w:tcPr>
          <w:p w14:paraId="46B1E9F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086" w:type="dxa"/>
            <w:shd w:val="clear" w:color="auto" w:fill="auto"/>
            <w:vAlign w:val="center"/>
          </w:tcPr>
          <w:p w14:paraId="770515A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187" w:type="dxa"/>
            <w:shd w:val="clear" w:color="auto" w:fill="auto"/>
            <w:vAlign w:val="center"/>
          </w:tcPr>
          <w:p w14:paraId="554A31B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1073" w:type="dxa"/>
            <w:shd w:val="clear" w:color="auto" w:fill="auto"/>
            <w:vAlign w:val="center"/>
          </w:tcPr>
          <w:p w14:paraId="0593583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2911" w:type="dxa"/>
            <w:shd w:val="clear" w:color="auto" w:fill="auto"/>
            <w:vAlign w:val="center"/>
          </w:tcPr>
          <w:p w14:paraId="1A75B0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2096" w:type="dxa"/>
            <w:shd w:val="clear" w:color="auto" w:fill="auto"/>
            <w:vAlign w:val="center"/>
          </w:tcPr>
          <w:p w14:paraId="732680F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2FDF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9" w:hRule="atLeast"/>
          <w:jc w:val="center"/>
        </w:trPr>
        <w:tc>
          <w:tcPr>
            <w:tcW w:w="600" w:type="dxa"/>
            <w:vAlign w:val="center"/>
          </w:tcPr>
          <w:p w14:paraId="452DB6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948" w:type="dxa"/>
            <w:vAlign w:val="center"/>
          </w:tcPr>
          <w:p w14:paraId="211EF58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对民办非企业单位在申请登记时弄虚作假，骗取登记的，或者业务主管单位撤销批准的处罚</w:t>
            </w:r>
          </w:p>
        </w:tc>
        <w:tc>
          <w:tcPr>
            <w:tcW w:w="435" w:type="dxa"/>
            <w:vAlign w:val="center"/>
          </w:tcPr>
          <w:p w14:paraId="40949AC0">
            <w:pPr>
              <w:keepNext w:val="0"/>
              <w:keepLines w:val="0"/>
              <w:pageBreakBefore w:val="0"/>
              <w:widowControl/>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455" w:type="dxa"/>
            <w:vAlign w:val="center"/>
          </w:tcPr>
          <w:p w14:paraId="5956438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724" w:type="dxa"/>
            <w:vAlign w:val="center"/>
          </w:tcPr>
          <w:p w14:paraId="65B707E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【法规】《民办非企业单位登记管理暂行条例》（1998年10月25日中华人民共和国国务院令第251号）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第二十四条：民办非企业单位在申请登记时弄虚作假，骗取登记的，或者业务主管单位撤销批准的，由登记管理机关予以撤销登记。</w:t>
            </w:r>
          </w:p>
        </w:tc>
        <w:tc>
          <w:tcPr>
            <w:tcW w:w="497" w:type="dxa"/>
            <w:vAlign w:val="center"/>
          </w:tcPr>
          <w:p w14:paraId="0A48BAF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0875B76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513" w:type="dxa"/>
            <w:vAlign w:val="center"/>
          </w:tcPr>
          <w:p w14:paraId="46D04BA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945" w:type="dxa"/>
            <w:vAlign w:val="center"/>
          </w:tcPr>
          <w:p w14:paraId="101B947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负责对权限内民办非企业单位在申请登记时弄虚作假，骗取登记的，或者业务主管单位撤销批准的处罚</w:t>
            </w:r>
          </w:p>
        </w:tc>
        <w:tc>
          <w:tcPr>
            <w:tcW w:w="1086" w:type="dxa"/>
            <w:shd w:val="clear" w:color="auto" w:fill="auto"/>
            <w:vAlign w:val="center"/>
          </w:tcPr>
          <w:p w14:paraId="1639AC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负责区本级民办非企业单位登记管理和执法监督检查工作。</w:t>
            </w:r>
          </w:p>
        </w:tc>
        <w:tc>
          <w:tcPr>
            <w:tcW w:w="1086" w:type="dxa"/>
            <w:shd w:val="clear" w:color="auto" w:fill="auto"/>
            <w:vAlign w:val="center"/>
          </w:tcPr>
          <w:p w14:paraId="6BA11B6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2.依法依规实施本级行政处罚事项，作出的行政处罚决定应当予以公开。</w:t>
            </w:r>
          </w:p>
        </w:tc>
        <w:tc>
          <w:tcPr>
            <w:tcW w:w="1187" w:type="dxa"/>
            <w:shd w:val="clear" w:color="auto" w:fill="auto"/>
            <w:vAlign w:val="center"/>
          </w:tcPr>
          <w:p w14:paraId="26487FD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073" w:type="dxa"/>
            <w:shd w:val="clear" w:color="auto" w:fill="auto"/>
            <w:vAlign w:val="center"/>
          </w:tcPr>
          <w:p w14:paraId="048C858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2911" w:type="dxa"/>
            <w:shd w:val="clear" w:color="auto" w:fill="auto"/>
            <w:vAlign w:val="center"/>
          </w:tcPr>
          <w:p w14:paraId="08E7F7B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1.没有法律和事实依据对民办非企业实施撤销登记的；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2.对应当予以撤销登记的民办非企业不予撤销登记的；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3.符合听证条件、行政管理相对人要求听证，应予组织听证而不组织听证的；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4.在行政处罚过程中发生腐败行为的；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5.其他违反法律法规规章文件规定的行为。</w:t>
            </w:r>
          </w:p>
        </w:tc>
        <w:tc>
          <w:tcPr>
            <w:tcW w:w="2096" w:type="dxa"/>
            <w:vAlign w:val="center"/>
          </w:tcPr>
          <w:p w14:paraId="23663DE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39AB1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2" w:hRule="atLeast"/>
          <w:jc w:val="center"/>
        </w:trPr>
        <w:tc>
          <w:tcPr>
            <w:tcW w:w="600" w:type="dxa"/>
            <w:vAlign w:val="center"/>
          </w:tcPr>
          <w:p w14:paraId="6221D3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948" w:type="dxa"/>
            <w:vAlign w:val="center"/>
          </w:tcPr>
          <w:p w14:paraId="3EE3494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对民办非企业单位涂改、出租、出借民办非企业单位登记证书，或者出租、出借民办非企业单位印章，超出其章程规定的宗旨和业务范围进行活动等情形的处罚</w:t>
            </w:r>
          </w:p>
        </w:tc>
        <w:tc>
          <w:tcPr>
            <w:tcW w:w="435" w:type="dxa"/>
            <w:vAlign w:val="center"/>
          </w:tcPr>
          <w:p w14:paraId="2F1F18BA">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455" w:type="dxa"/>
            <w:vAlign w:val="center"/>
          </w:tcPr>
          <w:p w14:paraId="2A5309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724" w:type="dxa"/>
            <w:vAlign w:val="center"/>
          </w:tcPr>
          <w:p w14:paraId="0070F34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【法规】《民办非企业单位登记管理暂行条例》（1998年10月25日中华人民共和国国务院令第251号）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第二十五条：民办非企业单位有下列情形之一的，由登记管理机关予以警告，责令改正，可以限期停止活动；情节严重的，予以撤销登记；构成犯罪的，依法追究刑事责任：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（一）涂改、出租、出借民办非企业单位登记证书，或者出租、出借民办非企业单位印章的；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（二）超出其章程规定的宗旨和业务范围进行活动的；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（三）拒不接受或者不按照规定接受监督检查的；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（四）不按照规定办理变更登记的；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（五）设立分支机构的；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（六）从事营利性的经营活动的；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（七）侵占、私分、挪用民办非企业单位的资产或者所接受的捐赠、资助的；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（八）违反国家有关规定收取费用、筹集资金或者接受使用捐赠、资助的。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前款规定的行为有违法经营额或者违法所得的，予以没收，可以并处违法经营额1倍以上3倍以下或者违法所得3倍以上5倍以下的罚款。</w:t>
            </w:r>
          </w:p>
        </w:tc>
        <w:tc>
          <w:tcPr>
            <w:tcW w:w="497" w:type="dxa"/>
            <w:vAlign w:val="center"/>
          </w:tcPr>
          <w:p w14:paraId="59DE3F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6C6065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513" w:type="dxa"/>
            <w:vAlign w:val="center"/>
          </w:tcPr>
          <w:p w14:paraId="123C6F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945" w:type="dxa"/>
            <w:vAlign w:val="center"/>
          </w:tcPr>
          <w:p w14:paraId="78B0E10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负责对权限内民办非企业单位涂改、出租、出借民办非企业单位登记证书，或者出租、出借民办非企业单位印章，超出其章程规定的宗旨和业务范围进行活动等情形的处罚</w:t>
            </w:r>
          </w:p>
        </w:tc>
        <w:tc>
          <w:tcPr>
            <w:tcW w:w="1086" w:type="dxa"/>
            <w:shd w:val="clear" w:color="auto" w:fill="auto"/>
            <w:vAlign w:val="center"/>
          </w:tcPr>
          <w:p w14:paraId="70C4119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负责区本级民办非企业单位登记管理和执法监督检查工作。</w:t>
            </w:r>
          </w:p>
        </w:tc>
        <w:tc>
          <w:tcPr>
            <w:tcW w:w="1086" w:type="dxa"/>
            <w:shd w:val="clear" w:color="auto" w:fill="auto"/>
            <w:vAlign w:val="center"/>
          </w:tcPr>
          <w:p w14:paraId="7875AAF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2.依法依规实施本级行政处罚事项，作出的行政处罚决定应当予以公开。</w:t>
            </w:r>
          </w:p>
        </w:tc>
        <w:tc>
          <w:tcPr>
            <w:tcW w:w="1187" w:type="dxa"/>
            <w:shd w:val="clear" w:color="auto" w:fill="auto"/>
            <w:vAlign w:val="center"/>
          </w:tcPr>
          <w:p w14:paraId="0839F04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073" w:type="dxa"/>
            <w:shd w:val="clear" w:color="auto" w:fill="auto"/>
            <w:vAlign w:val="center"/>
          </w:tcPr>
          <w:p w14:paraId="09A3537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2911" w:type="dxa"/>
            <w:shd w:val="clear" w:color="auto" w:fill="auto"/>
            <w:vAlign w:val="center"/>
          </w:tcPr>
          <w:p w14:paraId="3C7CEC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1.没有法律和事实依据对民办非企业单位实施行政处罚的；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2.违反法定程序对民办非企业单位进行处罚的；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3.擅自改变对民办非企业单位行政处罚种类、幅度的；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4.对应当予以制止和处罚的违法行为不予制止、处罚的；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5.违法处罚，造成不良社会影响或后果的；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6.违反“缴罚分离”规定，擅自收取罚款的；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7.将罚款、没收的违法所得或者财物截留、私分或者变相私分的；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8.符合听证条件、行政管理相对人要求听证，应予组织听证而不组织听证的；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9.在行政处罚过程中发生腐败行为的；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10.依法应当移送司法机关处理而未移送的；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11.其他违反法律法规规章文件规定的行为。</w:t>
            </w:r>
          </w:p>
        </w:tc>
        <w:tc>
          <w:tcPr>
            <w:tcW w:w="2096" w:type="dxa"/>
            <w:vAlign w:val="center"/>
          </w:tcPr>
          <w:p w14:paraId="6EE35A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bl>
    <w:p w14:paraId="77926080">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287D4D32">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3E6B1D5C">
      <w:pPr>
        <w:keepNext w:val="0"/>
        <w:keepLines w:val="0"/>
        <w:pageBreakBefore w:val="0"/>
        <w:kinsoku/>
        <w:wordWrap/>
        <w:overflowPunct/>
        <w:topLinePunct w:val="0"/>
        <w:autoSpaceDE/>
        <w:autoSpaceDN/>
        <w:bidi w:val="0"/>
        <w:adjustRightInd/>
        <w:snapToGrid/>
        <w:spacing w:line="200" w:lineRule="exact"/>
        <w:jc w:val="both"/>
        <w:rPr>
          <w:rFonts w:hint="eastAsia" w:ascii="方正仿宋_GBK" w:hAnsi="方正仿宋_GBK" w:eastAsia="方正仿宋_GBK" w:cs="方正仿宋_GBK"/>
          <w:sz w:val="15"/>
          <w:szCs w:val="15"/>
        </w:rPr>
      </w:pPr>
    </w:p>
    <w:tbl>
      <w:tblPr>
        <w:tblStyle w:val="5"/>
        <w:tblpPr w:leftFromText="180" w:rightFromText="180" w:vertAnchor="text" w:horzAnchor="page" w:tblpX="2923" w:tblpY="566"/>
        <w:tblOverlap w:val="never"/>
        <w:tblW w:w="181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948"/>
        <w:gridCol w:w="435"/>
        <w:gridCol w:w="455"/>
        <w:gridCol w:w="1547"/>
        <w:gridCol w:w="2291"/>
        <w:gridCol w:w="383"/>
        <w:gridCol w:w="382"/>
        <w:gridCol w:w="513"/>
        <w:gridCol w:w="945"/>
        <w:gridCol w:w="1086"/>
        <w:gridCol w:w="1086"/>
        <w:gridCol w:w="1155"/>
        <w:gridCol w:w="1226"/>
        <w:gridCol w:w="3254"/>
        <w:gridCol w:w="1845"/>
      </w:tblGrid>
      <w:tr w14:paraId="2B31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600" w:type="dxa"/>
            <w:vAlign w:val="center"/>
          </w:tcPr>
          <w:p w14:paraId="394EC19C">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p>
          <w:p w14:paraId="548EA4C1">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lang w:eastAsia="zh-CN"/>
              </w:rPr>
            </w:pPr>
            <w:r>
              <w:rPr>
                <w:rFonts w:hint="eastAsia" w:ascii="方正仿宋_GBK" w:hAnsi="方正仿宋_GBK" w:eastAsia="方正仿宋_GBK" w:cs="方正仿宋_GBK"/>
                <w:sz w:val="18"/>
                <w:szCs w:val="18"/>
                <w:vertAlign w:val="baseline"/>
                <w:lang w:eastAsia="zh-CN"/>
              </w:rPr>
              <w:t>序号</w:t>
            </w:r>
          </w:p>
        </w:tc>
        <w:tc>
          <w:tcPr>
            <w:tcW w:w="948" w:type="dxa"/>
            <w:vAlign w:val="center"/>
          </w:tcPr>
          <w:p w14:paraId="67234C6C">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事项名称</w:t>
            </w:r>
          </w:p>
        </w:tc>
        <w:tc>
          <w:tcPr>
            <w:tcW w:w="435" w:type="dxa"/>
            <w:vAlign w:val="center"/>
          </w:tcPr>
          <w:p w14:paraId="7789AC9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455" w:type="dxa"/>
            <w:vAlign w:val="center"/>
          </w:tcPr>
          <w:p w14:paraId="3039B03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3838" w:type="dxa"/>
            <w:gridSpan w:val="2"/>
            <w:vAlign w:val="center"/>
          </w:tcPr>
          <w:p w14:paraId="0CA1BC9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383" w:type="dxa"/>
            <w:vAlign w:val="center"/>
          </w:tcPr>
          <w:p w14:paraId="3A6B3CB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382" w:type="dxa"/>
            <w:vAlign w:val="center"/>
          </w:tcPr>
          <w:p w14:paraId="48AEB6F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458" w:type="dxa"/>
            <w:gridSpan w:val="2"/>
            <w:vAlign w:val="center"/>
          </w:tcPr>
          <w:p w14:paraId="6EE2E7B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1086" w:type="dxa"/>
            <w:shd w:val="clear" w:color="auto" w:fill="auto"/>
            <w:vAlign w:val="center"/>
          </w:tcPr>
          <w:p w14:paraId="7DF05FF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086" w:type="dxa"/>
            <w:shd w:val="clear" w:color="auto" w:fill="auto"/>
            <w:vAlign w:val="center"/>
          </w:tcPr>
          <w:p w14:paraId="1852C10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155" w:type="dxa"/>
            <w:shd w:val="clear" w:color="auto" w:fill="auto"/>
            <w:vAlign w:val="center"/>
          </w:tcPr>
          <w:p w14:paraId="1A303E9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1226" w:type="dxa"/>
            <w:shd w:val="clear" w:color="auto" w:fill="auto"/>
            <w:vAlign w:val="center"/>
          </w:tcPr>
          <w:p w14:paraId="642FCEE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3254" w:type="dxa"/>
            <w:shd w:val="clear" w:color="auto" w:fill="auto"/>
            <w:vAlign w:val="center"/>
          </w:tcPr>
          <w:p w14:paraId="4C21333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1845" w:type="dxa"/>
            <w:shd w:val="clear" w:color="auto" w:fill="auto"/>
            <w:vAlign w:val="center"/>
          </w:tcPr>
          <w:p w14:paraId="77FDDDE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6CE1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5" w:hRule="atLeast"/>
        </w:trPr>
        <w:tc>
          <w:tcPr>
            <w:tcW w:w="600" w:type="dxa"/>
            <w:vAlign w:val="center"/>
          </w:tcPr>
          <w:p w14:paraId="62AF51A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5</w:t>
            </w:r>
          </w:p>
        </w:tc>
        <w:tc>
          <w:tcPr>
            <w:tcW w:w="948" w:type="dxa"/>
            <w:vAlign w:val="center"/>
          </w:tcPr>
          <w:p w14:paraId="3839889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对未经登记，擅自以民办非企业单位名义进行活动的，或者被撤销登记的民办非企业单位继续以民办非企业单位名义进行活动的处罚</w:t>
            </w:r>
          </w:p>
        </w:tc>
        <w:tc>
          <w:tcPr>
            <w:tcW w:w="435" w:type="dxa"/>
            <w:vAlign w:val="center"/>
          </w:tcPr>
          <w:p w14:paraId="56488D64">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455" w:type="dxa"/>
            <w:vAlign w:val="center"/>
          </w:tcPr>
          <w:p w14:paraId="6EA65F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838" w:type="dxa"/>
            <w:gridSpan w:val="2"/>
            <w:vAlign w:val="center"/>
          </w:tcPr>
          <w:p w14:paraId="6F9DC0E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【法规】《民办非企业单位登记管理暂行条例》（1998年10月25日中华人民共和国国务院令第251号）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二十七条：未经登记，擅自以民办非企业单位名义进行活动的，或者被撤销登记的民办非企业单位继续以民办非企业单位名义进行活动的，由登记管理机关予以取缔，没收非法财产；构成犯罪的，依法追究刑事责任；尚不构成犯罪的，依法给予治安管理处罚。</w:t>
            </w:r>
          </w:p>
        </w:tc>
        <w:tc>
          <w:tcPr>
            <w:tcW w:w="383" w:type="dxa"/>
            <w:vAlign w:val="center"/>
          </w:tcPr>
          <w:p w14:paraId="1625E54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2CFF2EC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513" w:type="dxa"/>
            <w:vAlign w:val="center"/>
          </w:tcPr>
          <w:p w14:paraId="29E8D23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highlight w:val="none"/>
                <w:vertAlign w:val="baseli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区级</w:t>
            </w:r>
          </w:p>
        </w:tc>
        <w:tc>
          <w:tcPr>
            <w:tcW w:w="945" w:type="dxa"/>
            <w:shd w:val="clear" w:color="auto" w:fill="auto"/>
            <w:vAlign w:val="center"/>
          </w:tcPr>
          <w:p w14:paraId="1936B68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负责对未经登记，擅自以民办非企业单位名义进行活动的，或者被撤销登记的民办非企业单位继续以民办非企业单位名义进行活动的处罚</w:t>
            </w:r>
          </w:p>
        </w:tc>
        <w:tc>
          <w:tcPr>
            <w:tcW w:w="1086" w:type="dxa"/>
            <w:shd w:val="clear" w:color="auto" w:fill="auto"/>
            <w:vAlign w:val="center"/>
          </w:tcPr>
          <w:p w14:paraId="5FA35E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负责县本级民办非企业单位登记管理和执法监督检查工作。</w:t>
            </w:r>
          </w:p>
        </w:tc>
        <w:tc>
          <w:tcPr>
            <w:tcW w:w="1086" w:type="dxa"/>
            <w:shd w:val="clear" w:color="auto" w:fill="auto"/>
            <w:vAlign w:val="center"/>
          </w:tcPr>
          <w:p w14:paraId="0B25F3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2.依法依规实施本级行政处罚事项，作出的行政处罚决定应当予以公开。</w:t>
            </w:r>
          </w:p>
        </w:tc>
        <w:tc>
          <w:tcPr>
            <w:tcW w:w="1155" w:type="dxa"/>
            <w:shd w:val="clear" w:color="auto" w:fill="auto"/>
            <w:vAlign w:val="center"/>
          </w:tcPr>
          <w:p w14:paraId="3291B90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226" w:type="dxa"/>
            <w:shd w:val="clear" w:color="auto" w:fill="auto"/>
            <w:vAlign w:val="center"/>
          </w:tcPr>
          <w:p w14:paraId="67BB8C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3254" w:type="dxa"/>
            <w:shd w:val="clear" w:color="auto" w:fill="auto"/>
            <w:vAlign w:val="center"/>
          </w:tcPr>
          <w:p w14:paraId="087B75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2.擅自改变行政处罚种类、幅度的；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3.对非法的民办非企业单位应当予以取缔而没有取缔的；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4.对应当没收非法财产而没有没收或者将没收的非法财产截留、私分或者变相私分的；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5.在行政处罚过程中发生腐败行为的；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6.依法应当移送司法机关处理而不移送的；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7.其他违反法律法规规章文件规定的行为。</w:t>
            </w:r>
          </w:p>
        </w:tc>
        <w:tc>
          <w:tcPr>
            <w:tcW w:w="1845" w:type="dxa"/>
            <w:vAlign w:val="center"/>
          </w:tcPr>
          <w:p w14:paraId="5B994F1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18A0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0" w:hRule="atLeast"/>
        </w:trPr>
        <w:tc>
          <w:tcPr>
            <w:tcW w:w="600" w:type="dxa"/>
            <w:vAlign w:val="center"/>
          </w:tcPr>
          <w:p w14:paraId="793C393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6</w:t>
            </w:r>
          </w:p>
        </w:tc>
        <w:tc>
          <w:tcPr>
            <w:tcW w:w="948" w:type="dxa"/>
            <w:vAlign w:val="center"/>
          </w:tcPr>
          <w:p w14:paraId="36590A6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对未经批准，擅自兴建殡葬设施的处罚</w:t>
            </w:r>
          </w:p>
        </w:tc>
        <w:tc>
          <w:tcPr>
            <w:tcW w:w="435" w:type="dxa"/>
            <w:vAlign w:val="center"/>
          </w:tcPr>
          <w:p w14:paraId="28DE01C2">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455" w:type="dxa"/>
            <w:vAlign w:val="center"/>
          </w:tcPr>
          <w:p w14:paraId="433DAD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838" w:type="dxa"/>
            <w:gridSpan w:val="2"/>
            <w:vAlign w:val="center"/>
          </w:tcPr>
          <w:p w14:paraId="05444D9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【法规】《殡葬管理条例》（1997年7月11日国务院第60次常务会议通过，1997年7月21日中华人民共和国国务院令第225号发布；2012年11月9日中华人民共和国国务院令第628号修正，自2013年1月1日起施行）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八条：建设殡仪馆、火葬场，由县级人民政府和设区的市、自治州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利用外资建设殡葬设施，经省、自治区、直辖市人民政府民政部门审核同意后，报国务院民政部门审批。农村为村民设置公益性墓地，经乡级人民政府审核同意后，报县级人民政府民政部门审批。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第十八条：未经批准，擅自兴建殡葬设施的，由民政部门会同建设、土地行政管理部门予以取缔，责令恢复原状，没收违法所得，可以并处违法所得1倍以上3倍以下的罚款。</w:t>
            </w:r>
          </w:p>
        </w:tc>
        <w:tc>
          <w:tcPr>
            <w:tcW w:w="383" w:type="dxa"/>
            <w:vAlign w:val="center"/>
          </w:tcPr>
          <w:p w14:paraId="66F43E2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787E404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殡葬管理所</w:t>
            </w:r>
          </w:p>
        </w:tc>
        <w:tc>
          <w:tcPr>
            <w:tcW w:w="513" w:type="dxa"/>
            <w:vAlign w:val="center"/>
          </w:tcPr>
          <w:p w14:paraId="1F4CE45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highlight w:val="none"/>
                <w:vertAlign w:val="baseli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区级</w:t>
            </w:r>
          </w:p>
        </w:tc>
        <w:tc>
          <w:tcPr>
            <w:tcW w:w="945" w:type="dxa"/>
            <w:shd w:val="clear" w:color="auto" w:fill="auto"/>
            <w:vAlign w:val="center"/>
          </w:tcPr>
          <w:p w14:paraId="2846680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负责行政区域内对未经批准，擅自兴建殡葬设施的处罚</w:t>
            </w:r>
          </w:p>
        </w:tc>
        <w:tc>
          <w:tcPr>
            <w:tcW w:w="1086" w:type="dxa"/>
            <w:shd w:val="clear" w:color="auto" w:fill="auto"/>
            <w:vAlign w:val="center"/>
          </w:tcPr>
          <w:p w14:paraId="7B28A23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负责权限内殡葬设施的管理和执法工作</w:t>
            </w:r>
          </w:p>
        </w:tc>
        <w:tc>
          <w:tcPr>
            <w:tcW w:w="1086" w:type="dxa"/>
            <w:shd w:val="clear" w:color="auto" w:fill="auto"/>
            <w:vAlign w:val="center"/>
          </w:tcPr>
          <w:p w14:paraId="180A926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2.依法依规实施本级行政处罚事项，作出的行政处罚决定应当予以公开。</w:t>
            </w:r>
          </w:p>
        </w:tc>
        <w:tc>
          <w:tcPr>
            <w:tcW w:w="1155" w:type="dxa"/>
            <w:shd w:val="clear" w:color="auto" w:fill="auto"/>
            <w:vAlign w:val="center"/>
          </w:tcPr>
          <w:p w14:paraId="0B3DC97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226" w:type="dxa"/>
            <w:shd w:val="clear" w:color="auto" w:fill="auto"/>
            <w:vAlign w:val="center"/>
          </w:tcPr>
          <w:p w14:paraId="540DFB3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3254" w:type="dxa"/>
            <w:shd w:val="clear" w:color="auto" w:fill="auto"/>
            <w:vAlign w:val="center"/>
          </w:tcPr>
          <w:p w14:paraId="440F01D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2.对应当予以取缔而没有取缔的；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3.对应当没收违法所得而没有没收或者将没收的违法所得截留、私分或者变相私分的；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4.在行政处罚过程中发生腐败行为的；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5.其他违反法律法规规章文件规定的行为。</w:t>
            </w:r>
          </w:p>
        </w:tc>
        <w:tc>
          <w:tcPr>
            <w:tcW w:w="1845" w:type="dxa"/>
            <w:vAlign w:val="center"/>
          </w:tcPr>
          <w:p w14:paraId="49D66E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17C13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600" w:type="dxa"/>
            <w:vAlign w:val="center"/>
          </w:tcPr>
          <w:p w14:paraId="05BB80BE">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序号</w:t>
            </w:r>
          </w:p>
        </w:tc>
        <w:tc>
          <w:tcPr>
            <w:tcW w:w="948" w:type="dxa"/>
            <w:vAlign w:val="center"/>
          </w:tcPr>
          <w:p w14:paraId="7892C84C">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事项名称</w:t>
            </w:r>
          </w:p>
        </w:tc>
        <w:tc>
          <w:tcPr>
            <w:tcW w:w="435" w:type="dxa"/>
            <w:vAlign w:val="center"/>
          </w:tcPr>
          <w:p w14:paraId="4A92E07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455" w:type="dxa"/>
            <w:vAlign w:val="center"/>
          </w:tcPr>
          <w:p w14:paraId="52CF19F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3838" w:type="dxa"/>
            <w:gridSpan w:val="2"/>
            <w:vAlign w:val="center"/>
          </w:tcPr>
          <w:p w14:paraId="037729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383" w:type="dxa"/>
            <w:vAlign w:val="center"/>
          </w:tcPr>
          <w:p w14:paraId="534BCC1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382" w:type="dxa"/>
            <w:vAlign w:val="center"/>
          </w:tcPr>
          <w:p w14:paraId="623E5ED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458" w:type="dxa"/>
            <w:gridSpan w:val="2"/>
            <w:vAlign w:val="center"/>
          </w:tcPr>
          <w:p w14:paraId="6CB5E82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1086" w:type="dxa"/>
            <w:shd w:val="clear" w:color="auto" w:fill="auto"/>
            <w:vAlign w:val="center"/>
          </w:tcPr>
          <w:p w14:paraId="30E19F0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086" w:type="dxa"/>
            <w:shd w:val="clear" w:color="auto" w:fill="auto"/>
            <w:vAlign w:val="center"/>
          </w:tcPr>
          <w:p w14:paraId="7602692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155" w:type="dxa"/>
            <w:shd w:val="clear" w:color="auto" w:fill="auto"/>
            <w:vAlign w:val="center"/>
          </w:tcPr>
          <w:p w14:paraId="2E8B7D5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1226" w:type="dxa"/>
            <w:shd w:val="clear" w:color="auto" w:fill="auto"/>
            <w:vAlign w:val="center"/>
          </w:tcPr>
          <w:p w14:paraId="31AEB59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3254" w:type="dxa"/>
            <w:shd w:val="clear" w:color="auto" w:fill="auto"/>
            <w:vAlign w:val="center"/>
          </w:tcPr>
          <w:p w14:paraId="76A767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1845" w:type="dxa"/>
            <w:vAlign w:val="center"/>
          </w:tcPr>
          <w:p w14:paraId="452B256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lang w:eastAsia="zh-CN"/>
              </w:rPr>
            </w:pPr>
            <w:r>
              <w:rPr>
                <w:rFonts w:hint="eastAsia" w:ascii="方正仿宋_GBK" w:hAnsi="方正仿宋_GBK" w:eastAsia="方正仿宋_GBK" w:cs="方正仿宋_GBK"/>
                <w:sz w:val="18"/>
                <w:szCs w:val="18"/>
                <w:vertAlign w:val="baseline"/>
                <w:lang w:eastAsia="zh-CN"/>
              </w:rPr>
              <w:t>备注</w:t>
            </w:r>
          </w:p>
        </w:tc>
      </w:tr>
      <w:tr w14:paraId="2AD6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trPr>
        <w:tc>
          <w:tcPr>
            <w:tcW w:w="600" w:type="dxa"/>
            <w:vAlign w:val="center"/>
          </w:tcPr>
          <w:p w14:paraId="790249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7</w:t>
            </w:r>
          </w:p>
        </w:tc>
        <w:tc>
          <w:tcPr>
            <w:tcW w:w="948" w:type="dxa"/>
            <w:vAlign w:val="center"/>
          </w:tcPr>
          <w:p w14:paraId="6B437B2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对故意损毁或擅自移动界桩或者其他行政区域界线标志物的处罚</w:t>
            </w:r>
          </w:p>
        </w:tc>
        <w:tc>
          <w:tcPr>
            <w:tcW w:w="435" w:type="dxa"/>
            <w:vAlign w:val="center"/>
          </w:tcPr>
          <w:p w14:paraId="49ABF6A5">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455" w:type="dxa"/>
            <w:vAlign w:val="center"/>
          </w:tcPr>
          <w:p w14:paraId="4331E3A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838" w:type="dxa"/>
            <w:gridSpan w:val="2"/>
            <w:vAlign w:val="center"/>
          </w:tcPr>
          <w:p w14:paraId="0822F5E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【法规】《行政区域界线管理条例》（2002年5月13日中华人民共和国国务院令第353号发布，自2002年7月1日起施行）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十七条：违反本条例的规定，故意损毁或者擅自移动界桩或者其他行政区域界线标志物的，应当支付修复标志物的费用，并由所在地负责管理该行政区域界线标志的人民政府部门处1000元以下的罚款；构成违反治安管理行为的，并依法给予治安管理处罚。</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【规章】《新疆维吾尔自治区实施&lt;行政区域界线管理条例&gt;办法》(2005年11月11日自治区人民政府令第135号)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十五条：违反本办法规定，故意损坏或者擅自移动、拆除界桩或者行政区域界线标志物的，应当支付修复界桩或者标志物的费用，并由负责管理该行政区域界线标志物的人民政府民政部门处200元以上1000元以下罚款；构成违反治安管理行为的，依法给予治安管理处罚。</w:t>
            </w:r>
          </w:p>
        </w:tc>
        <w:tc>
          <w:tcPr>
            <w:tcW w:w="383" w:type="dxa"/>
            <w:vAlign w:val="center"/>
          </w:tcPr>
          <w:p w14:paraId="607AAD2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15017F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区划地名</w:t>
            </w:r>
          </w:p>
          <w:p w14:paraId="4FDA0C0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办公室</w:t>
            </w:r>
          </w:p>
        </w:tc>
        <w:tc>
          <w:tcPr>
            <w:tcW w:w="513" w:type="dxa"/>
            <w:vAlign w:val="center"/>
          </w:tcPr>
          <w:p w14:paraId="4ADEC2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945" w:type="dxa"/>
            <w:shd w:val="clear" w:color="auto" w:fill="auto"/>
            <w:vAlign w:val="center"/>
          </w:tcPr>
          <w:p w14:paraId="2919AC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负责权限内对故意损毁或擅自移动界桩或者其他行政区域界线标志物的处罚</w:t>
            </w:r>
          </w:p>
        </w:tc>
        <w:tc>
          <w:tcPr>
            <w:tcW w:w="1086" w:type="dxa"/>
            <w:shd w:val="clear" w:color="auto" w:fill="auto"/>
            <w:vAlign w:val="center"/>
          </w:tcPr>
          <w:p w14:paraId="6E4301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负责权限内区域界线的管理执法工作</w:t>
            </w:r>
          </w:p>
        </w:tc>
        <w:tc>
          <w:tcPr>
            <w:tcW w:w="1086" w:type="dxa"/>
            <w:shd w:val="clear" w:color="auto" w:fill="auto"/>
            <w:vAlign w:val="center"/>
          </w:tcPr>
          <w:p w14:paraId="7AB8DDD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2.依法依规实施本级行政处罚事项，作出的行政处罚决定应当予以公开。</w:t>
            </w:r>
          </w:p>
        </w:tc>
        <w:tc>
          <w:tcPr>
            <w:tcW w:w="1155" w:type="dxa"/>
            <w:shd w:val="clear" w:color="auto" w:fill="auto"/>
            <w:vAlign w:val="center"/>
          </w:tcPr>
          <w:p w14:paraId="5B9D06B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226" w:type="dxa"/>
            <w:shd w:val="clear" w:color="auto" w:fill="auto"/>
            <w:vAlign w:val="center"/>
          </w:tcPr>
          <w:p w14:paraId="13A4D29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3254" w:type="dxa"/>
            <w:shd w:val="clear" w:color="auto" w:fill="auto"/>
            <w:vAlign w:val="center"/>
          </w:tcPr>
          <w:p w14:paraId="1E2F4D5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2.违反规定设立处罚种类或者改变处罚幅度的；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3.对应当予以制止和处罚的违法行为不予制止、处罚的；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4.违反“缴罚分离”规定，擅自收取罚款的；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5.将罚款、没收的违法所得或者财物截留、私分或者变相私分的；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6.在行政处罚过程中发生腐败行为的；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7.其他违反法律法规规章文件规定的行为。</w:t>
            </w:r>
          </w:p>
        </w:tc>
        <w:tc>
          <w:tcPr>
            <w:tcW w:w="1845" w:type="dxa"/>
            <w:vAlign w:val="center"/>
          </w:tcPr>
          <w:p w14:paraId="3F6499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4FAD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5" w:hRule="atLeast"/>
        </w:trPr>
        <w:tc>
          <w:tcPr>
            <w:tcW w:w="600" w:type="dxa"/>
            <w:vAlign w:val="center"/>
          </w:tcPr>
          <w:p w14:paraId="5CCC4D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8</w:t>
            </w:r>
          </w:p>
        </w:tc>
        <w:tc>
          <w:tcPr>
            <w:tcW w:w="948" w:type="dxa"/>
            <w:vAlign w:val="center"/>
          </w:tcPr>
          <w:p w14:paraId="2FAD71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对擅自编制行政区域界线详图，或者绘制的地图行政区域界线画法与行政区域界线详图不一致的处罚</w:t>
            </w:r>
          </w:p>
        </w:tc>
        <w:tc>
          <w:tcPr>
            <w:tcW w:w="435" w:type="dxa"/>
            <w:vAlign w:val="center"/>
          </w:tcPr>
          <w:p w14:paraId="2DEAEBF4">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455" w:type="dxa"/>
            <w:vAlign w:val="center"/>
          </w:tcPr>
          <w:p w14:paraId="4FCE3C4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838" w:type="dxa"/>
            <w:gridSpan w:val="2"/>
            <w:vAlign w:val="center"/>
          </w:tcPr>
          <w:p w14:paraId="55B961C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【法规】《行政区域界线管理条例》（2002年5月13日中华人民共和国国务院令第353号发布，自2002年7月1日起施行）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十四条：行政区域界线详图是反映县级以上行政区域界线标准画法的国家专题地图。任何涉及行政区域界线详图，其行政区域界线画法一律以行政区域界线详图为准绘制。国务院民政部门负责编制省、自治区、直辖市行政区域界线详图；省、自治区、直辖市人民政府民政部门负责编制本行政区域内的行政区域界线详图。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十八条：违反本条例的规定，擅自编制行政区域界线详图，或者绘制的地图的行政区域界线的画法与行政区域界线详图画法不一致的，由有关人民政府民政部门责令停止违法行为，没收违法编制的行政区域界线详图和违法所得，并处1万元以下的罚款。</w:t>
            </w:r>
          </w:p>
        </w:tc>
        <w:tc>
          <w:tcPr>
            <w:tcW w:w="383" w:type="dxa"/>
            <w:vAlign w:val="center"/>
          </w:tcPr>
          <w:p w14:paraId="3C8811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790A54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区划地名办公室</w:t>
            </w:r>
          </w:p>
        </w:tc>
        <w:tc>
          <w:tcPr>
            <w:tcW w:w="513" w:type="dxa"/>
            <w:vAlign w:val="center"/>
          </w:tcPr>
          <w:p w14:paraId="7B681E2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945" w:type="dxa"/>
            <w:shd w:val="clear" w:color="auto" w:fill="auto"/>
            <w:vAlign w:val="center"/>
          </w:tcPr>
          <w:p w14:paraId="107640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对权限内擅自编制行政区域界线详图，或者绘制的地图行政区域界线画法与行政区域界线详图不一致的处罚</w:t>
            </w:r>
          </w:p>
        </w:tc>
        <w:tc>
          <w:tcPr>
            <w:tcW w:w="1086" w:type="dxa"/>
            <w:shd w:val="clear" w:color="auto" w:fill="auto"/>
            <w:vAlign w:val="center"/>
          </w:tcPr>
          <w:p w14:paraId="441711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负责权限内区域界线的管理执法工作</w:t>
            </w:r>
          </w:p>
        </w:tc>
        <w:tc>
          <w:tcPr>
            <w:tcW w:w="1086" w:type="dxa"/>
            <w:shd w:val="clear" w:color="auto" w:fill="auto"/>
            <w:vAlign w:val="center"/>
          </w:tcPr>
          <w:p w14:paraId="3874E9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2.依法依规实施本级行政处罚事项，作出的行政处罚决定应当予以公开。</w:t>
            </w:r>
          </w:p>
        </w:tc>
        <w:tc>
          <w:tcPr>
            <w:tcW w:w="1155" w:type="dxa"/>
            <w:shd w:val="clear" w:color="auto" w:fill="auto"/>
            <w:vAlign w:val="center"/>
          </w:tcPr>
          <w:p w14:paraId="07FB44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226" w:type="dxa"/>
            <w:shd w:val="clear" w:color="auto" w:fill="auto"/>
            <w:vAlign w:val="center"/>
          </w:tcPr>
          <w:p w14:paraId="03317E5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3254" w:type="dxa"/>
            <w:shd w:val="clear" w:color="auto" w:fill="auto"/>
            <w:vAlign w:val="center"/>
          </w:tcPr>
          <w:p w14:paraId="3C016FB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2.违反规定设立处罚种类或者改变处罚幅度的；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3.对应当予以制止和处罚的违法行为不予制止、处罚的；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4.违反“缴罚分离”规定，擅自收取罚款的；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5.将罚款、没收的违法所得或者财物截留、私分或者变相私分的；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6.在行政处罚过程中发生腐败行为的；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7.其他违反法律法规规章文件规定的行为。</w:t>
            </w:r>
          </w:p>
        </w:tc>
        <w:tc>
          <w:tcPr>
            <w:tcW w:w="1845" w:type="dxa"/>
            <w:vAlign w:val="center"/>
          </w:tcPr>
          <w:p w14:paraId="766461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734C3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trPr>
        <w:tc>
          <w:tcPr>
            <w:tcW w:w="600" w:type="dxa"/>
            <w:shd w:val="clear" w:color="auto" w:fill="auto"/>
            <w:vAlign w:val="center"/>
          </w:tcPr>
          <w:p w14:paraId="496AA1F8">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序号</w:t>
            </w:r>
          </w:p>
        </w:tc>
        <w:tc>
          <w:tcPr>
            <w:tcW w:w="948" w:type="dxa"/>
            <w:shd w:val="clear" w:color="auto" w:fill="auto"/>
            <w:vAlign w:val="center"/>
          </w:tcPr>
          <w:p w14:paraId="7C0A200B">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事项名称</w:t>
            </w:r>
          </w:p>
        </w:tc>
        <w:tc>
          <w:tcPr>
            <w:tcW w:w="435" w:type="dxa"/>
            <w:shd w:val="clear" w:color="auto" w:fill="auto"/>
            <w:vAlign w:val="center"/>
          </w:tcPr>
          <w:p w14:paraId="41876C0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455" w:type="dxa"/>
            <w:shd w:val="clear" w:color="auto" w:fill="auto"/>
            <w:vAlign w:val="center"/>
          </w:tcPr>
          <w:p w14:paraId="44780CC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3838" w:type="dxa"/>
            <w:gridSpan w:val="2"/>
            <w:shd w:val="clear" w:color="auto" w:fill="auto"/>
            <w:vAlign w:val="center"/>
          </w:tcPr>
          <w:p w14:paraId="588D0F1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383" w:type="dxa"/>
            <w:shd w:val="clear" w:color="auto" w:fill="auto"/>
            <w:vAlign w:val="center"/>
          </w:tcPr>
          <w:p w14:paraId="7705B1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382" w:type="dxa"/>
            <w:shd w:val="clear" w:color="auto" w:fill="auto"/>
            <w:vAlign w:val="center"/>
          </w:tcPr>
          <w:p w14:paraId="57A5D61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458" w:type="dxa"/>
            <w:gridSpan w:val="2"/>
            <w:shd w:val="clear" w:color="auto" w:fill="auto"/>
            <w:vAlign w:val="center"/>
          </w:tcPr>
          <w:p w14:paraId="0DCD5AF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1086" w:type="dxa"/>
            <w:shd w:val="clear" w:color="auto" w:fill="auto"/>
            <w:vAlign w:val="center"/>
          </w:tcPr>
          <w:p w14:paraId="5C92BAC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086" w:type="dxa"/>
            <w:shd w:val="clear" w:color="auto" w:fill="auto"/>
            <w:vAlign w:val="center"/>
          </w:tcPr>
          <w:p w14:paraId="5A99CE7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155" w:type="dxa"/>
            <w:shd w:val="clear" w:color="auto" w:fill="auto"/>
            <w:vAlign w:val="center"/>
          </w:tcPr>
          <w:p w14:paraId="6BBA4A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1226" w:type="dxa"/>
            <w:shd w:val="clear" w:color="auto" w:fill="auto"/>
            <w:vAlign w:val="center"/>
          </w:tcPr>
          <w:p w14:paraId="228638C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3254" w:type="dxa"/>
            <w:shd w:val="clear" w:color="auto" w:fill="auto"/>
            <w:vAlign w:val="center"/>
          </w:tcPr>
          <w:p w14:paraId="709A759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1845" w:type="dxa"/>
            <w:shd w:val="clear" w:color="auto" w:fill="auto"/>
            <w:vAlign w:val="center"/>
          </w:tcPr>
          <w:p w14:paraId="11DCD9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1FFEF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0" w:hRule="atLeast"/>
        </w:trPr>
        <w:tc>
          <w:tcPr>
            <w:tcW w:w="600" w:type="dxa"/>
            <w:vAlign w:val="center"/>
          </w:tcPr>
          <w:p w14:paraId="3AF8813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9</w:t>
            </w:r>
          </w:p>
        </w:tc>
        <w:tc>
          <w:tcPr>
            <w:tcW w:w="948" w:type="dxa"/>
            <w:vAlign w:val="center"/>
          </w:tcPr>
          <w:p w14:paraId="0776979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对擅自设置、拆除、移动、涂改、遮挡、损毁地名标志的处罚</w:t>
            </w:r>
          </w:p>
        </w:tc>
        <w:tc>
          <w:tcPr>
            <w:tcW w:w="435" w:type="dxa"/>
            <w:vAlign w:val="center"/>
          </w:tcPr>
          <w:p w14:paraId="3D1A38FB">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455" w:type="dxa"/>
            <w:vAlign w:val="center"/>
          </w:tcPr>
          <w:p w14:paraId="4AC8663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838" w:type="dxa"/>
            <w:gridSpan w:val="2"/>
            <w:vAlign w:val="center"/>
          </w:tcPr>
          <w:p w14:paraId="237095F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 《地名管理条例》（中华人民共和国国务院令 第753号 已经2021年9月1日国务院第147次常务会议修订通过，现予公布，自2022年5月1日起施行。）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第三十四条　县级以上地方人民政府地名批准机关违反本条例规定进行地名命名、更名的，由其上一级行政机关责令改正，对该批准机关负有责任的领导人员和其他直接责任人员依法给予处分。</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第三十五条　县级以上地方人民政府地名批准机关不报送备案或者未按时报送备案的，由国务院地名行政主管部门或者上一级人民政府地名行政主管部门通知该批准机关，限期报送；逾期仍未报送的，对直接责任人员依法给予处分。</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第三十六条　违反本条例第四条、第九条、第十条、第十二条规定，擅自进行地名命名、更名的，由有审批权的行政机关责令限期改正；逾期不改正的，予以取缔，并对违法单位通报批评。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第三十七条　违反本条例第十八条规定，未使用或者未规范使用标准地名的，由县级以上地方人民政府地名行政主管部门或者其他有关部门责令限期改正；逾期不改正的，对违法单位通报批评，并通知有关主管部门依法处理；对违法单位的法定代表人或者主要负责人、直接负责的主管人员和其他直接责任人员，处2000元以上1万元以下罚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第三十八条　擅自设置、拆除、移动、涂改、遮挡、损毁地名标志的，由地名标志设置、维护和管理部门责令改正并对责任人员处1000元以上5000元以下罚款。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第三十九条　第三方机构对地名的命名、更名、使用、文化保护等情况出具虚假评估报告的，由县级以上地方人民政府地名行政主管部门给予警告，有违法所得的，没收违法所得；情节严重的，5年内禁止从事地名相关评估工作。</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第四十条　公职人员在地名管理工作中有滥用职权、玩忽职守、徇私舞弊行为的，依法给予处分。</w:t>
            </w:r>
          </w:p>
        </w:tc>
        <w:tc>
          <w:tcPr>
            <w:tcW w:w="383" w:type="dxa"/>
            <w:vAlign w:val="center"/>
          </w:tcPr>
          <w:p w14:paraId="7994F2E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05FF902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区划地名办公室</w:t>
            </w:r>
          </w:p>
        </w:tc>
        <w:tc>
          <w:tcPr>
            <w:tcW w:w="513" w:type="dxa"/>
            <w:vAlign w:val="center"/>
          </w:tcPr>
          <w:p w14:paraId="78E357A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945" w:type="dxa"/>
            <w:shd w:val="clear" w:color="auto" w:fill="auto"/>
            <w:vAlign w:val="center"/>
          </w:tcPr>
          <w:p w14:paraId="24DA69A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负责权限内擅自设置、拆除、移动、涂改、遮挡、损毁地名标志的处罚</w:t>
            </w:r>
          </w:p>
        </w:tc>
        <w:tc>
          <w:tcPr>
            <w:tcW w:w="1086" w:type="dxa"/>
            <w:shd w:val="clear" w:color="auto" w:fill="auto"/>
            <w:vAlign w:val="center"/>
          </w:tcPr>
          <w:p w14:paraId="527A91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负责权限内区域界线的管理执法工作</w:t>
            </w:r>
          </w:p>
        </w:tc>
        <w:tc>
          <w:tcPr>
            <w:tcW w:w="1086" w:type="dxa"/>
            <w:shd w:val="clear" w:color="auto" w:fill="auto"/>
            <w:vAlign w:val="center"/>
          </w:tcPr>
          <w:p w14:paraId="63D204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2.依法依规实施本级行政处罚事项，作出的行政处罚决定应当予以公开。</w:t>
            </w:r>
          </w:p>
        </w:tc>
        <w:tc>
          <w:tcPr>
            <w:tcW w:w="1155" w:type="dxa"/>
            <w:shd w:val="clear" w:color="auto" w:fill="auto"/>
            <w:vAlign w:val="center"/>
          </w:tcPr>
          <w:p w14:paraId="3831109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226" w:type="dxa"/>
            <w:shd w:val="clear" w:color="auto" w:fill="auto"/>
            <w:vAlign w:val="center"/>
          </w:tcPr>
          <w:p w14:paraId="34F4EE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3254" w:type="dxa"/>
            <w:shd w:val="clear" w:color="auto" w:fill="auto"/>
            <w:vAlign w:val="center"/>
          </w:tcPr>
          <w:p w14:paraId="2C1E91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2.违反规定设立处罚种类或者改变处罚幅度的；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3.对应当予以制止和处罚的违法行为不予制止、处罚的；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4.违反“缴罚分离”规定，擅自收取罚款的；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5.将罚款、没收的违法所得或者财物截留、私分或者变相私分的；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6.在行政处罚过程中发生腐败行为的；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7.其他违反法律法规规章文件规定的行为。</w:t>
            </w:r>
          </w:p>
        </w:tc>
        <w:tc>
          <w:tcPr>
            <w:tcW w:w="1845" w:type="dxa"/>
            <w:vAlign w:val="center"/>
          </w:tcPr>
          <w:p w14:paraId="51EA320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39AD0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600" w:type="dxa"/>
            <w:shd w:val="clear" w:color="auto" w:fill="auto"/>
            <w:vAlign w:val="center"/>
          </w:tcPr>
          <w:p w14:paraId="627039A0">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序号</w:t>
            </w:r>
          </w:p>
        </w:tc>
        <w:tc>
          <w:tcPr>
            <w:tcW w:w="948" w:type="dxa"/>
            <w:shd w:val="clear" w:color="auto" w:fill="auto"/>
            <w:vAlign w:val="center"/>
          </w:tcPr>
          <w:p w14:paraId="3A6A18C2">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事项名称</w:t>
            </w:r>
          </w:p>
        </w:tc>
        <w:tc>
          <w:tcPr>
            <w:tcW w:w="435" w:type="dxa"/>
            <w:shd w:val="clear" w:color="auto" w:fill="auto"/>
            <w:vAlign w:val="center"/>
          </w:tcPr>
          <w:p w14:paraId="5F248A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455" w:type="dxa"/>
            <w:shd w:val="clear" w:color="auto" w:fill="auto"/>
            <w:vAlign w:val="center"/>
          </w:tcPr>
          <w:p w14:paraId="5BBADAE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3838" w:type="dxa"/>
            <w:gridSpan w:val="2"/>
            <w:shd w:val="clear" w:color="auto" w:fill="auto"/>
            <w:vAlign w:val="center"/>
          </w:tcPr>
          <w:p w14:paraId="082DBDF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383" w:type="dxa"/>
            <w:shd w:val="clear" w:color="auto" w:fill="auto"/>
            <w:vAlign w:val="center"/>
          </w:tcPr>
          <w:p w14:paraId="158CA79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382" w:type="dxa"/>
            <w:shd w:val="clear" w:color="auto" w:fill="auto"/>
            <w:vAlign w:val="center"/>
          </w:tcPr>
          <w:p w14:paraId="1398E6B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458" w:type="dxa"/>
            <w:gridSpan w:val="2"/>
            <w:shd w:val="clear" w:color="auto" w:fill="auto"/>
            <w:vAlign w:val="center"/>
          </w:tcPr>
          <w:p w14:paraId="3F88797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1086" w:type="dxa"/>
            <w:shd w:val="clear" w:color="auto" w:fill="auto"/>
            <w:vAlign w:val="center"/>
          </w:tcPr>
          <w:p w14:paraId="4B3ADD7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086" w:type="dxa"/>
            <w:shd w:val="clear" w:color="auto" w:fill="auto"/>
            <w:vAlign w:val="center"/>
          </w:tcPr>
          <w:p w14:paraId="484168E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155" w:type="dxa"/>
            <w:shd w:val="clear" w:color="auto" w:fill="auto"/>
            <w:vAlign w:val="center"/>
          </w:tcPr>
          <w:p w14:paraId="4708477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1226" w:type="dxa"/>
            <w:shd w:val="clear" w:color="auto" w:fill="auto"/>
            <w:vAlign w:val="center"/>
          </w:tcPr>
          <w:p w14:paraId="5C8C0F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3254" w:type="dxa"/>
            <w:shd w:val="clear" w:color="auto" w:fill="auto"/>
            <w:vAlign w:val="center"/>
          </w:tcPr>
          <w:p w14:paraId="583BB3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1845" w:type="dxa"/>
            <w:shd w:val="clear" w:color="auto" w:fill="auto"/>
            <w:vAlign w:val="center"/>
          </w:tcPr>
          <w:p w14:paraId="5F01CD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72DE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0" w:hRule="atLeast"/>
        </w:trPr>
        <w:tc>
          <w:tcPr>
            <w:tcW w:w="600" w:type="dxa"/>
            <w:vAlign w:val="center"/>
          </w:tcPr>
          <w:p w14:paraId="2041AF5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948" w:type="dxa"/>
            <w:vAlign w:val="center"/>
          </w:tcPr>
          <w:p w14:paraId="5374ADE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对制造、销售不符合国家技术标准的殡葬设备行为，制造、销售封建迷信殡葬用品行为的处罚</w:t>
            </w:r>
          </w:p>
        </w:tc>
        <w:tc>
          <w:tcPr>
            <w:tcW w:w="435" w:type="dxa"/>
            <w:vAlign w:val="center"/>
          </w:tcPr>
          <w:p w14:paraId="5BA43081">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455" w:type="dxa"/>
            <w:vAlign w:val="center"/>
          </w:tcPr>
          <w:p w14:paraId="0DB5118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838" w:type="dxa"/>
            <w:gridSpan w:val="2"/>
            <w:vAlign w:val="center"/>
          </w:tcPr>
          <w:p w14:paraId="05E6CF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 xml:space="preserve">【法规】《殡葬管理条例》（1997年7月11日国务院第60次常务会议通过，1997年7月21日中华人民共和国国务院令第225号发布；2012年11月9日中华人民共和国国务院令第628号修正，自2013年1月1日起施行）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二十二条：制造、销售不符合国家技术标准的殡葬设备的，由民政部门会同工商行政管理部门责令停止制造、销售，可以并处制造、销售金额1倍以上3倍以下的罚款。制造、销售封建迷信殡葬用品的，由民政部门会同工商行政管理部门予以没收，可以并处制造、销售金额1倍以上3倍以下的罚款。</w:t>
            </w:r>
          </w:p>
        </w:tc>
        <w:tc>
          <w:tcPr>
            <w:tcW w:w="383" w:type="dxa"/>
            <w:vAlign w:val="center"/>
          </w:tcPr>
          <w:p w14:paraId="753A902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267DD77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殡葬管理所</w:t>
            </w:r>
          </w:p>
        </w:tc>
        <w:tc>
          <w:tcPr>
            <w:tcW w:w="513" w:type="dxa"/>
            <w:vAlign w:val="center"/>
          </w:tcPr>
          <w:p w14:paraId="1444EEC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945" w:type="dxa"/>
            <w:shd w:val="clear" w:color="auto" w:fill="auto"/>
            <w:vAlign w:val="center"/>
          </w:tcPr>
          <w:p w14:paraId="5CE99ED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负责行政范围内制造、销售不符合国家技术标准的殡葬设备，制造、销售封建迷信殡葬用品的处罚。</w:t>
            </w:r>
          </w:p>
        </w:tc>
        <w:tc>
          <w:tcPr>
            <w:tcW w:w="1086" w:type="dxa"/>
            <w:shd w:val="clear" w:color="auto" w:fill="auto"/>
            <w:vAlign w:val="center"/>
          </w:tcPr>
          <w:p w14:paraId="76B5C2C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承担婚姻登记、殡葬服务机构管理，推进婚俗和殡葬改革，负责婚姻登记信息管理，承担公益性公墓和墓地管理审批。婚姻、殡葬服务机构建设、管理和安全生产。</w:t>
            </w:r>
          </w:p>
        </w:tc>
        <w:tc>
          <w:tcPr>
            <w:tcW w:w="1086" w:type="dxa"/>
            <w:shd w:val="clear" w:color="auto" w:fill="auto"/>
            <w:vAlign w:val="center"/>
          </w:tcPr>
          <w:p w14:paraId="742D365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2.依法依规实施本级行政处罚事项，做出的行政处罚决定应当予以公开。</w:t>
            </w:r>
          </w:p>
        </w:tc>
        <w:tc>
          <w:tcPr>
            <w:tcW w:w="1155" w:type="dxa"/>
            <w:shd w:val="clear" w:color="auto" w:fill="auto"/>
            <w:vAlign w:val="center"/>
          </w:tcPr>
          <w:p w14:paraId="391098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226" w:type="dxa"/>
            <w:shd w:val="clear" w:color="auto" w:fill="auto"/>
            <w:vAlign w:val="center"/>
          </w:tcPr>
          <w:p w14:paraId="3B8E9D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3254" w:type="dxa"/>
            <w:shd w:val="clear" w:color="auto" w:fill="auto"/>
            <w:vAlign w:val="center"/>
          </w:tcPr>
          <w:p w14:paraId="57C3D0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2.对应当予以取缔而没有取缔的；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3.对应当没收违法所得而没有没收或者将没收的违法所得截留、私分或者变相私分的；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4.对应当予以制止和处罚的违法行为不予制止、处罚的；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5.在行政处罚过程中发生腐败行为的；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6.其他违反法律法规规章文件规定的行为。</w:t>
            </w:r>
          </w:p>
        </w:tc>
        <w:tc>
          <w:tcPr>
            <w:tcW w:w="1845" w:type="dxa"/>
            <w:vAlign w:val="center"/>
          </w:tcPr>
          <w:p w14:paraId="5DF7D94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4E85D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5" w:hRule="atLeast"/>
        </w:trPr>
        <w:tc>
          <w:tcPr>
            <w:tcW w:w="600" w:type="dxa"/>
            <w:vAlign w:val="center"/>
          </w:tcPr>
          <w:p w14:paraId="58F1F8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11</w:t>
            </w:r>
          </w:p>
        </w:tc>
        <w:tc>
          <w:tcPr>
            <w:tcW w:w="948" w:type="dxa"/>
            <w:vAlign w:val="center"/>
          </w:tcPr>
          <w:p w14:paraId="747015A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对墓穴超过规定标准的处罚</w:t>
            </w:r>
          </w:p>
        </w:tc>
        <w:tc>
          <w:tcPr>
            <w:tcW w:w="435" w:type="dxa"/>
            <w:vAlign w:val="center"/>
          </w:tcPr>
          <w:p w14:paraId="4ACAE125">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455" w:type="dxa"/>
            <w:vAlign w:val="center"/>
          </w:tcPr>
          <w:p w14:paraId="6C6BBCA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838" w:type="dxa"/>
            <w:gridSpan w:val="2"/>
            <w:vAlign w:val="center"/>
          </w:tcPr>
          <w:p w14:paraId="002AB99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 xml:space="preserve">【法规】《殡葬管理条例》（1997年7月11日国务院第60次常务会议通过，1997年7月21日中华人民共和国国务院令第225号发布；2012年11月9日中华人民共和国国务院令第628号修正，自2013年1月1日起施行）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第十九条：墓穴占地面积超过省、自治区、直辖市人民政府规定的标准的，由民政部门责令限期改正，没收违法所得，可以并处违法所得1倍以上3倍以下的罚款。</w:t>
            </w:r>
          </w:p>
        </w:tc>
        <w:tc>
          <w:tcPr>
            <w:tcW w:w="383" w:type="dxa"/>
            <w:vAlign w:val="center"/>
          </w:tcPr>
          <w:p w14:paraId="7C21143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6AE4C9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殡葬管理所</w:t>
            </w:r>
          </w:p>
        </w:tc>
        <w:tc>
          <w:tcPr>
            <w:tcW w:w="513" w:type="dxa"/>
            <w:vAlign w:val="center"/>
          </w:tcPr>
          <w:p w14:paraId="1127538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945" w:type="dxa"/>
            <w:shd w:val="clear" w:color="auto" w:fill="auto"/>
            <w:vAlign w:val="center"/>
          </w:tcPr>
          <w:p w14:paraId="2FB415C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负责行政范围内对墓穴超过规定标准的处罚。</w:t>
            </w:r>
          </w:p>
        </w:tc>
        <w:tc>
          <w:tcPr>
            <w:tcW w:w="1086" w:type="dxa"/>
            <w:shd w:val="clear" w:color="auto" w:fill="auto"/>
            <w:vAlign w:val="center"/>
          </w:tcPr>
          <w:p w14:paraId="65877C5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承担指导婚姻登记、殡葬服务机构管理，推进婚俗和殡葬改革，负责婚姻登记信息管理，承担公益性公墓和墓地管理审批。指导婚姻、殡葬服务机构建设、管理和安全生产。</w:t>
            </w:r>
          </w:p>
        </w:tc>
        <w:tc>
          <w:tcPr>
            <w:tcW w:w="1086" w:type="dxa"/>
            <w:shd w:val="clear" w:color="auto" w:fill="auto"/>
            <w:vAlign w:val="center"/>
          </w:tcPr>
          <w:p w14:paraId="69BA16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2.依法依规实施本级行政处罚事项，做出的行政处罚决定应当予以公开。</w:t>
            </w:r>
          </w:p>
        </w:tc>
        <w:tc>
          <w:tcPr>
            <w:tcW w:w="1155" w:type="dxa"/>
            <w:shd w:val="clear" w:color="auto" w:fill="auto"/>
            <w:vAlign w:val="center"/>
          </w:tcPr>
          <w:p w14:paraId="7DD5267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226" w:type="dxa"/>
            <w:shd w:val="clear" w:color="auto" w:fill="auto"/>
            <w:vAlign w:val="center"/>
          </w:tcPr>
          <w:p w14:paraId="3B6C5B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3254" w:type="dxa"/>
            <w:shd w:val="clear" w:color="auto" w:fill="auto"/>
            <w:vAlign w:val="center"/>
          </w:tcPr>
          <w:p w14:paraId="5693E9B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2.违反规定设立处罚种类或者改变处罚幅度的；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3.对应当予以制止和处罚的违法行为不予制止、处罚的；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4.违反“缴罚分离”规定，擅自收取罚款的；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5.将罚款、没收的违法所得或者财物截留、私分或者变相私分的；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6.在行政处罚过程中发生腐败行为的；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7.其他违反法律法规规章文件规定的行为。</w:t>
            </w:r>
          </w:p>
        </w:tc>
        <w:tc>
          <w:tcPr>
            <w:tcW w:w="1845" w:type="dxa"/>
            <w:vAlign w:val="center"/>
          </w:tcPr>
          <w:p w14:paraId="5F36006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0DCF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600" w:type="dxa"/>
            <w:vAlign w:val="center"/>
          </w:tcPr>
          <w:p w14:paraId="49472A39">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序号</w:t>
            </w:r>
          </w:p>
        </w:tc>
        <w:tc>
          <w:tcPr>
            <w:tcW w:w="948" w:type="dxa"/>
            <w:vAlign w:val="center"/>
          </w:tcPr>
          <w:p w14:paraId="56889B9F">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事项名称</w:t>
            </w:r>
          </w:p>
        </w:tc>
        <w:tc>
          <w:tcPr>
            <w:tcW w:w="435" w:type="dxa"/>
            <w:vAlign w:val="center"/>
          </w:tcPr>
          <w:p w14:paraId="547FA78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455" w:type="dxa"/>
            <w:vAlign w:val="center"/>
          </w:tcPr>
          <w:p w14:paraId="233CBF1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3838" w:type="dxa"/>
            <w:gridSpan w:val="2"/>
            <w:vAlign w:val="center"/>
          </w:tcPr>
          <w:p w14:paraId="1445DF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383" w:type="dxa"/>
            <w:vAlign w:val="center"/>
          </w:tcPr>
          <w:p w14:paraId="4940CBD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382" w:type="dxa"/>
            <w:vAlign w:val="center"/>
          </w:tcPr>
          <w:p w14:paraId="78DF77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458" w:type="dxa"/>
            <w:gridSpan w:val="2"/>
            <w:vAlign w:val="center"/>
          </w:tcPr>
          <w:p w14:paraId="13487CD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1086" w:type="dxa"/>
            <w:shd w:val="clear" w:color="auto" w:fill="auto"/>
            <w:vAlign w:val="center"/>
          </w:tcPr>
          <w:p w14:paraId="06F68DF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086" w:type="dxa"/>
            <w:shd w:val="clear" w:color="auto" w:fill="auto"/>
            <w:vAlign w:val="center"/>
          </w:tcPr>
          <w:p w14:paraId="791850D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155" w:type="dxa"/>
            <w:shd w:val="clear" w:color="auto" w:fill="auto"/>
            <w:vAlign w:val="center"/>
          </w:tcPr>
          <w:p w14:paraId="62CB54A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1226" w:type="dxa"/>
            <w:shd w:val="clear" w:color="auto" w:fill="auto"/>
            <w:vAlign w:val="center"/>
          </w:tcPr>
          <w:p w14:paraId="03D35BF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3254" w:type="dxa"/>
            <w:shd w:val="clear" w:color="auto" w:fill="auto"/>
            <w:vAlign w:val="center"/>
          </w:tcPr>
          <w:p w14:paraId="7E009F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1845" w:type="dxa"/>
            <w:vAlign w:val="center"/>
          </w:tcPr>
          <w:p w14:paraId="5873A38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lang w:eastAsia="zh-CN"/>
              </w:rPr>
            </w:pPr>
            <w:r>
              <w:rPr>
                <w:rFonts w:hint="eastAsia" w:ascii="方正仿宋_GBK" w:hAnsi="方正仿宋_GBK" w:eastAsia="方正仿宋_GBK" w:cs="方正仿宋_GBK"/>
                <w:sz w:val="18"/>
                <w:szCs w:val="18"/>
                <w:vertAlign w:val="baseline"/>
                <w:lang w:eastAsia="zh-CN"/>
              </w:rPr>
              <w:t>备注</w:t>
            </w:r>
          </w:p>
        </w:tc>
      </w:tr>
      <w:tr w14:paraId="3734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4" w:hRule="atLeast"/>
        </w:trPr>
        <w:tc>
          <w:tcPr>
            <w:tcW w:w="600" w:type="dxa"/>
            <w:vAlign w:val="center"/>
          </w:tcPr>
          <w:p w14:paraId="2E6747B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12</w:t>
            </w:r>
          </w:p>
        </w:tc>
        <w:tc>
          <w:tcPr>
            <w:tcW w:w="948" w:type="dxa"/>
            <w:vAlign w:val="center"/>
          </w:tcPr>
          <w:p w14:paraId="317664A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对不具有公开募捐资格的组织或者个人开展公开募捐、通过虚构事实等方式欺骗、诱导募捐对象实施捐赠等情形的处罚</w:t>
            </w:r>
          </w:p>
        </w:tc>
        <w:tc>
          <w:tcPr>
            <w:tcW w:w="435" w:type="dxa"/>
            <w:vAlign w:val="center"/>
          </w:tcPr>
          <w:p w14:paraId="275DD152">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455" w:type="dxa"/>
            <w:vAlign w:val="center"/>
          </w:tcPr>
          <w:p w14:paraId="3C8E5F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838" w:type="dxa"/>
            <w:gridSpan w:val="2"/>
            <w:vAlign w:val="center"/>
          </w:tcPr>
          <w:p w14:paraId="502B6C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【法律】《中华人民共和国慈善法》（ 2016年3月16日 中华人民共和国第十二届全国人民代表大会第四次会议通过，自2016年9月1日起施行）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一百零一条：开展募捐活动有下列情形之一的，由民政部门予以警告、责令停止募捐活动；对违法募集的财产，责令退还捐赠人；难以退还的，由民政部门予以收缴，转给其他慈善组织用于慈善目的；对有关组织或者个人处二万元以上二十万元以下罚款：</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（一）不具有公开募捐资格的组织或者个人开展公开募捐的；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（二）通过虚构事实等方式欺骗、诱导募捐对象实施捐赠的；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（三）向单位或者个人摊派或者变相摊派的；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（四）妨碍公共秩序、企业生产经营或者居民生活的。</w:t>
            </w:r>
          </w:p>
        </w:tc>
        <w:tc>
          <w:tcPr>
            <w:tcW w:w="383" w:type="dxa"/>
            <w:vAlign w:val="center"/>
          </w:tcPr>
          <w:p w14:paraId="0A0B33B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382" w:type="dxa"/>
            <w:vAlign w:val="center"/>
          </w:tcPr>
          <w:p w14:paraId="433A9BB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513" w:type="dxa"/>
            <w:vAlign w:val="center"/>
          </w:tcPr>
          <w:p w14:paraId="357D5A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945" w:type="dxa"/>
            <w:shd w:val="clear" w:color="auto" w:fill="auto"/>
            <w:vAlign w:val="center"/>
          </w:tcPr>
          <w:p w14:paraId="56F609F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对权限内不具有公开募捐资格的组织或者个人开展公开募捐、通过虚构事实等方式欺骗、诱导募捐对象实施捐赠等情形的处罚</w:t>
            </w:r>
          </w:p>
        </w:tc>
        <w:tc>
          <w:tcPr>
            <w:tcW w:w="1086" w:type="dxa"/>
            <w:shd w:val="clear" w:color="auto" w:fill="auto"/>
            <w:vAlign w:val="center"/>
          </w:tcPr>
          <w:p w14:paraId="55500B5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按照管理权限依法进行公开募捐资格审核和行政执法。</w:t>
            </w:r>
          </w:p>
        </w:tc>
        <w:tc>
          <w:tcPr>
            <w:tcW w:w="1086" w:type="dxa"/>
            <w:shd w:val="clear" w:color="auto" w:fill="auto"/>
            <w:vAlign w:val="center"/>
          </w:tcPr>
          <w:p w14:paraId="7E67913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2.依法依规实施本级行政处罚事项，做出的行政处罚决定应当予以公开。</w:t>
            </w:r>
          </w:p>
        </w:tc>
        <w:tc>
          <w:tcPr>
            <w:tcW w:w="1155" w:type="dxa"/>
            <w:shd w:val="clear" w:color="auto" w:fill="auto"/>
            <w:vAlign w:val="center"/>
          </w:tcPr>
          <w:p w14:paraId="0D4CFC5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p>
        </w:tc>
        <w:tc>
          <w:tcPr>
            <w:tcW w:w="1226" w:type="dxa"/>
            <w:shd w:val="clear" w:color="auto" w:fill="auto"/>
            <w:vAlign w:val="center"/>
          </w:tcPr>
          <w:p w14:paraId="54FDF1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3254" w:type="dxa"/>
            <w:shd w:val="clear" w:color="auto" w:fill="auto"/>
            <w:vAlign w:val="center"/>
          </w:tcPr>
          <w:p w14:paraId="1A5EC4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1、没有法律和事实依据对慈善组织实施行政处罚的；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2、违反法定程序对慈善组织进行处罚的；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3、擅自改变对慈善组织行政处罚种类、幅度的；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4、对应当予以制止和处罚的违法行为不予制止、处罚的；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5、违法处罚，造成不良社会影响或后果的；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6、违反“缴罚分离”规定，擅自收取罚款的；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7.将罚款、没收的违法所得或者财物截留、私分或者变相私分的；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8、符合听证条件、行政管理相对人要求听证，应予组织听证而不组织听证的；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9、在行政处罚过程中发生腐败行为的；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10、其他违反法律法规规章文件规定的行为。</w:t>
            </w:r>
          </w:p>
        </w:tc>
        <w:tc>
          <w:tcPr>
            <w:tcW w:w="1845" w:type="dxa"/>
            <w:vAlign w:val="center"/>
          </w:tcPr>
          <w:p w14:paraId="4844DC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63063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5" w:hRule="atLeast"/>
        </w:trPr>
        <w:tc>
          <w:tcPr>
            <w:tcW w:w="600" w:type="dxa"/>
            <w:shd w:val="clear" w:color="auto" w:fill="auto"/>
            <w:vAlign w:val="center"/>
          </w:tcPr>
          <w:p w14:paraId="6B5B1A7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13</w:t>
            </w:r>
          </w:p>
        </w:tc>
        <w:tc>
          <w:tcPr>
            <w:tcW w:w="948" w:type="dxa"/>
            <w:shd w:val="clear" w:color="auto" w:fill="auto"/>
            <w:vAlign w:val="center"/>
          </w:tcPr>
          <w:p w14:paraId="5145E3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对慈善组织弄虚作假骗取税收优惠的处罚</w:t>
            </w:r>
          </w:p>
        </w:tc>
        <w:tc>
          <w:tcPr>
            <w:tcW w:w="435" w:type="dxa"/>
            <w:shd w:val="clear" w:color="auto" w:fill="auto"/>
            <w:vAlign w:val="center"/>
          </w:tcPr>
          <w:p w14:paraId="5090A2DA">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kern w:val="2"/>
                <w:sz w:val="15"/>
                <w:szCs w:val="15"/>
                <w:vertAlign w:val="baseline"/>
                <w:lang w:val="en-US" w:eastAsia="zh-CN" w:bidi="ar-SA"/>
              </w:rPr>
            </w:pPr>
          </w:p>
        </w:tc>
        <w:tc>
          <w:tcPr>
            <w:tcW w:w="455" w:type="dxa"/>
            <w:shd w:val="clear" w:color="auto" w:fill="auto"/>
            <w:vAlign w:val="center"/>
          </w:tcPr>
          <w:p w14:paraId="08F29AE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行政处罚</w:t>
            </w:r>
          </w:p>
        </w:tc>
        <w:tc>
          <w:tcPr>
            <w:tcW w:w="3838" w:type="dxa"/>
            <w:gridSpan w:val="2"/>
            <w:shd w:val="clear" w:color="auto" w:fill="auto"/>
            <w:vAlign w:val="center"/>
          </w:tcPr>
          <w:p w14:paraId="36CF570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【法律】《中华人民共和国慈善法》（ 2016年3月16日 中华人民共和国第十二届全国人民代表大会第四次会议通过，自2016年9月1日起施行）</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第一百零三条：慈善组织弄虚作假骗取税收优惠的，由税务机关依法查处；情节严重的，由民政部门吊销登记证书并予以公告。</w:t>
            </w:r>
          </w:p>
        </w:tc>
        <w:tc>
          <w:tcPr>
            <w:tcW w:w="383" w:type="dxa"/>
            <w:shd w:val="clear" w:color="auto" w:fill="auto"/>
            <w:vAlign w:val="center"/>
          </w:tcPr>
          <w:p w14:paraId="62CE08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区民政局</w:t>
            </w:r>
          </w:p>
        </w:tc>
        <w:tc>
          <w:tcPr>
            <w:tcW w:w="382" w:type="dxa"/>
            <w:shd w:val="clear" w:color="auto" w:fill="auto"/>
            <w:vAlign w:val="center"/>
          </w:tcPr>
          <w:p w14:paraId="7A7F33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社会组织办公室</w:t>
            </w:r>
          </w:p>
        </w:tc>
        <w:tc>
          <w:tcPr>
            <w:tcW w:w="513" w:type="dxa"/>
            <w:shd w:val="clear" w:color="auto" w:fill="auto"/>
            <w:vAlign w:val="center"/>
          </w:tcPr>
          <w:p w14:paraId="605E9AE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区级</w:t>
            </w:r>
          </w:p>
        </w:tc>
        <w:tc>
          <w:tcPr>
            <w:tcW w:w="945" w:type="dxa"/>
            <w:shd w:val="clear" w:color="auto" w:fill="auto"/>
            <w:vAlign w:val="center"/>
          </w:tcPr>
          <w:p w14:paraId="0D05476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对权限内慈善组织弄虚作假骗取税收优惠的处罚</w:t>
            </w:r>
          </w:p>
        </w:tc>
        <w:tc>
          <w:tcPr>
            <w:tcW w:w="1086" w:type="dxa"/>
            <w:shd w:val="clear" w:color="auto" w:fill="auto"/>
            <w:vAlign w:val="center"/>
          </w:tcPr>
          <w:p w14:paraId="1B14F38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按照管理权限依法进行慈善组织认定管理和行政执法监督</w:t>
            </w:r>
          </w:p>
        </w:tc>
        <w:tc>
          <w:tcPr>
            <w:tcW w:w="1086" w:type="dxa"/>
            <w:shd w:val="clear" w:color="auto" w:fill="auto"/>
            <w:vAlign w:val="center"/>
          </w:tcPr>
          <w:p w14:paraId="5035DCC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直接实施责任：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2.依法依规实施本级行政处罚事项，做出的行政处罚决定应当予以公开。</w:t>
            </w:r>
          </w:p>
        </w:tc>
        <w:tc>
          <w:tcPr>
            <w:tcW w:w="1155" w:type="dxa"/>
            <w:shd w:val="clear" w:color="auto" w:fill="auto"/>
            <w:vAlign w:val="center"/>
          </w:tcPr>
          <w:p w14:paraId="6487F9C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第五章、第六章、第七章。</w:t>
            </w:r>
          </w:p>
        </w:tc>
        <w:tc>
          <w:tcPr>
            <w:tcW w:w="1226" w:type="dxa"/>
            <w:shd w:val="clear" w:color="auto" w:fill="auto"/>
            <w:vAlign w:val="center"/>
          </w:tcPr>
          <w:p w14:paraId="56B7740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1.具体承办人；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2.内设机构负责人；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3.单位法定代表人或分管领导。</w:t>
            </w:r>
          </w:p>
        </w:tc>
        <w:tc>
          <w:tcPr>
            <w:tcW w:w="3254" w:type="dxa"/>
            <w:shd w:val="clear" w:color="auto" w:fill="auto"/>
            <w:vAlign w:val="center"/>
          </w:tcPr>
          <w:p w14:paraId="2131CC8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1、没有法律和事实依据对慈善组织实施行政处罚的；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2、违反法定程序对慈善组织进行处罚的；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3、擅自改变对慈善组织行政处罚种类、幅度的；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4、对应当予以制止和处罚的违法行为不予制止、处罚的；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5、违法处罚，造成不良社会影响或后果的；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6、违反“缴罚分离”规定，擅自收取罚款的； </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7.将罚款、没收的违法所得或者财物截留、私分或者变相私分的；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8、符合听证条件、行政管理相对人要求听证，应予组织听证而不组织听证的；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9、在行政处罚过程中发生腐败行为的；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10、其他违反法律法规规章文件规定的行为。</w:t>
            </w:r>
          </w:p>
        </w:tc>
        <w:tc>
          <w:tcPr>
            <w:tcW w:w="1845" w:type="dxa"/>
            <w:shd w:val="clear" w:color="auto" w:fill="auto"/>
            <w:vAlign w:val="center"/>
          </w:tcPr>
          <w:p w14:paraId="550570A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lang w:val="en-US" w:eastAsia="zh-CN" w:bidi="ar-SA"/>
              </w:rPr>
            </w:pPr>
          </w:p>
        </w:tc>
      </w:tr>
      <w:tr w14:paraId="7C5E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trPr>
        <w:tc>
          <w:tcPr>
            <w:tcW w:w="600" w:type="dxa"/>
            <w:shd w:val="clear" w:color="auto" w:fill="auto"/>
            <w:vAlign w:val="center"/>
          </w:tcPr>
          <w:p w14:paraId="5881668A">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sz w:val="15"/>
                <w:szCs w:val="15"/>
                <w:vertAlign w:val="baseline"/>
              </w:rPr>
              <w:t>序号</w:t>
            </w:r>
          </w:p>
        </w:tc>
        <w:tc>
          <w:tcPr>
            <w:tcW w:w="948" w:type="dxa"/>
            <w:shd w:val="clear" w:color="auto" w:fill="auto"/>
            <w:vAlign w:val="center"/>
          </w:tcPr>
          <w:p w14:paraId="506B9EAC">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sz w:val="15"/>
                <w:szCs w:val="15"/>
                <w:vertAlign w:val="baseline"/>
              </w:rPr>
              <w:t>事项名称</w:t>
            </w:r>
          </w:p>
        </w:tc>
        <w:tc>
          <w:tcPr>
            <w:tcW w:w="435" w:type="dxa"/>
            <w:shd w:val="clear" w:color="auto" w:fill="auto"/>
            <w:vAlign w:val="center"/>
          </w:tcPr>
          <w:p w14:paraId="27D6F3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子项名称</w:t>
            </w:r>
          </w:p>
        </w:tc>
        <w:tc>
          <w:tcPr>
            <w:tcW w:w="455" w:type="dxa"/>
            <w:shd w:val="clear" w:color="auto" w:fill="auto"/>
            <w:vAlign w:val="center"/>
          </w:tcPr>
          <w:p w14:paraId="1ABA8D2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权力类型</w:t>
            </w:r>
          </w:p>
        </w:tc>
        <w:tc>
          <w:tcPr>
            <w:tcW w:w="3838" w:type="dxa"/>
            <w:gridSpan w:val="2"/>
            <w:shd w:val="clear" w:color="auto" w:fill="auto"/>
            <w:vAlign w:val="center"/>
          </w:tcPr>
          <w:p w14:paraId="5DEF2B8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实施依据</w:t>
            </w:r>
          </w:p>
        </w:tc>
        <w:tc>
          <w:tcPr>
            <w:tcW w:w="383" w:type="dxa"/>
            <w:shd w:val="clear" w:color="auto" w:fill="auto"/>
            <w:vAlign w:val="center"/>
          </w:tcPr>
          <w:p w14:paraId="27A25A7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行使主体</w:t>
            </w:r>
          </w:p>
        </w:tc>
        <w:tc>
          <w:tcPr>
            <w:tcW w:w="382" w:type="dxa"/>
            <w:shd w:val="clear" w:color="auto" w:fill="auto"/>
            <w:vAlign w:val="center"/>
          </w:tcPr>
          <w:p w14:paraId="350931A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承办机构</w:t>
            </w:r>
          </w:p>
        </w:tc>
        <w:tc>
          <w:tcPr>
            <w:tcW w:w="1458" w:type="dxa"/>
            <w:gridSpan w:val="2"/>
            <w:shd w:val="clear" w:color="auto" w:fill="auto"/>
            <w:vAlign w:val="center"/>
          </w:tcPr>
          <w:p w14:paraId="1B44891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5"/>
                <w:szCs w:val="15"/>
                <w:u w:val="none"/>
                <w:lang w:val="en-US" w:eastAsia="zh-CN" w:bidi="ar"/>
              </w:rPr>
              <w:t>实施层级及权限</w:t>
            </w:r>
          </w:p>
        </w:tc>
        <w:tc>
          <w:tcPr>
            <w:tcW w:w="1086" w:type="dxa"/>
            <w:shd w:val="clear" w:color="auto" w:fill="auto"/>
            <w:vAlign w:val="center"/>
          </w:tcPr>
          <w:p w14:paraId="0A501D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部门职责</w:t>
            </w:r>
          </w:p>
        </w:tc>
        <w:tc>
          <w:tcPr>
            <w:tcW w:w="1086" w:type="dxa"/>
            <w:shd w:val="clear" w:color="auto" w:fill="auto"/>
            <w:vAlign w:val="center"/>
          </w:tcPr>
          <w:p w14:paraId="59A8DFD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责任事项内容</w:t>
            </w:r>
          </w:p>
        </w:tc>
        <w:tc>
          <w:tcPr>
            <w:tcW w:w="1155" w:type="dxa"/>
            <w:shd w:val="clear" w:color="auto" w:fill="auto"/>
            <w:vAlign w:val="center"/>
          </w:tcPr>
          <w:p w14:paraId="5C6A295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责任事项依据</w:t>
            </w:r>
          </w:p>
        </w:tc>
        <w:tc>
          <w:tcPr>
            <w:tcW w:w="1226" w:type="dxa"/>
            <w:shd w:val="clear" w:color="auto" w:fill="auto"/>
            <w:vAlign w:val="center"/>
          </w:tcPr>
          <w:p w14:paraId="3A295B5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追责对象范围</w:t>
            </w:r>
          </w:p>
        </w:tc>
        <w:tc>
          <w:tcPr>
            <w:tcW w:w="3254" w:type="dxa"/>
            <w:shd w:val="clear" w:color="auto" w:fill="auto"/>
            <w:vAlign w:val="center"/>
          </w:tcPr>
          <w:p w14:paraId="50AC12E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追责情形</w:t>
            </w:r>
          </w:p>
        </w:tc>
        <w:tc>
          <w:tcPr>
            <w:tcW w:w="1845" w:type="dxa"/>
            <w:shd w:val="clear" w:color="auto" w:fill="auto"/>
            <w:vAlign w:val="center"/>
          </w:tcPr>
          <w:p w14:paraId="68600E5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备注</w:t>
            </w:r>
          </w:p>
        </w:tc>
      </w:tr>
      <w:tr w14:paraId="4104C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0" w:hRule="atLeast"/>
        </w:trPr>
        <w:tc>
          <w:tcPr>
            <w:tcW w:w="600" w:type="dxa"/>
            <w:shd w:val="clear" w:color="auto" w:fill="auto"/>
            <w:vAlign w:val="center"/>
          </w:tcPr>
          <w:p w14:paraId="61DC1C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14</w:t>
            </w:r>
          </w:p>
        </w:tc>
        <w:tc>
          <w:tcPr>
            <w:tcW w:w="948" w:type="dxa"/>
            <w:shd w:val="clear" w:color="auto" w:fill="auto"/>
            <w:vAlign w:val="center"/>
          </w:tcPr>
          <w:p w14:paraId="52950EE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对慈善组织从事、资助危害国家安全或者社会公共利益活动的处罚</w:t>
            </w:r>
          </w:p>
        </w:tc>
        <w:tc>
          <w:tcPr>
            <w:tcW w:w="435" w:type="dxa"/>
            <w:shd w:val="clear" w:color="auto" w:fill="auto"/>
            <w:vAlign w:val="center"/>
          </w:tcPr>
          <w:p w14:paraId="111698C2">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kern w:val="2"/>
                <w:sz w:val="15"/>
                <w:szCs w:val="15"/>
                <w:vertAlign w:val="baseline"/>
                <w:lang w:val="en-US" w:eastAsia="zh-CN" w:bidi="ar-SA"/>
              </w:rPr>
            </w:pPr>
          </w:p>
        </w:tc>
        <w:tc>
          <w:tcPr>
            <w:tcW w:w="455" w:type="dxa"/>
            <w:shd w:val="clear" w:color="auto" w:fill="auto"/>
            <w:vAlign w:val="center"/>
          </w:tcPr>
          <w:p w14:paraId="29B26CF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行政处罚</w:t>
            </w:r>
          </w:p>
        </w:tc>
        <w:tc>
          <w:tcPr>
            <w:tcW w:w="3838" w:type="dxa"/>
            <w:gridSpan w:val="2"/>
            <w:shd w:val="clear" w:color="auto" w:fill="auto"/>
            <w:vAlign w:val="center"/>
          </w:tcPr>
          <w:p w14:paraId="668E2B6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【法律】《中华人民共和国慈善法》（ 2016年3月16日 中华人民共和国第十二届全国人民代表大会第四次会议通过，自2016年9月1日起施行）</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第一百零四条：慈善组织从事、资助危害国家安全或者社会公共利益活动的，由有关机关依法查处，由民政部门吊销登记证书并予以公告。</w:t>
            </w:r>
          </w:p>
        </w:tc>
        <w:tc>
          <w:tcPr>
            <w:tcW w:w="383" w:type="dxa"/>
            <w:shd w:val="clear" w:color="auto" w:fill="auto"/>
            <w:vAlign w:val="center"/>
          </w:tcPr>
          <w:p w14:paraId="14C21A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区民政局</w:t>
            </w:r>
          </w:p>
        </w:tc>
        <w:tc>
          <w:tcPr>
            <w:tcW w:w="382" w:type="dxa"/>
            <w:shd w:val="clear" w:color="auto" w:fill="auto"/>
            <w:vAlign w:val="center"/>
          </w:tcPr>
          <w:p w14:paraId="467B1F7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社会组织办公室</w:t>
            </w:r>
          </w:p>
        </w:tc>
        <w:tc>
          <w:tcPr>
            <w:tcW w:w="513" w:type="dxa"/>
            <w:shd w:val="clear" w:color="auto" w:fill="auto"/>
            <w:vAlign w:val="center"/>
          </w:tcPr>
          <w:p w14:paraId="3F4C5BA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区级</w:t>
            </w:r>
          </w:p>
        </w:tc>
        <w:tc>
          <w:tcPr>
            <w:tcW w:w="945" w:type="dxa"/>
            <w:shd w:val="clear" w:color="auto" w:fill="auto"/>
            <w:vAlign w:val="center"/>
          </w:tcPr>
          <w:p w14:paraId="4A695A7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对权限内慈善组织从事、资助危害国家安全或者社会公共利益活动的处罚</w:t>
            </w:r>
          </w:p>
        </w:tc>
        <w:tc>
          <w:tcPr>
            <w:tcW w:w="1086" w:type="dxa"/>
            <w:shd w:val="clear" w:color="auto" w:fill="auto"/>
            <w:vAlign w:val="center"/>
          </w:tcPr>
          <w:p w14:paraId="6080B1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按照管理权限依法进行慈善组织认定管理和行政执法监督</w:t>
            </w:r>
          </w:p>
        </w:tc>
        <w:tc>
          <w:tcPr>
            <w:tcW w:w="1086" w:type="dxa"/>
            <w:shd w:val="clear" w:color="auto" w:fill="auto"/>
            <w:vAlign w:val="center"/>
          </w:tcPr>
          <w:p w14:paraId="0A6E310F">
            <w:pPr>
              <w:keepNext w:val="0"/>
              <w:keepLines w:val="0"/>
              <w:pageBreakBefore w:val="0"/>
              <w:widowControl/>
              <w:suppressLineNumbers w:val="0"/>
              <w:kinsoku/>
              <w:wordWrap/>
              <w:overflowPunct/>
              <w:topLinePunct w:val="0"/>
              <w:autoSpaceDE/>
              <w:autoSpaceDN/>
              <w:bidi w:val="0"/>
              <w:adjustRightInd/>
              <w:snapToGrid/>
              <w:spacing w:after="360" w:afterAutospacing="0"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直接实施责任：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2.依法依规实施本级行政处罚事项，做出的行政处罚决定应当予以公开。</w:t>
            </w:r>
          </w:p>
        </w:tc>
        <w:tc>
          <w:tcPr>
            <w:tcW w:w="1155" w:type="dxa"/>
            <w:shd w:val="clear" w:color="auto" w:fill="auto"/>
            <w:vAlign w:val="center"/>
          </w:tcPr>
          <w:p w14:paraId="4E1475C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第五章、第六章、第七章。</w:t>
            </w:r>
          </w:p>
        </w:tc>
        <w:tc>
          <w:tcPr>
            <w:tcW w:w="1226" w:type="dxa"/>
            <w:shd w:val="clear" w:color="auto" w:fill="auto"/>
            <w:vAlign w:val="center"/>
          </w:tcPr>
          <w:p w14:paraId="4530861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1.具体承办人；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2.内设机构负责人；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3.单位法定代表人或分管领导。</w:t>
            </w:r>
          </w:p>
        </w:tc>
        <w:tc>
          <w:tcPr>
            <w:tcW w:w="3254" w:type="dxa"/>
            <w:shd w:val="clear" w:color="auto" w:fill="auto"/>
            <w:vAlign w:val="center"/>
          </w:tcPr>
          <w:p w14:paraId="0F92E06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1、没有法律和事实依据对慈善组织实施行政处罚的；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2、违反法定程序对慈善组织进行处罚的；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3、擅自改变对慈善组织行政处罚种类、幅度的；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4、对应当予以制止和处罚的违法行为不予制止、处罚的；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5、违法处罚，造成不良社会影响或后果的；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6、违反“缴罚分离”规定，擅自收取罚款的； </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7.将罚款、没收的违法所得或者财物截留、私分或者变相私分的；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8、符合听证条件、行政管理相对人要求听证，应予组织听证而不组织听证的；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9、在行政处罚过程中发生腐败行为的；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10、其他违反法律法规规章文件规定的行为。</w:t>
            </w:r>
          </w:p>
        </w:tc>
        <w:tc>
          <w:tcPr>
            <w:tcW w:w="1845" w:type="dxa"/>
            <w:shd w:val="clear" w:color="auto" w:fill="auto"/>
            <w:vAlign w:val="center"/>
          </w:tcPr>
          <w:p w14:paraId="6340DE8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lang w:val="en-US" w:eastAsia="zh-CN" w:bidi="ar-SA"/>
              </w:rPr>
            </w:pPr>
          </w:p>
        </w:tc>
      </w:tr>
      <w:tr w14:paraId="0782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trPr>
        <w:tc>
          <w:tcPr>
            <w:tcW w:w="600" w:type="dxa"/>
            <w:shd w:val="clear" w:color="auto" w:fill="auto"/>
            <w:vAlign w:val="center"/>
          </w:tcPr>
          <w:p w14:paraId="13CA67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15</w:t>
            </w:r>
          </w:p>
        </w:tc>
        <w:tc>
          <w:tcPr>
            <w:tcW w:w="948" w:type="dxa"/>
            <w:shd w:val="clear" w:color="auto" w:fill="auto"/>
            <w:vAlign w:val="center"/>
          </w:tcPr>
          <w:p w14:paraId="2F19C50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对慈善组织未按照慈善宗旨开展活动、私分、挪用、截留或者侵占慈善财产等情形的处罚</w:t>
            </w:r>
          </w:p>
        </w:tc>
        <w:tc>
          <w:tcPr>
            <w:tcW w:w="435" w:type="dxa"/>
            <w:shd w:val="clear" w:color="auto" w:fill="auto"/>
            <w:vAlign w:val="center"/>
          </w:tcPr>
          <w:p w14:paraId="718BA610">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kern w:val="2"/>
                <w:sz w:val="15"/>
                <w:szCs w:val="15"/>
                <w:vertAlign w:val="baseline"/>
                <w:lang w:val="en-US" w:eastAsia="zh-CN" w:bidi="ar-SA"/>
              </w:rPr>
            </w:pPr>
          </w:p>
        </w:tc>
        <w:tc>
          <w:tcPr>
            <w:tcW w:w="455" w:type="dxa"/>
            <w:shd w:val="clear" w:color="auto" w:fill="auto"/>
            <w:vAlign w:val="center"/>
          </w:tcPr>
          <w:p w14:paraId="0BAD91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行政处罚</w:t>
            </w:r>
          </w:p>
        </w:tc>
        <w:tc>
          <w:tcPr>
            <w:tcW w:w="3838" w:type="dxa"/>
            <w:gridSpan w:val="2"/>
            <w:shd w:val="clear" w:color="auto" w:fill="auto"/>
            <w:vAlign w:val="center"/>
          </w:tcPr>
          <w:p w14:paraId="41650AD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【法律】《中华人民共和国慈善法》（ 2016年3月16日 中华人民共和国第十二届全国人民代表大会第四次会议通过，自2016年9月1日起施行）</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第九十八条：慈善组织有下列情形之一的，由民政部门责令限期改正；逾期不改正的，吊销登记证书并予以公告：</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（一）未按照慈善宗旨开展活动的；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（二）私分、挪用、截留或者侵占慈善财产的；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（三）接受附加违反法律法规或者违背社会公德条件的捐赠，或者对受益人附加违反法律法规或者违背社会公德的条件的。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第一百条：慈善组织有本法第九十八条、第九十九条规定的情形，有违法所得的，由民政部门予以没收；对直接负责的主管人员和其他直接责任人员处二万元以上二十万元以下罚款。</w:t>
            </w:r>
          </w:p>
        </w:tc>
        <w:tc>
          <w:tcPr>
            <w:tcW w:w="383" w:type="dxa"/>
            <w:shd w:val="clear" w:color="auto" w:fill="auto"/>
            <w:vAlign w:val="center"/>
          </w:tcPr>
          <w:p w14:paraId="1D77AE7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区民政局</w:t>
            </w:r>
          </w:p>
        </w:tc>
        <w:tc>
          <w:tcPr>
            <w:tcW w:w="382" w:type="dxa"/>
            <w:shd w:val="clear" w:color="auto" w:fill="auto"/>
            <w:vAlign w:val="center"/>
          </w:tcPr>
          <w:p w14:paraId="6373EAC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社会组织办公室</w:t>
            </w:r>
          </w:p>
        </w:tc>
        <w:tc>
          <w:tcPr>
            <w:tcW w:w="513" w:type="dxa"/>
            <w:shd w:val="clear" w:color="auto" w:fill="auto"/>
            <w:vAlign w:val="center"/>
          </w:tcPr>
          <w:p w14:paraId="3CFDD65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区级</w:t>
            </w:r>
          </w:p>
        </w:tc>
        <w:tc>
          <w:tcPr>
            <w:tcW w:w="945" w:type="dxa"/>
            <w:shd w:val="clear" w:color="auto" w:fill="auto"/>
            <w:vAlign w:val="center"/>
          </w:tcPr>
          <w:p w14:paraId="4697B13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对行政区域内慈善组织未按照慈善宗旨开展活动、私分、挪用、截留或者侵占慈善财产等情形的处罚</w:t>
            </w:r>
          </w:p>
        </w:tc>
        <w:tc>
          <w:tcPr>
            <w:tcW w:w="1086" w:type="dxa"/>
            <w:shd w:val="clear" w:color="auto" w:fill="auto"/>
            <w:vAlign w:val="center"/>
          </w:tcPr>
          <w:p w14:paraId="167790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按照管理权限依法进行慈善组织认定管理和行政执法监督</w:t>
            </w:r>
          </w:p>
        </w:tc>
        <w:tc>
          <w:tcPr>
            <w:tcW w:w="1086" w:type="dxa"/>
            <w:shd w:val="clear" w:color="auto" w:fill="auto"/>
            <w:vAlign w:val="center"/>
          </w:tcPr>
          <w:p w14:paraId="3EBCA81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3"/>
                <w:szCs w:val="13"/>
                <w:u w:val="none"/>
                <w:lang w:val="en-US" w:eastAsia="zh-CN" w:bidi="ar"/>
              </w:rPr>
              <w:t>直接实施责任：</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2.依法依规实施本级行政处罚事项，做出的行政处罚决定应当予以公开。</w:t>
            </w:r>
          </w:p>
        </w:tc>
        <w:tc>
          <w:tcPr>
            <w:tcW w:w="1155" w:type="dxa"/>
            <w:shd w:val="clear" w:color="auto" w:fill="auto"/>
            <w:vAlign w:val="center"/>
          </w:tcPr>
          <w:p w14:paraId="63C6831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3"/>
                <w:szCs w:val="13"/>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 xml:space="preserve">    第五章、第六章、第七章</w:t>
            </w:r>
            <w:r>
              <w:rPr>
                <w:rFonts w:hint="eastAsia" w:ascii="方正仿宋_GBK" w:hAnsi="方正仿宋_GBK" w:eastAsia="方正仿宋_GBK" w:cs="方正仿宋_GBK"/>
                <w:i w:val="0"/>
                <w:iCs w:val="0"/>
                <w:color w:val="000000"/>
                <w:kern w:val="0"/>
                <w:sz w:val="15"/>
                <w:szCs w:val="15"/>
                <w:u w:val="none"/>
                <w:lang w:val="en-US" w:eastAsia="zh-CN" w:bidi="ar"/>
              </w:rPr>
              <w:t>。</w:t>
            </w:r>
          </w:p>
        </w:tc>
        <w:tc>
          <w:tcPr>
            <w:tcW w:w="1226" w:type="dxa"/>
            <w:shd w:val="clear" w:color="auto" w:fill="auto"/>
            <w:vAlign w:val="center"/>
          </w:tcPr>
          <w:p w14:paraId="0925A2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1.具体承办人；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2.内设机构负责人；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3.单位法定代表人或分管领导。</w:t>
            </w:r>
          </w:p>
        </w:tc>
        <w:tc>
          <w:tcPr>
            <w:tcW w:w="3254" w:type="dxa"/>
            <w:shd w:val="clear" w:color="auto" w:fill="auto"/>
            <w:vAlign w:val="center"/>
          </w:tcPr>
          <w:p w14:paraId="007BD5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kern w:val="2"/>
                <w:sz w:val="13"/>
                <w:szCs w:val="13"/>
                <w:lang w:val="en-US" w:eastAsia="zh-CN" w:bidi="ar-SA"/>
              </w:rPr>
            </w:pPr>
            <w:r>
              <w:rPr>
                <w:rFonts w:hint="eastAsia" w:ascii="方正仿宋_GBK" w:hAnsi="方正仿宋_GBK" w:eastAsia="方正仿宋_GBK" w:cs="方正仿宋_GBK"/>
                <w:i w:val="0"/>
                <w:iCs w:val="0"/>
                <w:color w:val="000000"/>
                <w:kern w:val="0"/>
                <w:sz w:val="13"/>
                <w:szCs w:val="13"/>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1、没有法律和事实依据对慈善组织实施行政处罚的；</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2、违反法定程序对慈善组织进行处罚的；</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3、擅自改变对慈善组织行政处罚种类、幅度的；</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4、对应当予以制止和处罚的违法行为不予制止、处罚的；</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5、违法处罚，造成不良社会影响或后果的；</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 xml:space="preserve">6、违反“缴罚分离”规定，擅自收取罚款的； </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7.将罚款、没收的违法所得或者财物截留、私分或者变相私分的；</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8、符合听证条件、行政管理相对人要求听证，应予组织听证而不组织听证的；</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9、在行政处罚过程中发生腐败行为的；</w:t>
            </w:r>
            <w:r>
              <w:rPr>
                <w:rFonts w:hint="eastAsia" w:ascii="方正仿宋_GBK" w:hAnsi="方正仿宋_GBK" w:eastAsia="方正仿宋_GBK" w:cs="方正仿宋_GBK"/>
                <w:i w:val="0"/>
                <w:iCs w:val="0"/>
                <w:color w:val="000000"/>
                <w:kern w:val="0"/>
                <w:sz w:val="13"/>
                <w:szCs w:val="13"/>
                <w:u w:val="none"/>
                <w:lang w:val="en-US" w:eastAsia="zh-CN" w:bidi="ar"/>
              </w:rPr>
              <w:br w:type="textWrapping"/>
            </w:r>
            <w:r>
              <w:rPr>
                <w:rFonts w:hint="eastAsia" w:ascii="方正仿宋_GBK" w:hAnsi="方正仿宋_GBK" w:eastAsia="方正仿宋_GBK" w:cs="方正仿宋_GBK"/>
                <w:i w:val="0"/>
                <w:iCs w:val="0"/>
                <w:color w:val="000000"/>
                <w:kern w:val="0"/>
                <w:sz w:val="13"/>
                <w:szCs w:val="13"/>
                <w:u w:val="none"/>
                <w:lang w:val="en-US" w:eastAsia="zh-CN" w:bidi="ar"/>
              </w:rPr>
              <w:t>10、其他违反法律法规规章文件规定的行为。</w:t>
            </w:r>
          </w:p>
        </w:tc>
        <w:tc>
          <w:tcPr>
            <w:tcW w:w="1845" w:type="dxa"/>
            <w:shd w:val="clear" w:color="auto" w:fill="auto"/>
            <w:vAlign w:val="center"/>
          </w:tcPr>
          <w:p w14:paraId="74058BB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kern w:val="2"/>
                <w:sz w:val="13"/>
                <w:szCs w:val="13"/>
                <w:lang w:val="en-US" w:eastAsia="zh-CN" w:bidi="ar-SA"/>
              </w:rPr>
            </w:pPr>
          </w:p>
        </w:tc>
      </w:tr>
      <w:tr w14:paraId="5CE2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600" w:type="dxa"/>
            <w:shd w:val="clear" w:color="auto" w:fill="auto"/>
            <w:vAlign w:val="center"/>
          </w:tcPr>
          <w:p w14:paraId="2367894C">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sz w:val="15"/>
                <w:szCs w:val="15"/>
                <w:vertAlign w:val="baseline"/>
              </w:rPr>
              <w:t>序号</w:t>
            </w:r>
          </w:p>
        </w:tc>
        <w:tc>
          <w:tcPr>
            <w:tcW w:w="948" w:type="dxa"/>
            <w:shd w:val="clear" w:color="auto" w:fill="auto"/>
            <w:vAlign w:val="center"/>
          </w:tcPr>
          <w:p w14:paraId="2D103CD1">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sz w:val="15"/>
                <w:szCs w:val="15"/>
                <w:vertAlign w:val="baseline"/>
              </w:rPr>
              <w:t>事项名称</w:t>
            </w:r>
          </w:p>
        </w:tc>
        <w:tc>
          <w:tcPr>
            <w:tcW w:w="435" w:type="dxa"/>
            <w:shd w:val="clear" w:color="auto" w:fill="auto"/>
            <w:vAlign w:val="center"/>
          </w:tcPr>
          <w:p w14:paraId="607553F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子项名称</w:t>
            </w:r>
          </w:p>
        </w:tc>
        <w:tc>
          <w:tcPr>
            <w:tcW w:w="2002" w:type="dxa"/>
            <w:gridSpan w:val="2"/>
            <w:shd w:val="clear" w:color="auto" w:fill="auto"/>
            <w:vAlign w:val="center"/>
          </w:tcPr>
          <w:p w14:paraId="28E150F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权力类型</w:t>
            </w:r>
          </w:p>
        </w:tc>
        <w:tc>
          <w:tcPr>
            <w:tcW w:w="2291" w:type="dxa"/>
            <w:shd w:val="clear" w:color="auto" w:fill="auto"/>
            <w:vAlign w:val="center"/>
          </w:tcPr>
          <w:p w14:paraId="1CADA14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实施依据</w:t>
            </w:r>
          </w:p>
        </w:tc>
        <w:tc>
          <w:tcPr>
            <w:tcW w:w="383" w:type="dxa"/>
            <w:shd w:val="clear" w:color="auto" w:fill="auto"/>
            <w:vAlign w:val="center"/>
          </w:tcPr>
          <w:p w14:paraId="792B095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行使主体</w:t>
            </w:r>
          </w:p>
        </w:tc>
        <w:tc>
          <w:tcPr>
            <w:tcW w:w="382" w:type="dxa"/>
            <w:shd w:val="clear" w:color="auto" w:fill="auto"/>
            <w:vAlign w:val="center"/>
          </w:tcPr>
          <w:p w14:paraId="36F2EBE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承办机构</w:t>
            </w:r>
          </w:p>
        </w:tc>
        <w:tc>
          <w:tcPr>
            <w:tcW w:w="1458" w:type="dxa"/>
            <w:gridSpan w:val="2"/>
            <w:shd w:val="clear" w:color="auto" w:fill="auto"/>
            <w:vAlign w:val="center"/>
          </w:tcPr>
          <w:p w14:paraId="212EE6B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5"/>
                <w:szCs w:val="15"/>
                <w:u w:val="none"/>
                <w:lang w:val="en-US" w:eastAsia="zh-CN" w:bidi="ar"/>
              </w:rPr>
              <w:t>实施层级及权限</w:t>
            </w:r>
          </w:p>
        </w:tc>
        <w:tc>
          <w:tcPr>
            <w:tcW w:w="1086" w:type="dxa"/>
            <w:shd w:val="clear" w:color="auto" w:fill="auto"/>
            <w:vAlign w:val="center"/>
          </w:tcPr>
          <w:p w14:paraId="14B7305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部门职责</w:t>
            </w:r>
          </w:p>
        </w:tc>
        <w:tc>
          <w:tcPr>
            <w:tcW w:w="1086" w:type="dxa"/>
            <w:shd w:val="clear" w:color="auto" w:fill="auto"/>
            <w:vAlign w:val="center"/>
          </w:tcPr>
          <w:p w14:paraId="0BDC92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责任事项内容</w:t>
            </w:r>
          </w:p>
        </w:tc>
        <w:tc>
          <w:tcPr>
            <w:tcW w:w="1155" w:type="dxa"/>
            <w:shd w:val="clear" w:color="auto" w:fill="auto"/>
            <w:vAlign w:val="center"/>
          </w:tcPr>
          <w:p w14:paraId="563AAFA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责任事项依据</w:t>
            </w:r>
          </w:p>
        </w:tc>
        <w:tc>
          <w:tcPr>
            <w:tcW w:w="1226" w:type="dxa"/>
            <w:shd w:val="clear" w:color="auto" w:fill="auto"/>
            <w:vAlign w:val="center"/>
          </w:tcPr>
          <w:p w14:paraId="6AD2B70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追责对象范围</w:t>
            </w:r>
          </w:p>
        </w:tc>
        <w:tc>
          <w:tcPr>
            <w:tcW w:w="3254" w:type="dxa"/>
            <w:shd w:val="clear" w:color="auto" w:fill="auto"/>
            <w:vAlign w:val="center"/>
          </w:tcPr>
          <w:p w14:paraId="3A50793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追责情形</w:t>
            </w:r>
          </w:p>
        </w:tc>
        <w:tc>
          <w:tcPr>
            <w:tcW w:w="1845" w:type="dxa"/>
            <w:shd w:val="clear" w:color="auto" w:fill="auto"/>
            <w:vAlign w:val="center"/>
          </w:tcPr>
          <w:p w14:paraId="6D497A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3"/>
                <w:szCs w:val="13"/>
                <w:u w:val="none"/>
                <w:lang w:val="en-US" w:eastAsia="zh-CN" w:bidi="ar"/>
              </w:rPr>
            </w:pPr>
            <w:r>
              <w:rPr>
                <w:rFonts w:hint="eastAsia" w:ascii="方正仿宋_GBK" w:hAnsi="方正仿宋_GBK" w:eastAsia="方正仿宋_GBK" w:cs="方正仿宋_GBK"/>
                <w:i w:val="0"/>
                <w:iCs w:val="0"/>
                <w:color w:val="000000"/>
                <w:kern w:val="0"/>
                <w:sz w:val="15"/>
                <w:szCs w:val="15"/>
                <w:u w:val="none"/>
                <w:lang w:val="en-US" w:eastAsia="zh-CN" w:bidi="ar"/>
              </w:rPr>
              <w:t>备注</w:t>
            </w:r>
          </w:p>
        </w:tc>
      </w:tr>
      <w:tr w14:paraId="31E5E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1" w:hRule="atLeast"/>
        </w:trPr>
        <w:tc>
          <w:tcPr>
            <w:tcW w:w="600" w:type="dxa"/>
            <w:shd w:val="clear" w:color="auto" w:fill="auto"/>
            <w:vAlign w:val="center"/>
          </w:tcPr>
          <w:p w14:paraId="5ADE039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16</w:t>
            </w:r>
          </w:p>
        </w:tc>
        <w:tc>
          <w:tcPr>
            <w:tcW w:w="948" w:type="dxa"/>
            <w:shd w:val="clear" w:color="auto" w:fill="auto"/>
            <w:vAlign w:val="center"/>
          </w:tcPr>
          <w:p w14:paraId="371D9F6D">
            <w:pPr>
              <w:keepNext w:val="0"/>
              <w:keepLines w:val="0"/>
              <w:pageBreakBefore w:val="0"/>
              <w:kinsoku/>
              <w:wordWrap/>
              <w:overflowPunct/>
              <w:topLinePunct w:val="0"/>
              <w:autoSpaceDE/>
              <w:autoSpaceDN/>
              <w:bidi w:val="0"/>
              <w:adjustRightInd/>
              <w:snapToGrid/>
              <w:spacing w:line="200" w:lineRule="exact"/>
              <w:jc w:val="both"/>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kern w:val="2"/>
                <w:sz w:val="15"/>
                <w:szCs w:val="15"/>
                <w:vertAlign w:val="baseline"/>
                <w:lang w:val="en-US" w:eastAsia="zh-CN" w:bidi="ar-SA"/>
              </w:rPr>
              <w:t>对慈善组织将不得用于投资的财产用于投资、擅自改变捐赠财产用途等情形的处罚</w:t>
            </w:r>
          </w:p>
        </w:tc>
        <w:tc>
          <w:tcPr>
            <w:tcW w:w="435" w:type="dxa"/>
            <w:shd w:val="clear" w:color="auto" w:fill="auto"/>
            <w:vAlign w:val="center"/>
          </w:tcPr>
          <w:p w14:paraId="335C37F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行政处罚</w:t>
            </w:r>
          </w:p>
        </w:tc>
        <w:tc>
          <w:tcPr>
            <w:tcW w:w="2002" w:type="dxa"/>
            <w:gridSpan w:val="2"/>
            <w:shd w:val="clear" w:color="auto" w:fill="auto"/>
            <w:vAlign w:val="center"/>
          </w:tcPr>
          <w:p w14:paraId="774E068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【法律】《中华人民共和国慈善法》（ 2016年3月16日 中华人民共和国第十二届全国人民代表大会第四次会议通过，自2016年9月1日起施行）</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第九十九条：慈善组织有下列情形之一的，由民政部门予以警告、责令限期改正；逾期不改正的，责令限期停止活动并进行整改：</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（一）违反本法第十四条规定造成慈善财产损失的；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（二）将不得用于投资的财产用于投资的；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（三）擅自改变捐赠财产用途的；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（四）开展慈善活动的年度支出或者管理费用的标准违反本法第六十条规定的；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（五）未依法履行信息公开义务的；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（六）未依法报送年度工作报告、财务会计报告或者报备募捐方案的；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（七）泄露捐赠人、志愿者、受益人个人隐私以及捐赠人、慈善信托的委托人不同意公开的姓名、名称、住所、通讯方式等信息的。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慈善组织有前两款规定的情形，经依法处理后一年内再出现前款规定的情形，或者有其他情节严重情形的，由民政部门吊销登记证书并予以公告。</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第一百条：慈善组织有本法第九十八条、第九十九条规定的情形，有违法所得的，由民政部门予以没收；对直接负责的主管人员和其他直接责任人员处二万元以上二十万元以下罚款。</w:t>
            </w:r>
          </w:p>
        </w:tc>
        <w:tc>
          <w:tcPr>
            <w:tcW w:w="2291" w:type="dxa"/>
            <w:shd w:val="clear" w:color="auto" w:fill="auto"/>
            <w:vAlign w:val="center"/>
          </w:tcPr>
          <w:p w14:paraId="6E8FD10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区民政局</w:t>
            </w:r>
          </w:p>
        </w:tc>
        <w:tc>
          <w:tcPr>
            <w:tcW w:w="383" w:type="dxa"/>
            <w:shd w:val="clear" w:color="auto" w:fill="auto"/>
            <w:vAlign w:val="center"/>
          </w:tcPr>
          <w:p w14:paraId="16B7C3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区民政局</w:t>
            </w:r>
          </w:p>
        </w:tc>
        <w:tc>
          <w:tcPr>
            <w:tcW w:w="382" w:type="dxa"/>
            <w:shd w:val="clear" w:color="auto" w:fill="auto"/>
            <w:vAlign w:val="center"/>
          </w:tcPr>
          <w:p w14:paraId="7D5BB98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社会组织办公室</w:t>
            </w:r>
          </w:p>
        </w:tc>
        <w:tc>
          <w:tcPr>
            <w:tcW w:w="513" w:type="dxa"/>
            <w:shd w:val="clear" w:color="auto" w:fill="auto"/>
            <w:vAlign w:val="center"/>
          </w:tcPr>
          <w:p w14:paraId="21D80C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区级</w:t>
            </w:r>
          </w:p>
        </w:tc>
        <w:tc>
          <w:tcPr>
            <w:tcW w:w="945" w:type="dxa"/>
            <w:shd w:val="clear" w:color="auto" w:fill="auto"/>
            <w:vAlign w:val="center"/>
          </w:tcPr>
          <w:p w14:paraId="38497D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5"/>
                <w:szCs w:val="15"/>
                <w:u w:val="none"/>
                <w:lang w:val="en-US" w:eastAsia="zh-CN" w:bidi="ar"/>
              </w:rPr>
              <w:t>对慈善组织将不得用于投资的财产用于投资、擅自改变捐赠财产用途等情形的处罚</w:t>
            </w:r>
          </w:p>
        </w:tc>
        <w:tc>
          <w:tcPr>
            <w:tcW w:w="1086" w:type="dxa"/>
            <w:shd w:val="clear" w:color="auto" w:fill="auto"/>
            <w:vAlign w:val="center"/>
          </w:tcPr>
          <w:p w14:paraId="7BB4149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按照管理权限依法进行慈善组织认定管理和行政执法监督</w:t>
            </w:r>
          </w:p>
        </w:tc>
        <w:tc>
          <w:tcPr>
            <w:tcW w:w="1086" w:type="dxa"/>
            <w:shd w:val="clear" w:color="auto" w:fill="auto"/>
            <w:vAlign w:val="center"/>
          </w:tcPr>
          <w:p w14:paraId="6BE4826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直接实施责任：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2.依法依规实施本级行政处罚事项，做出的行政处罚决定应当予以公开。</w:t>
            </w:r>
          </w:p>
        </w:tc>
        <w:tc>
          <w:tcPr>
            <w:tcW w:w="1155" w:type="dxa"/>
            <w:shd w:val="clear" w:color="auto" w:fill="auto"/>
            <w:vAlign w:val="center"/>
          </w:tcPr>
          <w:p w14:paraId="0A6011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第五章、第六章、第七章。</w:t>
            </w:r>
          </w:p>
        </w:tc>
        <w:tc>
          <w:tcPr>
            <w:tcW w:w="1226" w:type="dxa"/>
            <w:shd w:val="clear" w:color="auto" w:fill="auto"/>
            <w:vAlign w:val="center"/>
          </w:tcPr>
          <w:p w14:paraId="019C17F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1.具体承办人；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2.内设机构负责人；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3.单位法定代表人或分管领导。</w:t>
            </w:r>
          </w:p>
        </w:tc>
        <w:tc>
          <w:tcPr>
            <w:tcW w:w="3254" w:type="dxa"/>
            <w:shd w:val="clear" w:color="auto" w:fill="auto"/>
            <w:vAlign w:val="center"/>
          </w:tcPr>
          <w:p w14:paraId="257C1B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1、没有法律和事实依据对慈善组织实施行政处罚的；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2、违反法定程序对慈善组织进行处罚的；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3、擅自改变对慈善组织行政处罚种类、幅度的；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4、对应当予以制止和处罚的违法行为不予制止、处罚的；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5、违法处罚，造成不良社会影响或后果的；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6、违反“缴罚分离”规定，擅自收取罚款的； </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7.将罚款、没收的违法所得或者财物截留、私分或者变相私分的；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8、符合听证条件、行政管理相对人要求听证，应予组织听证而不组织听证的；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9、在行政处罚过程中发生腐败行为的；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11、其他违反法律法规规章文件规定的行为。</w:t>
            </w:r>
          </w:p>
        </w:tc>
        <w:tc>
          <w:tcPr>
            <w:tcW w:w="1845" w:type="dxa"/>
            <w:shd w:val="clear" w:color="auto" w:fill="auto"/>
            <w:vAlign w:val="center"/>
          </w:tcPr>
          <w:p w14:paraId="5B11181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5"/>
                <w:szCs w:val="15"/>
                <w:vertAlign w:val="baseline"/>
                <w:lang w:val="en-US" w:eastAsia="zh-CN" w:bidi="ar-SA"/>
              </w:rPr>
            </w:pPr>
          </w:p>
        </w:tc>
      </w:tr>
    </w:tbl>
    <w:p w14:paraId="0B6C9CC6">
      <w:pPr>
        <w:keepNext w:val="0"/>
        <w:keepLines w:val="0"/>
        <w:pageBreakBefore w:val="0"/>
        <w:kinsoku/>
        <w:wordWrap/>
        <w:overflowPunct/>
        <w:topLinePunct w:val="0"/>
        <w:autoSpaceDE/>
        <w:autoSpaceDN/>
        <w:bidi w:val="0"/>
        <w:adjustRightInd/>
        <w:snapToGrid/>
        <w:spacing w:line="200" w:lineRule="exact"/>
        <w:jc w:val="both"/>
        <w:rPr>
          <w:rFonts w:hint="eastAsia" w:ascii="方正仿宋_GBK" w:hAnsi="方正仿宋_GBK" w:eastAsia="方正仿宋_GBK" w:cs="方正仿宋_GBK"/>
          <w:sz w:val="15"/>
          <w:szCs w:val="15"/>
        </w:rPr>
      </w:pPr>
    </w:p>
    <w:p w14:paraId="72FB6B81">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03D1F26A">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60CC0C53">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7F18DDE9">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238B4361">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72FCE9DA">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10339FA4">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73B0794D">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2AF2C0BA">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3377F449">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0AD0D745">
      <w:pPr>
        <w:keepNext w:val="0"/>
        <w:keepLines w:val="0"/>
        <w:pageBreakBefore w:val="0"/>
        <w:kinsoku/>
        <w:wordWrap/>
        <w:overflowPunct/>
        <w:topLinePunct w:val="0"/>
        <w:autoSpaceDE/>
        <w:autoSpaceDN/>
        <w:bidi w:val="0"/>
        <w:adjustRightInd/>
        <w:snapToGrid/>
        <w:spacing w:line="720" w:lineRule="auto"/>
        <w:jc w:val="both"/>
        <w:rPr>
          <w:rFonts w:hint="eastAsia" w:ascii="方正小标宋_GBK" w:hAnsi="方正小标宋_GBK" w:eastAsia="方正小标宋_GBK" w:cs="方正小标宋_GBK"/>
          <w:sz w:val="44"/>
          <w:szCs w:val="44"/>
        </w:rPr>
      </w:pPr>
    </w:p>
    <w:p w14:paraId="563A5B05">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7635675C">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0105E461">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2A0C6466">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7B11E09C">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14F8CF81">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5B360833">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29BC7593">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07DFF48A">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5D375636">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4F0B6B8D">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00568B4F">
      <w:pPr>
        <w:keepNext w:val="0"/>
        <w:keepLines w:val="0"/>
        <w:pageBreakBefore w:val="0"/>
        <w:kinsoku/>
        <w:wordWrap/>
        <w:overflowPunct/>
        <w:topLinePunct w:val="0"/>
        <w:autoSpaceDE/>
        <w:autoSpaceDN/>
        <w:bidi w:val="0"/>
        <w:adjustRightInd/>
        <w:snapToGrid/>
        <w:spacing w:line="720" w:lineRule="auto"/>
        <w:jc w:val="center"/>
        <w:rPr>
          <w:rFonts w:hint="eastAsia" w:ascii="方正小标宋_GBK" w:hAnsi="方正小标宋_GBK" w:eastAsia="方正小标宋_GBK" w:cs="方正小标宋_GBK"/>
          <w:sz w:val="44"/>
          <w:szCs w:val="44"/>
        </w:rPr>
      </w:pPr>
    </w:p>
    <w:p w14:paraId="79A80C28">
      <w:pPr>
        <w:keepNext w:val="0"/>
        <w:keepLines w:val="0"/>
        <w:pageBreakBefore w:val="0"/>
        <w:kinsoku/>
        <w:wordWrap/>
        <w:overflowPunct/>
        <w:topLinePunct w:val="0"/>
        <w:autoSpaceDE/>
        <w:autoSpaceDN/>
        <w:bidi w:val="0"/>
        <w:adjustRightInd/>
        <w:snapToGrid/>
        <w:spacing w:line="720" w:lineRule="auto"/>
        <w:jc w:val="center"/>
        <w:rPr>
          <w:rFonts w:hint="eastAsia" w:ascii="方正仿宋_GBK" w:hAnsi="方正仿宋_GBK" w:eastAsia="方正仿宋_GBK" w:cs="方正仿宋_GBK"/>
          <w:sz w:val="15"/>
          <w:szCs w:val="15"/>
        </w:rPr>
      </w:pPr>
      <w:r>
        <w:rPr>
          <w:rFonts w:hint="eastAsia" w:ascii="方正小标宋_GBK" w:hAnsi="方正小标宋_GBK" w:eastAsia="方正小标宋_GBK" w:cs="方正小标宋_GBK"/>
          <w:sz w:val="44"/>
          <w:szCs w:val="44"/>
        </w:rPr>
        <w:t>米东区民政局权责清单（行政强制类）</w:t>
      </w:r>
    </w:p>
    <w:tbl>
      <w:tblPr>
        <w:tblStyle w:val="5"/>
        <w:tblW w:w="18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1455"/>
        <w:gridCol w:w="690"/>
        <w:gridCol w:w="555"/>
        <w:gridCol w:w="3465"/>
        <w:gridCol w:w="600"/>
        <w:gridCol w:w="465"/>
        <w:gridCol w:w="855"/>
        <w:gridCol w:w="855"/>
        <w:gridCol w:w="660"/>
        <w:gridCol w:w="1965"/>
        <w:gridCol w:w="3255"/>
        <w:gridCol w:w="690"/>
        <w:gridCol w:w="1291"/>
        <w:gridCol w:w="795"/>
      </w:tblGrid>
      <w:tr w14:paraId="2C84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203" w:type="dxa"/>
            <w:vAlign w:val="center"/>
          </w:tcPr>
          <w:p w14:paraId="3CFCDF4B">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序号</w:t>
            </w:r>
          </w:p>
        </w:tc>
        <w:tc>
          <w:tcPr>
            <w:tcW w:w="1455" w:type="dxa"/>
            <w:vAlign w:val="center"/>
          </w:tcPr>
          <w:p w14:paraId="42FDDDC9">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事项名称</w:t>
            </w:r>
          </w:p>
        </w:tc>
        <w:tc>
          <w:tcPr>
            <w:tcW w:w="690" w:type="dxa"/>
            <w:vAlign w:val="center"/>
          </w:tcPr>
          <w:p w14:paraId="14CC6D8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555" w:type="dxa"/>
            <w:vAlign w:val="center"/>
          </w:tcPr>
          <w:p w14:paraId="56DF0F3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3465" w:type="dxa"/>
            <w:vAlign w:val="center"/>
          </w:tcPr>
          <w:p w14:paraId="41E341F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600" w:type="dxa"/>
            <w:vAlign w:val="center"/>
          </w:tcPr>
          <w:p w14:paraId="72E949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465" w:type="dxa"/>
            <w:vAlign w:val="center"/>
          </w:tcPr>
          <w:p w14:paraId="28ACB00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710" w:type="dxa"/>
            <w:gridSpan w:val="2"/>
            <w:vAlign w:val="center"/>
          </w:tcPr>
          <w:p w14:paraId="2DD718B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660" w:type="dxa"/>
            <w:vAlign w:val="center"/>
          </w:tcPr>
          <w:p w14:paraId="2298C85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965" w:type="dxa"/>
            <w:vAlign w:val="center"/>
          </w:tcPr>
          <w:p w14:paraId="7F75852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3255" w:type="dxa"/>
            <w:vAlign w:val="center"/>
          </w:tcPr>
          <w:p w14:paraId="77BEB4F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690" w:type="dxa"/>
            <w:vAlign w:val="center"/>
          </w:tcPr>
          <w:p w14:paraId="304D35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1291" w:type="dxa"/>
            <w:vAlign w:val="center"/>
          </w:tcPr>
          <w:p w14:paraId="4C16B49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795" w:type="dxa"/>
            <w:vAlign w:val="center"/>
          </w:tcPr>
          <w:p w14:paraId="52CDA4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43E5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1203" w:type="dxa"/>
            <w:vAlign w:val="center"/>
          </w:tcPr>
          <w:p w14:paraId="7268A99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455" w:type="dxa"/>
            <w:vAlign w:val="center"/>
          </w:tcPr>
          <w:p w14:paraId="3B94BD2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社会团体被责令限期停止活动和被撤销登记的登记证书、印章和财务凭证收缴、封存</w:t>
            </w:r>
          </w:p>
        </w:tc>
        <w:tc>
          <w:tcPr>
            <w:tcW w:w="690" w:type="dxa"/>
            <w:vAlign w:val="center"/>
          </w:tcPr>
          <w:p w14:paraId="49184227">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555" w:type="dxa"/>
            <w:vAlign w:val="center"/>
          </w:tcPr>
          <w:p w14:paraId="2227893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行政强制</w:t>
            </w:r>
          </w:p>
        </w:tc>
        <w:tc>
          <w:tcPr>
            <w:tcW w:w="3465" w:type="dxa"/>
            <w:vAlign w:val="center"/>
          </w:tcPr>
          <w:p w14:paraId="264250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【法规】《社会团体登记管理条例》（1998年9月25日国务院令第250号发布 2016年2月6日国务院令第666号修订）</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第三十三条：社会团体被责令限期停止活动的，由登记管理机关封存《社会团体法人登记证书》、印章和财务凭证。</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社会团体被撤销登记的，由登记管理机关收缴《社会团体法人登记证书》和印章。</w:t>
            </w:r>
          </w:p>
        </w:tc>
        <w:tc>
          <w:tcPr>
            <w:tcW w:w="600" w:type="dxa"/>
            <w:vAlign w:val="center"/>
          </w:tcPr>
          <w:p w14:paraId="5EB1CE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465" w:type="dxa"/>
            <w:vAlign w:val="center"/>
          </w:tcPr>
          <w:p w14:paraId="231B8C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855" w:type="dxa"/>
            <w:vAlign w:val="center"/>
          </w:tcPr>
          <w:p w14:paraId="605CCA4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855" w:type="dxa"/>
            <w:vAlign w:val="center"/>
          </w:tcPr>
          <w:p w14:paraId="1456FEE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负责社会团体被责令限期停止活动和被撤销登记的征集证书、印章和财务凭证收缴、封存</w:t>
            </w:r>
          </w:p>
        </w:tc>
        <w:tc>
          <w:tcPr>
            <w:tcW w:w="660" w:type="dxa"/>
            <w:vAlign w:val="center"/>
          </w:tcPr>
          <w:p w14:paraId="0A8E5D4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负责权限内社会团体登记管理和执法监督检查工作。</w:t>
            </w:r>
          </w:p>
        </w:tc>
        <w:tc>
          <w:tcPr>
            <w:tcW w:w="1965" w:type="dxa"/>
            <w:vAlign w:val="center"/>
          </w:tcPr>
          <w:p w14:paraId="010013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 xml:space="preserve">直接实施责任：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1.对当事人下达催告通知书，催告履行义务以及履行义务的期限、方式和当事人依法享有的陈述权和申辩权；</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2.充分听取当事人的意见，对当事人提出的事实、理由和证据，进行记录、复核，无正当理由的，向局机关负责人报告并经批准作出强制执行决定，送达行政强制执行决定书；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3.由2名以上行政执法人员收缴或封存有关物品；填写收缴（封存）物品清单一式三份，并由当事人和行政执法人员签名或者盖章；</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4.行政强制期限结束后归还封存物品并由当事人签收；</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5.其他法律法规规章文件规定应履行的责任。</w:t>
            </w:r>
          </w:p>
        </w:tc>
        <w:tc>
          <w:tcPr>
            <w:tcW w:w="3255" w:type="dxa"/>
            <w:vAlign w:val="center"/>
          </w:tcPr>
          <w:p w14:paraId="77F449C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【法律】《中华人民共和国行政强制法》（2011年6月30日第十一届全国人民代表大会常务委员会第二十一次会议通过，自2012年1月1日起施行）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第三十四条、第三十五条、第三十六条、第三十七条、第三十八条</w:t>
            </w:r>
          </w:p>
        </w:tc>
        <w:tc>
          <w:tcPr>
            <w:tcW w:w="690" w:type="dxa"/>
            <w:vAlign w:val="center"/>
          </w:tcPr>
          <w:p w14:paraId="4486BB3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1291" w:type="dxa"/>
            <w:vAlign w:val="center"/>
          </w:tcPr>
          <w:p w14:paraId="381132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1.违反法定权限、程序实施行政强制的；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2.查封法定期间不作出处理决定或者未依法及时解除查封的；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3.利用行政强制权为单位或者个人谋取利益的；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4.没有正确履行监管责任，将查封、扣押的财物截留、私分或者变相私分的；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5.其他违反法律法规规章文件规定的行为。</w:t>
            </w:r>
          </w:p>
        </w:tc>
        <w:tc>
          <w:tcPr>
            <w:tcW w:w="795" w:type="dxa"/>
            <w:vAlign w:val="center"/>
          </w:tcPr>
          <w:p w14:paraId="4022FC42">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r>
      <w:tr w14:paraId="0E63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0" w:hRule="atLeast"/>
          <w:jc w:val="center"/>
        </w:trPr>
        <w:tc>
          <w:tcPr>
            <w:tcW w:w="1203" w:type="dxa"/>
            <w:vAlign w:val="center"/>
          </w:tcPr>
          <w:p w14:paraId="3751A70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455" w:type="dxa"/>
            <w:vAlign w:val="center"/>
          </w:tcPr>
          <w:p w14:paraId="1E53A8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民办非企业单位被限期停止活动和被撤销登记的登记证书、印章、财务凭证收缴、封存</w:t>
            </w:r>
          </w:p>
        </w:tc>
        <w:tc>
          <w:tcPr>
            <w:tcW w:w="690" w:type="dxa"/>
            <w:vAlign w:val="center"/>
          </w:tcPr>
          <w:p w14:paraId="3DBC6167">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555" w:type="dxa"/>
            <w:vAlign w:val="center"/>
          </w:tcPr>
          <w:p w14:paraId="5D21B26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行政强制</w:t>
            </w:r>
          </w:p>
        </w:tc>
        <w:tc>
          <w:tcPr>
            <w:tcW w:w="3465" w:type="dxa"/>
            <w:vAlign w:val="center"/>
          </w:tcPr>
          <w:p w14:paraId="6E03B8F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【法规】《民办非企业单位登记管理暂行条例》（1998年10月25日中华人民共和国国务院令第251号）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第二十八条：民办非企业单位被限期停止活动的，由登记管理机关封存其登记证书、印章和财务凭证。民办非企业单位被撤销登记的，由登记管理机关收缴登记证书和印章。</w:t>
            </w:r>
          </w:p>
        </w:tc>
        <w:tc>
          <w:tcPr>
            <w:tcW w:w="600" w:type="dxa"/>
            <w:vAlign w:val="center"/>
          </w:tcPr>
          <w:p w14:paraId="1E11C9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465" w:type="dxa"/>
            <w:vAlign w:val="center"/>
          </w:tcPr>
          <w:p w14:paraId="54CCA5E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855" w:type="dxa"/>
            <w:vAlign w:val="center"/>
          </w:tcPr>
          <w:p w14:paraId="1D1820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855" w:type="dxa"/>
            <w:vAlign w:val="center"/>
          </w:tcPr>
          <w:p w14:paraId="669171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负责行政区域内民办非企业单位被限期停止活动和被撤销登记的等级证书、印章、财务凭证收缴、封存</w:t>
            </w:r>
          </w:p>
        </w:tc>
        <w:tc>
          <w:tcPr>
            <w:tcW w:w="660" w:type="dxa"/>
            <w:vAlign w:val="center"/>
          </w:tcPr>
          <w:p w14:paraId="3B15B18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负责行政区域内民办非企业登记管理和执法监督检查工作。</w:t>
            </w:r>
          </w:p>
        </w:tc>
        <w:tc>
          <w:tcPr>
            <w:tcW w:w="1965" w:type="dxa"/>
            <w:vAlign w:val="center"/>
          </w:tcPr>
          <w:p w14:paraId="075AE868">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 xml:space="preserve">直接实施责任：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1.对当事人下达催告通知书，催告履行义务以及履行义务的期限、方式和当事人依法享有的陈述权和申辩权；</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2.充分听取当事人的意见，对当事人提出的事实、理由和证据，进行记录、复核，无正当理由的，向局机关负责人报告并经批准作出强制执行决定，送达行政强制执行决定书；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3.由2名以上行政执法人员收缴或封存有关物品；填写收缴（封存）物品清单一式三份，并由当事人和行政执法人员签名或者盖章；</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4.行政强制期限结束后归还封存物品并由当事人签收；</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5.其他法律法规规章文件规定应履行的责任。</w:t>
            </w:r>
          </w:p>
        </w:tc>
        <w:tc>
          <w:tcPr>
            <w:tcW w:w="3255" w:type="dxa"/>
            <w:vAlign w:val="center"/>
          </w:tcPr>
          <w:p w14:paraId="5A3C4E68">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【法律】《中华人民共和国行政强制法》（2011年6月30日第十一届全国人民代表大会常务委员会第二十一次会议通过，自2012年1月1日起施行）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第三十四条、第三十五条、第三十六条、第三十七条、第三十八条</w:t>
            </w:r>
          </w:p>
        </w:tc>
        <w:tc>
          <w:tcPr>
            <w:tcW w:w="690" w:type="dxa"/>
            <w:vAlign w:val="center"/>
          </w:tcPr>
          <w:p w14:paraId="3E9F1B28">
            <w:pPr>
              <w:keepNext w:val="0"/>
              <w:keepLines w:val="0"/>
              <w:pageBreakBefore w:val="0"/>
              <w:widowControl/>
              <w:kinsoku/>
              <w:wordWrap/>
              <w:overflowPunct/>
              <w:topLinePunct w:val="0"/>
              <w:autoSpaceDE/>
              <w:autoSpaceDN/>
              <w:bidi w:val="0"/>
              <w:adjustRightInd/>
              <w:snapToGrid/>
              <w:spacing w:line="180" w:lineRule="exact"/>
              <w:jc w:val="left"/>
              <w:rPr>
                <w:rFonts w:hint="eastAsia" w:ascii="方正仿宋_GBK" w:hAnsi="方正仿宋_GBK" w:eastAsia="方正仿宋_GBK" w:cs="方正仿宋_GBK"/>
                <w:sz w:val="18"/>
                <w:szCs w:val="18"/>
                <w:vertAlign w:val="baseline"/>
              </w:rPr>
            </w:pPr>
          </w:p>
        </w:tc>
        <w:tc>
          <w:tcPr>
            <w:tcW w:w="1291" w:type="dxa"/>
            <w:vAlign w:val="center"/>
          </w:tcPr>
          <w:p w14:paraId="2CF74B37">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1.违反法定权限、程序实施行政强制的；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2.查封法定期间不作出处理决定或者未依法及时解除查封的；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3.利用行政强制权为单位或者个人谋取利益的；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4.没有正确履行监管责任，将查封、扣押的财物截留、私分或者变相私分的；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5.其他违反法律法规规章文件规定的行为。</w:t>
            </w:r>
          </w:p>
        </w:tc>
        <w:tc>
          <w:tcPr>
            <w:tcW w:w="795" w:type="dxa"/>
            <w:vAlign w:val="center"/>
          </w:tcPr>
          <w:p w14:paraId="57294D8B">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r>
    </w:tbl>
    <w:p w14:paraId="6F29A3EC">
      <w:pPr>
        <w:keepNext w:val="0"/>
        <w:keepLines w:val="0"/>
        <w:pageBreakBefore w:val="0"/>
        <w:kinsoku/>
        <w:wordWrap/>
        <w:overflowPunct/>
        <w:topLinePunct w:val="0"/>
        <w:autoSpaceDE/>
        <w:autoSpaceDN/>
        <w:bidi w:val="0"/>
        <w:adjustRightInd/>
        <w:snapToGrid/>
        <w:spacing w:line="720" w:lineRule="auto"/>
        <w:ind w:firstLine="2640" w:firstLineChars="600"/>
        <w:jc w:val="center"/>
        <w:rPr>
          <w:rFonts w:hint="eastAsia" w:ascii="方正小标宋_GBK" w:hAnsi="方正小标宋_GBK" w:eastAsia="方正小标宋_GBK" w:cs="方正小标宋_GBK"/>
          <w:sz w:val="44"/>
          <w:szCs w:val="44"/>
        </w:rPr>
      </w:pPr>
    </w:p>
    <w:p w14:paraId="5F13BB66">
      <w:pPr>
        <w:keepNext/>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米东区民政局权责清单（行政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tbl>
      <w:tblPr>
        <w:tblStyle w:val="5"/>
        <w:tblpPr w:leftFromText="180" w:rightFromText="180" w:vertAnchor="text" w:horzAnchor="page" w:tblpX="2873" w:tblpY="1249"/>
        <w:tblOverlap w:val="never"/>
        <w:tblW w:w="18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1455"/>
        <w:gridCol w:w="705"/>
        <w:gridCol w:w="585"/>
        <w:gridCol w:w="3435"/>
        <w:gridCol w:w="615"/>
        <w:gridCol w:w="450"/>
        <w:gridCol w:w="885"/>
        <w:gridCol w:w="855"/>
        <w:gridCol w:w="645"/>
        <w:gridCol w:w="1950"/>
        <w:gridCol w:w="3255"/>
        <w:gridCol w:w="690"/>
        <w:gridCol w:w="1515"/>
        <w:gridCol w:w="855"/>
      </w:tblGrid>
      <w:tr w14:paraId="3740D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915" w:type="dxa"/>
            <w:vAlign w:val="center"/>
          </w:tcPr>
          <w:p w14:paraId="3CA1D8C7">
            <w:pPr>
              <w:keepNext/>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序号</w:t>
            </w:r>
          </w:p>
        </w:tc>
        <w:tc>
          <w:tcPr>
            <w:tcW w:w="1455" w:type="dxa"/>
            <w:vAlign w:val="center"/>
          </w:tcPr>
          <w:p w14:paraId="7262DD01">
            <w:pPr>
              <w:keepNext/>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事项名称</w:t>
            </w:r>
          </w:p>
        </w:tc>
        <w:tc>
          <w:tcPr>
            <w:tcW w:w="705" w:type="dxa"/>
            <w:vAlign w:val="center"/>
          </w:tcPr>
          <w:p w14:paraId="7D8D444D">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585" w:type="dxa"/>
            <w:vAlign w:val="center"/>
          </w:tcPr>
          <w:p w14:paraId="6140001E">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3435" w:type="dxa"/>
            <w:vAlign w:val="center"/>
          </w:tcPr>
          <w:p w14:paraId="63B7419F">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615" w:type="dxa"/>
            <w:vAlign w:val="center"/>
          </w:tcPr>
          <w:p w14:paraId="522F84A8">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450" w:type="dxa"/>
            <w:vAlign w:val="center"/>
          </w:tcPr>
          <w:p w14:paraId="6C663995">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740" w:type="dxa"/>
            <w:gridSpan w:val="2"/>
            <w:vAlign w:val="center"/>
          </w:tcPr>
          <w:p w14:paraId="3A5883DD">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645" w:type="dxa"/>
            <w:vAlign w:val="center"/>
          </w:tcPr>
          <w:p w14:paraId="1C2242DE">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950" w:type="dxa"/>
            <w:vAlign w:val="center"/>
          </w:tcPr>
          <w:p w14:paraId="4D5724A7">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3255" w:type="dxa"/>
            <w:vAlign w:val="center"/>
          </w:tcPr>
          <w:p w14:paraId="0DD7FE4A">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690" w:type="dxa"/>
            <w:vAlign w:val="center"/>
          </w:tcPr>
          <w:p w14:paraId="19F29675">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1515" w:type="dxa"/>
            <w:vAlign w:val="center"/>
          </w:tcPr>
          <w:p w14:paraId="35E7144B">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855" w:type="dxa"/>
            <w:vAlign w:val="center"/>
          </w:tcPr>
          <w:p w14:paraId="662C1AF1">
            <w:pPr>
              <w:keepNext/>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73D7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5" w:type="dxa"/>
            <w:vAlign w:val="center"/>
          </w:tcPr>
          <w:p w14:paraId="5CC79A6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455" w:type="dxa"/>
            <w:vAlign w:val="center"/>
          </w:tcPr>
          <w:p w14:paraId="18BC3F7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社会团体的年度检查</w:t>
            </w:r>
          </w:p>
        </w:tc>
        <w:tc>
          <w:tcPr>
            <w:tcW w:w="705" w:type="dxa"/>
            <w:vAlign w:val="center"/>
          </w:tcPr>
          <w:p w14:paraId="14AE9A24">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p>
        </w:tc>
        <w:tc>
          <w:tcPr>
            <w:tcW w:w="585" w:type="dxa"/>
            <w:vAlign w:val="center"/>
          </w:tcPr>
          <w:p w14:paraId="68E34EC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行政检查</w:t>
            </w:r>
          </w:p>
        </w:tc>
        <w:tc>
          <w:tcPr>
            <w:tcW w:w="3435" w:type="dxa"/>
            <w:vAlign w:val="center"/>
          </w:tcPr>
          <w:p w14:paraId="78E0CAA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【法规】《社会团体登记管理条例》（1998年9月25日国务院令第250号发布 2016年2月6日国务院令第666号修订）</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二十八条：社会团体应当于每年3月31日前向业务主管单位报送上一年度的工作报告，经业务主管单位初审同意后，于5月31日前报送登记管理机关，接受年度检查。工作报告的内容包括：本社会团体遵守法律法规和国家政策的情况、依照本条例履行登记手续的情况、按照章程开展活动的情况、人员和机构变动的情况以及财务管理的情况。</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对于依照本条例第十七条的规定发给《社会团体法人登记证书》的社会团体，登记管理机关对其应当简化年度检查的内容。</w:t>
            </w:r>
          </w:p>
        </w:tc>
        <w:tc>
          <w:tcPr>
            <w:tcW w:w="615" w:type="dxa"/>
            <w:vAlign w:val="center"/>
          </w:tcPr>
          <w:p w14:paraId="0F7874D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450" w:type="dxa"/>
            <w:vAlign w:val="center"/>
          </w:tcPr>
          <w:p w14:paraId="7A6DFB1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885" w:type="dxa"/>
            <w:vAlign w:val="center"/>
          </w:tcPr>
          <w:p w14:paraId="1B3EE7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855" w:type="dxa"/>
            <w:vAlign w:val="center"/>
          </w:tcPr>
          <w:p w14:paraId="547C323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负责行政区域内社会团体的年度检查</w:t>
            </w:r>
          </w:p>
        </w:tc>
        <w:tc>
          <w:tcPr>
            <w:tcW w:w="645" w:type="dxa"/>
            <w:vAlign w:val="center"/>
          </w:tcPr>
          <w:p w14:paraId="63ABB4A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负责社会团体的管理监督检查</w:t>
            </w:r>
          </w:p>
        </w:tc>
        <w:tc>
          <w:tcPr>
            <w:tcW w:w="1950" w:type="dxa"/>
            <w:vAlign w:val="center"/>
          </w:tcPr>
          <w:p w14:paraId="07FA19B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1.制定社会团体年度监督检查计划，开展“双随机、一公开”检查，通过实地核查、书面检查等多种方式进行监督检查。</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2、加强与社会团体相关主管部门的沟通协调，开展联合检查，避免多头执法、执法扰民等现象。</w:t>
            </w:r>
          </w:p>
        </w:tc>
        <w:tc>
          <w:tcPr>
            <w:tcW w:w="3255" w:type="dxa"/>
            <w:vAlign w:val="center"/>
          </w:tcPr>
          <w:p w14:paraId="5A2F410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【规章】《社会团体年度检查暂行办法》（1996年5月14日中华人民共和国民政部民社发〔1996〕10号）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第六条：社团年检的程序是：</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(一)登记管理机关发出有关年检公告或通知；</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(二)社团在规定的时间里领取《社会团体年检报告书》；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(三)社团按要求准备材料并经业务主管部门审查后，报送登记管理机关；</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(四)登记管理机关按本办法第五条规定的年检内容进行检查并审核有关材料；</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(五)登记管理机关作出年检结论。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第十二条：年检不合格社团由登记管理机关责令其限期整改。整改后仍不合格的社团，按照有关规定另作处理，并由登记管理机关在报刊上予以公告，公告费由社团承担。</w:t>
            </w:r>
          </w:p>
        </w:tc>
        <w:tc>
          <w:tcPr>
            <w:tcW w:w="690" w:type="dxa"/>
            <w:vAlign w:val="center"/>
          </w:tcPr>
          <w:p w14:paraId="42C85E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1515" w:type="dxa"/>
            <w:vAlign w:val="center"/>
          </w:tcPr>
          <w:p w14:paraId="68D4DBB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1、不按时开展社会团体年检工作的；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2、对年检中发现问题，不及时处理的；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3、侵犯社会团体合法权益的；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4、未在法定时限做出年度检查结论，产生不良影响的；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5、在社会团体年检过程中发生腐败行为的；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6、其他违反法律法规规章文件规定的行为。</w:t>
            </w:r>
          </w:p>
        </w:tc>
        <w:tc>
          <w:tcPr>
            <w:tcW w:w="855" w:type="dxa"/>
            <w:vAlign w:val="center"/>
          </w:tcPr>
          <w:p w14:paraId="35FA294C">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p>
        </w:tc>
      </w:tr>
      <w:tr w14:paraId="38A2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5" w:type="dxa"/>
            <w:vAlign w:val="center"/>
          </w:tcPr>
          <w:p w14:paraId="51194D4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2</w:t>
            </w:r>
          </w:p>
        </w:tc>
        <w:tc>
          <w:tcPr>
            <w:tcW w:w="1455" w:type="dxa"/>
            <w:vAlign w:val="center"/>
          </w:tcPr>
          <w:p w14:paraId="5114887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民办非企业单位的年度检查</w:t>
            </w:r>
          </w:p>
        </w:tc>
        <w:tc>
          <w:tcPr>
            <w:tcW w:w="705" w:type="dxa"/>
            <w:vAlign w:val="center"/>
          </w:tcPr>
          <w:p w14:paraId="7AD0289E">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p>
        </w:tc>
        <w:tc>
          <w:tcPr>
            <w:tcW w:w="585" w:type="dxa"/>
            <w:vAlign w:val="center"/>
          </w:tcPr>
          <w:p w14:paraId="360DD09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行政检查</w:t>
            </w:r>
          </w:p>
        </w:tc>
        <w:tc>
          <w:tcPr>
            <w:tcW w:w="3435" w:type="dxa"/>
            <w:vAlign w:val="center"/>
          </w:tcPr>
          <w:p w14:paraId="580EAB6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【法规】《民办非企业单位登记管理暂行条例》（1998年10月25日中华人民共和国国务院令第251号）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二十三条：民办非企业单位应当于每年3月31日前向业务主管单位报送上一年度的工作报告，经业务主管单位初审同意后，于5月31日前报送登记管理机关，接受年度检查。工作报告内容包括：本民办非企业单位遵守法律法规和国家政策的情况、依照本条例履行登记手续的情况、按照章程开展活动的情况、人员和机构变动的情况以及财务管理的情况。</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对于依照本条例第十二条第二款的规定发给登记证书的民办非企业单位，登记管理机关对其应当简化年度检查的内容。</w:t>
            </w:r>
          </w:p>
        </w:tc>
        <w:tc>
          <w:tcPr>
            <w:tcW w:w="615" w:type="dxa"/>
            <w:vAlign w:val="center"/>
          </w:tcPr>
          <w:p w14:paraId="75487BB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450" w:type="dxa"/>
            <w:vAlign w:val="center"/>
          </w:tcPr>
          <w:p w14:paraId="48C2185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885" w:type="dxa"/>
            <w:vAlign w:val="center"/>
          </w:tcPr>
          <w:p w14:paraId="38E19A3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855" w:type="dxa"/>
            <w:vAlign w:val="center"/>
          </w:tcPr>
          <w:p w14:paraId="20A155F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负责权限内民办非企业单位的年度检查工作</w:t>
            </w:r>
          </w:p>
        </w:tc>
        <w:tc>
          <w:tcPr>
            <w:tcW w:w="645" w:type="dxa"/>
            <w:vAlign w:val="center"/>
          </w:tcPr>
          <w:p w14:paraId="1534925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负责权限内民办非企业单位的年度监督检查工作</w:t>
            </w:r>
          </w:p>
        </w:tc>
        <w:tc>
          <w:tcPr>
            <w:tcW w:w="1950" w:type="dxa"/>
            <w:vAlign w:val="center"/>
          </w:tcPr>
          <w:p w14:paraId="74808579">
            <w:pPr>
              <w:keepNext w:val="0"/>
              <w:keepLines w:val="0"/>
              <w:pageBreakBefore w:val="0"/>
              <w:widowControl/>
              <w:suppressLineNumbers w:val="0"/>
              <w:kinsoku/>
              <w:wordWrap/>
              <w:overflowPunct/>
              <w:topLinePunct w:val="0"/>
              <w:autoSpaceDE/>
              <w:autoSpaceDN/>
              <w:bidi w:val="0"/>
              <w:adjustRightInd/>
              <w:snapToGrid/>
              <w:spacing w:after="360" w:afterAutospacing="0"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1.制定社会团体年度监督检查计划，开展“双随机、一公开”检查，通过实地核查、书面检查等多种方式进行监督检查。</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2、加强与社会团体相关主管部门的沟通协调，开展联合检查，避免多头执法、执法扰民等现象。</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p>
        </w:tc>
        <w:tc>
          <w:tcPr>
            <w:tcW w:w="3255" w:type="dxa"/>
            <w:vAlign w:val="center"/>
          </w:tcPr>
          <w:p w14:paraId="5A1AD5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【规章】《民办非企业单位年度检查办法》（2005年4月7日中华人民共和国民政部令第27号）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第四条：民办非企业单位年检的程序是：</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（一）民办非企业单位领取或从互联网下载《民办非企业单位年检报告书》及其他有关材料；</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（二）民办非企业单位于每年3月31日前向业务主管单位报送年检材料，经业务主管单位出具初审意见后，于5月31日前报送登记管理机关；</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（三）登记管理机关审查年检材料；</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（四）登记管理机关作出年检结论，发布年检结论公告。</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九条：“年检基本合格”和“年检不合格”的民办非企业单位，应当进行整改，整改期限为3个月。整改期结束后，民办非企业单位应当向登记管理机关报送整改报告，登记管理机关对整改结果进行评定并出具意见。对“年检不合格”的民办非企业单位，登记管理机关根据情况，可以责令其在整改期间停止活动。民办非企业单位被限期停止活动的，登记管理机关可以封存其登记证书、印章和财务凭证。</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第十条：登记管理机关对连续两年不参加年检，或连续两年“年检不合格”的民办非企业单位，予以撤销登记并公告。</w:t>
            </w:r>
          </w:p>
        </w:tc>
        <w:tc>
          <w:tcPr>
            <w:tcW w:w="690" w:type="dxa"/>
            <w:vAlign w:val="center"/>
          </w:tcPr>
          <w:p w14:paraId="2959B3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1515" w:type="dxa"/>
            <w:vAlign w:val="center"/>
          </w:tcPr>
          <w:p w14:paraId="2A1EEB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1.不按时开展民办非企业单位年检工作的；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2.侵犯民办非企业单位合法权益的；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3.对年检中发现问题，不及时处理的；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4.未在法定时限做出年度检查结论，产生不良影响的；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5.在民办非企业单位年检过程中发生腐败行为的；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6.其他违反法律法规规章文件规定的行为。</w:t>
            </w:r>
          </w:p>
        </w:tc>
        <w:tc>
          <w:tcPr>
            <w:tcW w:w="855" w:type="dxa"/>
            <w:vAlign w:val="center"/>
          </w:tcPr>
          <w:p w14:paraId="53313622">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p>
        </w:tc>
      </w:tr>
      <w:tr w14:paraId="78395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915" w:type="dxa"/>
            <w:vAlign w:val="center"/>
          </w:tcPr>
          <w:p w14:paraId="0D06589E">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序号</w:t>
            </w:r>
          </w:p>
        </w:tc>
        <w:tc>
          <w:tcPr>
            <w:tcW w:w="1455" w:type="dxa"/>
            <w:vAlign w:val="center"/>
          </w:tcPr>
          <w:p w14:paraId="2510831F">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sz w:val="18"/>
                <w:szCs w:val="18"/>
                <w:vertAlign w:val="baseline"/>
              </w:rPr>
              <w:t>事项名称</w:t>
            </w:r>
          </w:p>
        </w:tc>
        <w:tc>
          <w:tcPr>
            <w:tcW w:w="705" w:type="dxa"/>
            <w:vAlign w:val="center"/>
          </w:tcPr>
          <w:p w14:paraId="649FA3B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585" w:type="dxa"/>
            <w:vAlign w:val="center"/>
          </w:tcPr>
          <w:p w14:paraId="6C3CA9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3435" w:type="dxa"/>
            <w:vAlign w:val="center"/>
          </w:tcPr>
          <w:p w14:paraId="2B4BD6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615" w:type="dxa"/>
            <w:vAlign w:val="center"/>
          </w:tcPr>
          <w:p w14:paraId="10901FD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450" w:type="dxa"/>
            <w:vAlign w:val="center"/>
          </w:tcPr>
          <w:p w14:paraId="06F8375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740" w:type="dxa"/>
            <w:gridSpan w:val="2"/>
            <w:vAlign w:val="center"/>
          </w:tcPr>
          <w:p w14:paraId="5FBDCFF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645" w:type="dxa"/>
            <w:vAlign w:val="center"/>
          </w:tcPr>
          <w:p w14:paraId="208CFF8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950" w:type="dxa"/>
            <w:vAlign w:val="center"/>
          </w:tcPr>
          <w:p w14:paraId="2B4AA27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3255" w:type="dxa"/>
            <w:vAlign w:val="center"/>
          </w:tcPr>
          <w:p w14:paraId="7BE7245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690" w:type="dxa"/>
            <w:vAlign w:val="center"/>
          </w:tcPr>
          <w:p w14:paraId="54B1C6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1515" w:type="dxa"/>
            <w:vAlign w:val="center"/>
          </w:tcPr>
          <w:p w14:paraId="0E7F6D5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855" w:type="dxa"/>
            <w:vAlign w:val="center"/>
          </w:tcPr>
          <w:p w14:paraId="053DEFA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4309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9" w:hRule="atLeast"/>
        </w:trPr>
        <w:tc>
          <w:tcPr>
            <w:tcW w:w="915" w:type="dxa"/>
            <w:vAlign w:val="center"/>
          </w:tcPr>
          <w:p w14:paraId="516C544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3</w:t>
            </w:r>
          </w:p>
        </w:tc>
        <w:tc>
          <w:tcPr>
            <w:tcW w:w="1455" w:type="dxa"/>
            <w:vAlign w:val="center"/>
          </w:tcPr>
          <w:p w14:paraId="00355E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对社会组织依法开展活动情况的抽查</w:t>
            </w:r>
          </w:p>
        </w:tc>
        <w:tc>
          <w:tcPr>
            <w:tcW w:w="705" w:type="dxa"/>
            <w:vAlign w:val="center"/>
          </w:tcPr>
          <w:p w14:paraId="5B9BECCC">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p>
        </w:tc>
        <w:tc>
          <w:tcPr>
            <w:tcW w:w="585" w:type="dxa"/>
            <w:vAlign w:val="center"/>
          </w:tcPr>
          <w:p w14:paraId="563DAAD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行政检查</w:t>
            </w:r>
          </w:p>
        </w:tc>
        <w:tc>
          <w:tcPr>
            <w:tcW w:w="3435" w:type="dxa"/>
            <w:vAlign w:val="center"/>
          </w:tcPr>
          <w:p w14:paraId="590BA6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【法规】《社会团体登记管理条例》、（中华人民共和国国务院令第250号，自1998年10月25日起实施，经2016年国务院令第666号修订。）</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第六条第一款：国务院民政部门和县级以上地方各级人民政府民政部门是本级人民政府的社会团体登记管理机关（以下简称登记管理机关）。</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【法规】《民办非企业单位登记管理暂行条例》（1998年9月25日国务院第8次常务会议通过，1998年9月25日中华人民共和国国务院令第251号发布，自1998年10月25日起施行）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第五条第一款：国务院民政部门和县级以上地方各级人民政府民政部门是本级人民政府的民办非企业单位登记管理机关（以下简称登记管理机关）。</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【规范性文件】《社会组织抽查暂行办法》（2017年3月13日民政部部长办公会议通过，自2017年3月13日起实施）（民发〔2017〕45号）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第二条：社会组织登记管理机关（以下简称登记管理机关）按照法定职责，随机抽取一定比例的社会组织，对其依法开展活动的情况进行检查，适用本办法。</w:t>
            </w:r>
          </w:p>
        </w:tc>
        <w:tc>
          <w:tcPr>
            <w:tcW w:w="615" w:type="dxa"/>
            <w:vAlign w:val="center"/>
          </w:tcPr>
          <w:p w14:paraId="56137A3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450" w:type="dxa"/>
            <w:vAlign w:val="center"/>
          </w:tcPr>
          <w:p w14:paraId="5CFB16A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885" w:type="dxa"/>
            <w:vAlign w:val="center"/>
          </w:tcPr>
          <w:p w14:paraId="738FACB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855" w:type="dxa"/>
            <w:vAlign w:val="center"/>
          </w:tcPr>
          <w:p w14:paraId="4A264A3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负责社会组织依法开展活动情况的抽查</w:t>
            </w:r>
          </w:p>
        </w:tc>
        <w:tc>
          <w:tcPr>
            <w:tcW w:w="645" w:type="dxa"/>
            <w:vAlign w:val="center"/>
          </w:tcPr>
          <w:p w14:paraId="689B93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按照管理权限依法对社会团体、社会服务机构进行登记管理和行政执法监督</w:t>
            </w:r>
          </w:p>
        </w:tc>
        <w:tc>
          <w:tcPr>
            <w:tcW w:w="1950" w:type="dxa"/>
            <w:vAlign w:val="center"/>
          </w:tcPr>
          <w:p w14:paraId="28AA90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2.加强与相关主管部门的沟通协调，开展联合检查，避免多头执法、执法扰民等现象。</w:t>
            </w:r>
          </w:p>
        </w:tc>
        <w:tc>
          <w:tcPr>
            <w:tcW w:w="3255" w:type="dxa"/>
            <w:vAlign w:val="center"/>
          </w:tcPr>
          <w:p w14:paraId="4AE084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【规范性文件】社会组织抽查暂行办法》（2017年3月13日民政部部长办公会议通过，自2017年3月13日起实施）（民发〔2017〕45号）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第十九条：登记管理机关的工作人员在抽查工作中滥用职权、徇私舞弊、玩忽职守，构成犯罪的，依法追究刑事责任；尚不构成犯罪的，依法给予行政处分。</w:t>
            </w:r>
          </w:p>
        </w:tc>
        <w:tc>
          <w:tcPr>
            <w:tcW w:w="690" w:type="dxa"/>
            <w:vAlign w:val="center"/>
          </w:tcPr>
          <w:p w14:paraId="59F0384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1515" w:type="dxa"/>
            <w:vAlign w:val="center"/>
          </w:tcPr>
          <w:p w14:paraId="413C37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1、未对被抽查的社会组织进行抽查的；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2、对抽查中发现问题，不及时处理的；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3、未在相应时限做出抽查结论，产生不良影响的；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4、侵犯社会组织合法权益的；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5、其他违反法律法规规章文件规定的行为。</w:t>
            </w:r>
          </w:p>
        </w:tc>
        <w:tc>
          <w:tcPr>
            <w:tcW w:w="855" w:type="dxa"/>
            <w:vAlign w:val="center"/>
          </w:tcPr>
          <w:p w14:paraId="6F56B8D8">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8"/>
                <w:szCs w:val="18"/>
                <w:vertAlign w:val="baseline"/>
              </w:rPr>
            </w:pPr>
          </w:p>
        </w:tc>
      </w:tr>
      <w:tr w14:paraId="4D6B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4" w:hRule="atLeast"/>
        </w:trPr>
        <w:tc>
          <w:tcPr>
            <w:tcW w:w="915" w:type="dxa"/>
            <w:shd w:val="clear" w:color="auto" w:fill="auto"/>
            <w:vAlign w:val="center"/>
          </w:tcPr>
          <w:p w14:paraId="237AF76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4</w:t>
            </w:r>
          </w:p>
        </w:tc>
        <w:tc>
          <w:tcPr>
            <w:tcW w:w="1455" w:type="dxa"/>
            <w:shd w:val="clear" w:color="auto" w:fill="auto"/>
            <w:vAlign w:val="center"/>
          </w:tcPr>
          <w:p w14:paraId="6F3BCA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对慈善组织的监督检查</w:t>
            </w:r>
          </w:p>
        </w:tc>
        <w:tc>
          <w:tcPr>
            <w:tcW w:w="705" w:type="dxa"/>
            <w:shd w:val="clear" w:color="auto" w:fill="auto"/>
            <w:vAlign w:val="center"/>
          </w:tcPr>
          <w:p w14:paraId="74D4CEA0">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p>
        </w:tc>
        <w:tc>
          <w:tcPr>
            <w:tcW w:w="585" w:type="dxa"/>
            <w:shd w:val="clear" w:color="auto" w:fill="auto"/>
            <w:vAlign w:val="center"/>
          </w:tcPr>
          <w:p w14:paraId="03A1EE0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行政检查</w:t>
            </w:r>
          </w:p>
        </w:tc>
        <w:tc>
          <w:tcPr>
            <w:tcW w:w="3435" w:type="dxa"/>
            <w:shd w:val="clear" w:color="auto" w:fill="auto"/>
            <w:vAlign w:val="center"/>
          </w:tcPr>
          <w:p w14:paraId="4666E1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【法律】《中华人民共和国慈善法》（ 2016年3月16日 中华人民共和国第十二届全国人民代表大会第四次会议通过，自2016年9月1日起施行）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第六条：国务院民政部门主管全国慈善工作，县级以上地方各级人民政府民政部门主管本行政区域内的慈善工作；县级以上人民政府有关部门依照本法和其他有关法律法规，在各自的职责范围内做好相关工作。</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第九十二条：县级以上人民政府民政部门应当依法履行职责，对慈善活动进行监督检查，对慈善行业组织进行指导。</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第九十三条：县级以上人民政府民政部门对涉嫌违反本法规定的慈善组织，有权采取下列措施：</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（一）对慈善组织的住所和慈善活动发生地进行现场检查；</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（二）要求慈善组织作出说明，查阅、复制有关资料；</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（三）向与慈善活动有关的单位和个人调查与监督管理有关的情况；</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（四）经本级人民政府批准，可以查询慈善组织的金融账户；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（五）法律、行政法规规定的其他措施。</w:t>
            </w:r>
          </w:p>
        </w:tc>
        <w:tc>
          <w:tcPr>
            <w:tcW w:w="615" w:type="dxa"/>
            <w:shd w:val="clear" w:color="auto" w:fill="auto"/>
            <w:vAlign w:val="center"/>
          </w:tcPr>
          <w:p w14:paraId="701D33A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450" w:type="dxa"/>
            <w:shd w:val="clear" w:color="auto" w:fill="auto"/>
            <w:vAlign w:val="center"/>
          </w:tcPr>
          <w:p w14:paraId="2E0EF02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885" w:type="dxa"/>
            <w:shd w:val="clear" w:color="auto" w:fill="auto"/>
            <w:vAlign w:val="center"/>
          </w:tcPr>
          <w:p w14:paraId="5D9C80A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855" w:type="dxa"/>
            <w:shd w:val="clear" w:color="auto" w:fill="auto"/>
            <w:vAlign w:val="center"/>
          </w:tcPr>
          <w:p w14:paraId="4825960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负责权限内慈善组织的监督检查</w:t>
            </w:r>
          </w:p>
        </w:tc>
        <w:tc>
          <w:tcPr>
            <w:tcW w:w="645" w:type="dxa"/>
            <w:shd w:val="clear" w:color="auto" w:fill="auto"/>
            <w:vAlign w:val="center"/>
          </w:tcPr>
          <w:p w14:paraId="010B88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按照管理权限依法对慈善组织进行登记管理和行政执法监督</w:t>
            </w:r>
          </w:p>
        </w:tc>
        <w:tc>
          <w:tcPr>
            <w:tcW w:w="1950" w:type="dxa"/>
            <w:shd w:val="clear" w:color="auto" w:fill="auto"/>
            <w:vAlign w:val="center"/>
          </w:tcPr>
          <w:p w14:paraId="5D76A9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2.加强与相关主管部门的沟通协调，开展联合检查，避免多头执法、执法扰民等现象。</w:t>
            </w:r>
          </w:p>
        </w:tc>
        <w:tc>
          <w:tcPr>
            <w:tcW w:w="3255" w:type="dxa"/>
            <w:shd w:val="clear" w:color="auto" w:fill="auto"/>
            <w:vAlign w:val="center"/>
          </w:tcPr>
          <w:p w14:paraId="0E1194F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【法律】《中华人民共和国慈善法》（ 2016年3月16日中华人民共和国第十二届全国人民代表大会第四次会议通过，自2016年9月1日起施行）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一百零八条：县级以上人民政府民政部门和其他有关部门及其工作人员有下列情形之一的，由上级机关或者监察机关责令改正；依法应当给予处分的，由任免机关或者监察机关对直接负责的主管人员和其他直接责任人员给予处分：</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（一）未依法履行信息公开义务的；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（二）摊派或者变相摊派捐赠任务，强行指定志愿者、慈善组织提供服务的；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（三）未依法履行监督管理职责的；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（四）违法实施行政强制措施和行政处罚的；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（五）私分、挪用、截留或者侵占慈善财产的；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（六）其他滥用职权、玩忽职守、徇私舞弊的行为。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第一百零九条：违反本法规定，构成违反治安管理行为的，由公安机关依法给予治安管理处罚；构成犯罪的，依法追究刑事责任。</w:t>
            </w:r>
          </w:p>
        </w:tc>
        <w:tc>
          <w:tcPr>
            <w:tcW w:w="690" w:type="dxa"/>
            <w:shd w:val="clear" w:color="auto" w:fill="auto"/>
            <w:vAlign w:val="center"/>
          </w:tcPr>
          <w:p w14:paraId="33E276A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1515" w:type="dxa"/>
            <w:shd w:val="clear" w:color="auto" w:fill="auto"/>
            <w:vAlign w:val="center"/>
          </w:tcPr>
          <w:p w14:paraId="7D0329B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1.没有按照职权对慈善组织进行监督检查的；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2.违法实施行政强制措施和行政处罚的；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3.侵犯慈善组织合法权益的；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4.对检查中发现问题，不及时处理的；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5.在慈善组织监督管理过程中发生腐败行为的；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6.其他违反法律法规规章文件规定的行为。</w:t>
            </w:r>
          </w:p>
        </w:tc>
        <w:tc>
          <w:tcPr>
            <w:tcW w:w="855" w:type="dxa"/>
            <w:shd w:val="clear" w:color="auto" w:fill="auto"/>
            <w:vAlign w:val="center"/>
          </w:tcPr>
          <w:p w14:paraId="015943CB">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p>
        </w:tc>
      </w:tr>
    </w:tbl>
    <w:p w14:paraId="419ADDD2">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p w14:paraId="10B55691">
      <w:pPr>
        <w:keepNext w:val="0"/>
        <w:keepLines w:val="0"/>
        <w:pageBreakBefore w:val="0"/>
        <w:kinsoku/>
        <w:wordWrap/>
        <w:overflowPunct/>
        <w:topLinePunct w:val="0"/>
        <w:autoSpaceDE/>
        <w:autoSpaceDN/>
        <w:bidi w:val="0"/>
        <w:adjustRightInd/>
        <w:snapToGrid/>
        <w:spacing w:line="720" w:lineRule="auto"/>
        <w:jc w:val="center"/>
        <w:rPr>
          <w:rFonts w:hint="eastAsia" w:ascii="方正仿宋_GBK" w:hAnsi="方正仿宋_GBK" w:eastAsia="方正仿宋_GBK" w:cs="方正仿宋_GBK"/>
          <w:sz w:val="15"/>
          <w:szCs w:val="15"/>
        </w:rPr>
      </w:pPr>
    </w:p>
    <w:p w14:paraId="46774D9F">
      <w:pPr>
        <w:bidi w:val="0"/>
        <w:rPr>
          <w:rFonts w:hint="eastAsia" w:asciiTheme="minorHAnsi" w:hAnsiTheme="minorHAnsi" w:eastAsiaTheme="minorEastAsia" w:cstheme="minorBidi"/>
          <w:kern w:val="2"/>
          <w:sz w:val="21"/>
          <w:szCs w:val="24"/>
          <w:lang w:val="en-US" w:eastAsia="zh-CN" w:bidi="ar-SA"/>
        </w:rPr>
      </w:pPr>
    </w:p>
    <w:p w14:paraId="03FF5D4B">
      <w:pPr>
        <w:bidi w:val="0"/>
        <w:rPr>
          <w:rFonts w:hint="eastAsia"/>
          <w:lang w:val="en-US" w:eastAsia="zh-CN"/>
        </w:rPr>
      </w:pPr>
    </w:p>
    <w:p w14:paraId="3B80DF5D">
      <w:pPr>
        <w:bidi w:val="0"/>
        <w:rPr>
          <w:rFonts w:hint="eastAsia"/>
          <w:lang w:val="en-US" w:eastAsia="zh-CN"/>
        </w:rPr>
      </w:pPr>
    </w:p>
    <w:p w14:paraId="537E1D7A">
      <w:pPr>
        <w:bidi w:val="0"/>
        <w:rPr>
          <w:rFonts w:hint="eastAsia"/>
          <w:lang w:val="en-US" w:eastAsia="zh-CN"/>
        </w:rPr>
      </w:pPr>
    </w:p>
    <w:p w14:paraId="0970A6F5">
      <w:pPr>
        <w:bidi w:val="0"/>
        <w:rPr>
          <w:rFonts w:hint="eastAsia"/>
          <w:lang w:val="en-US" w:eastAsia="zh-CN"/>
        </w:rPr>
      </w:pPr>
    </w:p>
    <w:p w14:paraId="154825B8">
      <w:pPr>
        <w:bidi w:val="0"/>
        <w:rPr>
          <w:rFonts w:hint="eastAsia"/>
          <w:lang w:val="en-US" w:eastAsia="zh-CN"/>
        </w:rPr>
      </w:pPr>
    </w:p>
    <w:p w14:paraId="0002F289">
      <w:pPr>
        <w:bidi w:val="0"/>
        <w:rPr>
          <w:rFonts w:hint="eastAsia"/>
          <w:lang w:val="en-US" w:eastAsia="zh-CN"/>
        </w:rPr>
      </w:pPr>
    </w:p>
    <w:p w14:paraId="62768EEE">
      <w:pPr>
        <w:bidi w:val="0"/>
        <w:rPr>
          <w:rFonts w:hint="eastAsia"/>
          <w:lang w:val="en-US" w:eastAsia="zh-CN"/>
        </w:rPr>
      </w:pPr>
    </w:p>
    <w:p w14:paraId="7CF83FB8">
      <w:pPr>
        <w:bidi w:val="0"/>
        <w:rPr>
          <w:rFonts w:hint="eastAsia"/>
          <w:lang w:val="en-US" w:eastAsia="zh-CN"/>
        </w:rPr>
      </w:pPr>
    </w:p>
    <w:p w14:paraId="060A542A">
      <w:pPr>
        <w:bidi w:val="0"/>
        <w:rPr>
          <w:rFonts w:hint="eastAsia"/>
          <w:lang w:val="en-US" w:eastAsia="zh-CN"/>
        </w:rPr>
      </w:pPr>
    </w:p>
    <w:p w14:paraId="042ECA68">
      <w:pPr>
        <w:bidi w:val="0"/>
        <w:rPr>
          <w:rFonts w:hint="eastAsia"/>
          <w:lang w:val="en-US" w:eastAsia="zh-CN"/>
        </w:rPr>
      </w:pPr>
    </w:p>
    <w:p w14:paraId="477E25EB">
      <w:pPr>
        <w:bidi w:val="0"/>
        <w:rPr>
          <w:rFonts w:hint="eastAsia"/>
          <w:lang w:val="en-US" w:eastAsia="zh-CN"/>
        </w:rPr>
      </w:pPr>
    </w:p>
    <w:p w14:paraId="5DF508EE">
      <w:pPr>
        <w:bidi w:val="0"/>
        <w:rPr>
          <w:rFonts w:hint="eastAsia"/>
          <w:lang w:val="en-US" w:eastAsia="zh-CN"/>
        </w:rPr>
      </w:pPr>
    </w:p>
    <w:p w14:paraId="4C534857">
      <w:pPr>
        <w:bidi w:val="0"/>
        <w:rPr>
          <w:rFonts w:hint="eastAsia"/>
          <w:lang w:val="en-US" w:eastAsia="zh-CN"/>
        </w:rPr>
      </w:pPr>
    </w:p>
    <w:p w14:paraId="5B1C401D">
      <w:pPr>
        <w:bidi w:val="0"/>
        <w:rPr>
          <w:rFonts w:hint="eastAsia"/>
          <w:lang w:val="en-US" w:eastAsia="zh-CN"/>
        </w:rPr>
      </w:pPr>
    </w:p>
    <w:p w14:paraId="06621F90">
      <w:pPr>
        <w:bidi w:val="0"/>
        <w:rPr>
          <w:rFonts w:hint="eastAsia"/>
          <w:lang w:val="en-US" w:eastAsia="zh-CN"/>
        </w:rPr>
      </w:pPr>
    </w:p>
    <w:p w14:paraId="178DC08F">
      <w:pPr>
        <w:bidi w:val="0"/>
        <w:rPr>
          <w:rFonts w:hint="eastAsia"/>
          <w:lang w:val="en-US" w:eastAsia="zh-CN"/>
        </w:rPr>
      </w:pPr>
    </w:p>
    <w:p w14:paraId="1B5BDAAB">
      <w:pPr>
        <w:bidi w:val="0"/>
        <w:rPr>
          <w:rFonts w:hint="eastAsia"/>
          <w:lang w:val="en-US" w:eastAsia="zh-CN"/>
        </w:rPr>
      </w:pPr>
    </w:p>
    <w:p w14:paraId="0ECE5E21">
      <w:pPr>
        <w:bidi w:val="0"/>
        <w:rPr>
          <w:rFonts w:hint="eastAsia"/>
          <w:lang w:val="en-US" w:eastAsia="zh-CN"/>
        </w:rPr>
      </w:pPr>
    </w:p>
    <w:p w14:paraId="1FDAF5B5">
      <w:pPr>
        <w:bidi w:val="0"/>
        <w:rPr>
          <w:rFonts w:hint="eastAsia"/>
          <w:lang w:val="en-US" w:eastAsia="zh-CN"/>
        </w:rPr>
      </w:pPr>
    </w:p>
    <w:p w14:paraId="38DBFCD5">
      <w:pPr>
        <w:bidi w:val="0"/>
        <w:rPr>
          <w:rFonts w:hint="eastAsia"/>
          <w:lang w:val="en-US" w:eastAsia="zh-CN"/>
        </w:rPr>
      </w:pPr>
    </w:p>
    <w:p w14:paraId="05BC2162">
      <w:pPr>
        <w:bidi w:val="0"/>
        <w:rPr>
          <w:rFonts w:hint="eastAsia"/>
          <w:lang w:val="en-US" w:eastAsia="zh-CN"/>
        </w:rPr>
      </w:pPr>
    </w:p>
    <w:p w14:paraId="36A8FDC7">
      <w:pPr>
        <w:bidi w:val="0"/>
        <w:rPr>
          <w:rFonts w:hint="eastAsia"/>
          <w:lang w:val="en-US" w:eastAsia="zh-CN"/>
        </w:rPr>
      </w:pPr>
    </w:p>
    <w:p w14:paraId="276516EB">
      <w:pPr>
        <w:bidi w:val="0"/>
        <w:rPr>
          <w:rFonts w:hint="eastAsia"/>
          <w:lang w:val="en-US" w:eastAsia="zh-CN"/>
        </w:rPr>
      </w:pPr>
    </w:p>
    <w:p w14:paraId="43F54FE7">
      <w:pPr>
        <w:bidi w:val="0"/>
        <w:rPr>
          <w:rFonts w:hint="eastAsia"/>
          <w:lang w:val="en-US" w:eastAsia="zh-CN"/>
        </w:rPr>
      </w:pPr>
    </w:p>
    <w:p w14:paraId="6EDBF2E4">
      <w:pPr>
        <w:bidi w:val="0"/>
        <w:rPr>
          <w:rFonts w:hint="eastAsia"/>
          <w:lang w:val="en-US" w:eastAsia="zh-CN"/>
        </w:rPr>
      </w:pPr>
    </w:p>
    <w:p w14:paraId="3E8E166C">
      <w:pPr>
        <w:keepNext w:val="0"/>
        <w:keepLines w:val="0"/>
        <w:pageBreakBefore w:val="0"/>
        <w:kinsoku/>
        <w:wordWrap/>
        <w:overflowPunct/>
        <w:topLinePunct w:val="0"/>
        <w:autoSpaceDE/>
        <w:autoSpaceDN/>
        <w:bidi w:val="0"/>
        <w:adjustRightInd/>
        <w:snapToGrid/>
        <w:spacing w:line="720" w:lineRule="auto"/>
        <w:jc w:val="center"/>
        <w:rPr>
          <w:rFonts w:hint="eastAsia"/>
          <w:lang w:val="en-US" w:eastAsia="zh-CN"/>
        </w:rPr>
      </w:pPr>
      <w:r>
        <w:rPr>
          <w:rFonts w:hint="eastAsia"/>
          <w:lang w:val="en-US" w:eastAsia="zh-CN"/>
        </w:rPr>
        <w:tab/>
      </w:r>
    </w:p>
    <w:p w14:paraId="1DBF760E">
      <w:pPr>
        <w:keepNext w:val="0"/>
        <w:keepLines w:val="0"/>
        <w:pageBreakBefore w:val="0"/>
        <w:kinsoku/>
        <w:wordWrap/>
        <w:overflowPunct/>
        <w:topLinePunct w:val="0"/>
        <w:autoSpaceDE/>
        <w:autoSpaceDN/>
        <w:bidi w:val="0"/>
        <w:adjustRightInd/>
        <w:snapToGrid/>
        <w:spacing w:line="720" w:lineRule="auto"/>
        <w:jc w:val="center"/>
        <w:rPr>
          <w:rFonts w:hint="eastAsia"/>
          <w:lang w:val="en-US" w:eastAsia="zh-CN"/>
        </w:rPr>
      </w:pPr>
    </w:p>
    <w:p w14:paraId="1026322C">
      <w:pPr>
        <w:keepNext w:val="0"/>
        <w:keepLines w:val="0"/>
        <w:pageBreakBefore w:val="0"/>
        <w:kinsoku/>
        <w:wordWrap/>
        <w:overflowPunct/>
        <w:topLinePunct w:val="0"/>
        <w:autoSpaceDE/>
        <w:autoSpaceDN/>
        <w:bidi w:val="0"/>
        <w:adjustRightInd/>
        <w:snapToGrid/>
        <w:spacing w:line="720" w:lineRule="auto"/>
        <w:jc w:val="center"/>
        <w:rPr>
          <w:rFonts w:hint="eastAsia"/>
          <w:lang w:val="en-US" w:eastAsia="zh-CN"/>
        </w:rPr>
      </w:pPr>
    </w:p>
    <w:p w14:paraId="4E503EFA">
      <w:pPr>
        <w:keepNext w:val="0"/>
        <w:keepLines w:val="0"/>
        <w:pageBreakBefore w:val="0"/>
        <w:kinsoku/>
        <w:wordWrap/>
        <w:overflowPunct/>
        <w:topLinePunct w:val="0"/>
        <w:autoSpaceDE/>
        <w:autoSpaceDN/>
        <w:bidi w:val="0"/>
        <w:adjustRightInd/>
        <w:snapToGrid/>
        <w:spacing w:line="720" w:lineRule="auto"/>
        <w:jc w:val="center"/>
        <w:rPr>
          <w:rFonts w:hint="eastAsia"/>
          <w:lang w:val="en-US" w:eastAsia="zh-CN"/>
        </w:rPr>
      </w:pPr>
    </w:p>
    <w:p w14:paraId="611EEF55">
      <w:pPr>
        <w:keepNext w:val="0"/>
        <w:keepLines w:val="0"/>
        <w:pageBreakBefore w:val="0"/>
        <w:kinsoku/>
        <w:wordWrap/>
        <w:overflowPunct/>
        <w:topLinePunct w:val="0"/>
        <w:autoSpaceDE/>
        <w:autoSpaceDN/>
        <w:bidi w:val="0"/>
        <w:adjustRightInd/>
        <w:snapToGrid/>
        <w:spacing w:line="720" w:lineRule="auto"/>
        <w:jc w:val="center"/>
        <w:rPr>
          <w:rFonts w:hint="eastAsia"/>
          <w:lang w:val="en-US" w:eastAsia="zh-CN"/>
        </w:rPr>
      </w:pPr>
    </w:p>
    <w:p w14:paraId="4256EA1A">
      <w:pPr>
        <w:keepNext w:val="0"/>
        <w:keepLines w:val="0"/>
        <w:pageBreakBefore w:val="0"/>
        <w:kinsoku/>
        <w:wordWrap/>
        <w:overflowPunct/>
        <w:topLinePunct w:val="0"/>
        <w:autoSpaceDE/>
        <w:autoSpaceDN/>
        <w:bidi w:val="0"/>
        <w:adjustRightInd/>
        <w:snapToGrid/>
        <w:spacing w:line="720" w:lineRule="auto"/>
        <w:jc w:val="center"/>
        <w:rPr>
          <w:rFonts w:hint="eastAsia" w:ascii="方正仿宋_GBK" w:hAnsi="方正仿宋_GBK" w:eastAsia="方正仿宋_GBK" w:cs="方正仿宋_GBK"/>
          <w:sz w:val="15"/>
          <w:szCs w:val="15"/>
        </w:rPr>
      </w:pPr>
      <w:r>
        <w:rPr>
          <w:rFonts w:hint="eastAsia" w:ascii="方正小标宋_GBK" w:hAnsi="方正小标宋_GBK" w:eastAsia="方正小标宋_GBK" w:cs="方正小标宋_GBK"/>
          <w:sz w:val="44"/>
          <w:szCs w:val="44"/>
        </w:rPr>
        <w:t>米东区民政局权责清单（</w:t>
      </w:r>
      <w:r>
        <w:rPr>
          <w:rFonts w:hint="eastAsia" w:ascii="方正小标宋_GBK" w:hAnsi="方正小标宋_GBK" w:eastAsia="方正小标宋_GBK" w:cs="方正小标宋_GBK"/>
          <w:sz w:val="44"/>
          <w:szCs w:val="44"/>
          <w:lang w:eastAsia="zh-CN"/>
        </w:rPr>
        <w:t>其他行政权力类</w:t>
      </w:r>
      <w:r>
        <w:rPr>
          <w:rFonts w:hint="eastAsia" w:ascii="方正小标宋_GBK" w:hAnsi="方正小标宋_GBK" w:eastAsia="方正小标宋_GBK" w:cs="方正小标宋_GBK"/>
          <w:sz w:val="44"/>
          <w:szCs w:val="44"/>
        </w:rPr>
        <w:t>）</w:t>
      </w:r>
    </w:p>
    <w:p w14:paraId="33C61BBD">
      <w:pPr>
        <w:tabs>
          <w:tab w:val="left" w:pos="12364"/>
        </w:tabs>
        <w:bidi w:val="0"/>
        <w:jc w:val="left"/>
        <w:rPr>
          <w:rFonts w:hint="eastAsia"/>
          <w:lang w:val="en-US" w:eastAsia="zh-CN"/>
        </w:rPr>
      </w:pPr>
    </w:p>
    <w:tbl>
      <w:tblPr>
        <w:tblStyle w:val="5"/>
        <w:tblW w:w="18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948"/>
        <w:gridCol w:w="435"/>
        <w:gridCol w:w="2051"/>
        <w:gridCol w:w="2535"/>
        <w:gridCol w:w="504"/>
        <w:gridCol w:w="1632"/>
        <w:gridCol w:w="510"/>
        <w:gridCol w:w="705"/>
        <w:gridCol w:w="555"/>
        <w:gridCol w:w="555"/>
        <w:gridCol w:w="1106"/>
        <w:gridCol w:w="1783"/>
        <w:gridCol w:w="2580"/>
        <w:gridCol w:w="975"/>
        <w:gridCol w:w="1500"/>
      </w:tblGrid>
      <w:tr w14:paraId="125F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jc w:val="center"/>
        </w:trPr>
        <w:tc>
          <w:tcPr>
            <w:tcW w:w="600" w:type="dxa"/>
            <w:shd w:val="clear" w:color="auto" w:fill="auto"/>
            <w:vAlign w:val="center"/>
          </w:tcPr>
          <w:p w14:paraId="3411E2C3">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序号</w:t>
            </w:r>
          </w:p>
        </w:tc>
        <w:tc>
          <w:tcPr>
            <w:tcW w:w="948" w:type="dxa"/>
            <w:shd w:val="clear" w:color="auto" w:fill="auto"/>
            <w:vAlign w:val="center"/>
          </w:tcPr>
          <w:p w14:paraId="14591EBF">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事项名称</w:t>
            </w:r>
          </w:p>
        </w:tc>
        <w:tc>
          <w:tcPr>
            <w:tcW w:w="435" w:type="dxa"/>
            <w:shd w:val="clear" w:color="auto" w:fill="auto"/>
            <w:vAlign w:val="center"/>
          </w:tcPr>
          <w:p w14:paraId="5A42F4E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2051" w:type="dxa"/>
            <w:shd w:val="clear" w:color="auto" w:fill="auto"/>
            <w:vAlign w:val="center"/>
          </w:tcPr>
          <w:p w14:paraId="00B9F11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2535" w:type="dxa"/>
            <w:shd w:val="clear" w:color="auto" w:fill="auto"/>
            <w:vAlign w:val="center"/>
          </w:tcPr>
          <w:p w14:paraId="065514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2136" w:type="dxa"/>
            <w:gridSpan w:val="2"/>
            <w:shd w:val="clear" w:color="auto" w:fill="auto"/>
            <w:vAlign w:val="center"/>
          </w:tcPr>
          <w:p w14:paraId="7E5274E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510" w:type="dxa"/>
            <w:shd w:val="clear" w:color="auto" w:fill="auto"/>
            <w:vAlign w:val="center"/>
          </w:tcPr>
          <w:p w14:paraId="052FB63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260" w:type="dxa"/>
            <w:gridSpan w:val="2"/>
            <w:shd w:val="clear" w:color="auto" w:fill="auto"/>
            <w:vAlign w:val="center"/>
          </w:tcPr>
          <w:p w14:paraId="1C2CBB4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555" w:type="dxa"/>
            <w:shd w:val="clear" w:color="auto" w:fill="auto"/>
            <w:vAlign w:val="center"/>
          </w:tcPr>
          <w:p w14:paraId="5BA2E8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106" w:type="dxa"/>
            <w:shd w:val="clear" w:color="auto" w:fill="auto"/>
            <w:vAlign w:val="center"/>
          </w:tcPr>
          <w:p w14:paraId="0C82E4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783" w:type="dxa"/>
            <w:shd w:val="clear" w:color="auto" w:fill="auto"/>
            <w:vAlign w:val="center"/>
          </w:tcPr>
          <w:p w14:paraId="1FA3CB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2580" w:type="dxa"/>
            <w:shd w:val="clear" w:color="auto" w:fill="auto"/>
            <w:vAlign w:val="center"/>
          </w:tcPr>
          <w:p w14:paraId="71FBDAE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975" w:type="dxa"/>
            <w:shd w:val="clear" w:color="auto" w:fill="auto"/>
            <w:vAlign w:val="center"/>
          </w:tcPr>
          <w:p w14:paraId="6E09041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1500" w:type="dxa"/>
            <w:shd w:val="clear" w:color="auto" w:fill="auto"/>
            <w:vAlign w:val="center"/>
          </w:tcPr>
          <w:p w14:paraId="3080C4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5CED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0" w:hRule="atLeast"/>
          <w:jc w:val="center"/>
        </w:trPr>
        <w:tc>
          <w:tcPr>
            <w:tcW w:w="600" w:type="dxa"/>
            <w:vAlign w:val="center"/>
          </w:tcPr>
          <w:p w14:paraId="702692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948" w:type="dxa"/>
            <w:vAlign w:val="center"/>
          </w:tcPr>
          <w:p w14:paraId="3B87238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社会组织的评估</w:t>
            </w:r>
          </w:p>
        </w:tc>
        <w:tc>
          <w:tcPr>
            <w:tcW w:w="435" w:type="dxa"/>
            <w:vAlign w:val="center"/>
          </w:tcPr>
          <w:p w14:paraId="1A3C5313">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8"/>
                <w:szCs w:val="18"/>
                <w:vertAlign w:val="baseline"/>
              </w:rPr>
            </w:pPr>
          </w:p>
        </w:tc>
        <w:tc>
          <w:tcPr>
            <w:tcW w:w="2051" w:type="dxa"/>
            <w:vAlign w:val="center"/>
          </w:tcPr>
          <w:p w14:paraId="2ABB08F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其他行政权力</w:t>
            </w:r>
          </w:p>
        </w:tc>
        <w:tc>
          <w:tcPr>
            <w:tcW w:w="2535" w:type="dxa"/>
            <w:vAlign w:val="center"/>
          </w:tcPr>
          <w:p w14:paraId="3D1933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【规章】《社会组织评估管理办法》（2010年12月27日中华人民共和国民政部令第39号）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第五条：各级人民政府民政部门按照登记管理权限，负责本级社会组织评估工作的领导，并对下一级人民政府民政部门社会组织评估工作进行指导。</w:t>
            </w:r>
          </w:p>
        </w:tc>
        <w:tc>
          <w:tcPr>
            <w:tcW w:w="2136" w:type="dxa"/>
            <w:gridSpan w:val="2"/>
            <w:vAlign w:val="center"/>
          </w:tcPr>
          <w:p w14:paraId="6F8206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区民政局</w:t>
            </w:r>
          </w:p>
        </w:tc>
        <w:tc>
          <w:tcPr>
            <w:tcW w:w="510" w:type="dxa"/>
            <w:vAlign w:val="center"/>
          </w:tcPr>
          <w:p w14:paraId="5B25FE3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社会组织办公室</w:t>
            </w:r>
          </w:p>
        </w:tc>
        <w:tc>
          <w:tcPr>
            <w:tcW w:w="705" w:type="dxa"/>
            <w:vAlign w:val="center"/>
          </w:tcPr>
          <w:p w14:paraId="052EFE9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区级</w:t>
            </w:r>
          </w:p>
        </w:tc>
        <w:tc>
          <w:tcPr>
            <w:tcW w:w="555" w:type="dxa"/>
            <w:shd w:val="clear" w:color="auto" w:fill="auto"/>
            <w:vAlign w:val="center"/>
          </w:tcPr>
          <w:p w14:paraId="7035C6A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负责行政区域内社会组织的评估</w:t>
            </w:r>
          </w:p>
        </w:tc>
        <w:tc>
          <w:tcPr>
            <w:tcW w:w="555" w:type="dxa"/>
            <w:shd w:val="clear" w:color="auto" w:fill="auto"/>
            <w:vAlign w:val="center"/>
          </w:tcPr>
          <w:p w14:paraId="2EFC8A0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负责行政区域内社会组织登记管理和执法监督检查工作。</w:t>
            </w:r>
          </w:p>
        </w:tc>
        <w:tc>
          <w:tcPr>
            <w:tcW w:w="1106" w:type="dxa"/>
            <w:shd w:val="clear" w:color="auto" w:fill="auto"/>
            <w:vAlign w:val="center"/>
          </w:tcPr>
          <w:p w14:paraId="0732CDB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1.完善本行政区域内备案工作标准，并进一步规范。</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2.监督责任。建立健全监督制度，对本行政区域内的备案活动进行监督检查。</w:t>
            </w:r>
          </w:p>
        </w:tc>
        <w:tc>
          <w:tcPr>
            <w:tcW w:w="1783" w:type="dxa"/>
            <w:shd w:val="clear" w:color="auto" w:fill="auto"/>
            <w:vAlign w:val="center"/>
          </w:tcPr>
          <w:p w14:paraId="4BA9882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【规章】《社会组织评估管理办法》（2010年12月27日中华人民共和国民政部令第39号）</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第十六条：社会组织评估工作按照下列程序进行：</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（一）发布评估通知或公告；</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（二）审核社会组织参加评估资格；</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（三）组织实施实地考察和提出初步评估意见；</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（四）审核初步评估意见并确定评估等级；</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（五）公示评估结果并向社会组织送达通知书；</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（六）受理复核申请和举报；</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（七）民政部门确认社会组织评估等级，发布公告，并向获得5A以上评估等级的社会组织颁发证书和牌匾。</w:t>
            </w:r>
          </w:p>
        </w:tc>
        <w:tc>
          <w:tcPr>
            <w:tcW w:w="2580" w:type="dxa"/>
            <w:shd w:val="clear" w:color="auto" w:fill="auto"/>
            <w:vAlign w:val="center"/>
          </w:tcPr>
          <w:p w14:paraId="19FE397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975" w:type="dxa"/>
            <w:shd w:val="clear" w:color="auto" w:fill="auto"/>
            <w:vAlign w:val="center"/>
          </w:tcPr>
          <w:p w14:paraId="7ECBD21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8"/>
                <w:szCs w:val="18"/>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1.侵犯社会组织合法权益的；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2.对评估中发现问题，不及时处理的；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3.在社会组织评估过程中发生腐败行为的；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4.在评估工作中未履行职责或者弄虚作假、徇私舞弊的；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5.其他违反法律法规规章文件规定的行为。</w:t>
            </w:r>
          </w:p>
        </w:tc>
        <w:tc>
          <w:tcPr>
            <w:tcW w:w="1500" w:type="dxa"/>
            <w:vAlign w:val="center"/>
          </w:tcPr>
          <w:p w14:paraId="0428D9A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8"/>
                <w:szCs w:val="18"/>
                <w:lang w:val="en-US" w:eastAsia="zh-CN"/>
              </w:rPr>
            </w:pPr>
          </w:p>
        </w:tc>
      </w:tr>
      <w:tr w14:paraId="62B4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6" w:hRule="atLeast"/>
          <w:jc w:val="center"/>
        </w:trPr>
        <w:tc>
          <w:tcPr>
            <w:tcW w:w="600" w:type="dxa"/>
            <w:shd w:val="clear" w:color="auto" w:fill="auto"/>
            <w:vAlign w:val="center"/>
          </w:tcPr>
          <w:p w14:paraId="1E7E8EB9">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序号</w:t>
            </w:r>
          </w:p>
        </w:tc>
        <w:tc>
          <w:tcPr>
            <w:tcW w:w="948" w:type="dxa"/>
            <w:shd w:val="clear" w:color="auto" w:fill="auto"/>
            <w:vAlign w:val="center"/>
          </w:tcPr>
          <w:p w14:paraId="6D31CCB2">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事项名称</w:t>
            </w:r>
          </w:p>
        </w:tc>
        <w:tc>
          <w:tcPr>
            <w:tcW w:w="435" w:type="dxa"/>
            <w:shd w:val="clear" w:color="auto" w:fill="auto"/>
            <w:vAlign w:val="center"/>
          </w:tcPr>
          <w:p w14:paraId="3711DA8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2051" w:type="dxa"/>
            <w:shd w:val="clear" w:color="auto" w:fill="auto"/>
            <w:vAlign w:val="center"/>
          </w:tcPr>
          <w:p w14:paraId="2C78931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2535" w:type="dxa"/>
            <w:shd w:val="clear" w:color="auto" w:fill="auto"/>
            <w:vAlign w:val="center"/>
          </w:tcPr>
          <w:p w14:paraId="4971293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504" w:type="dxa"/>
            <w:shd w:val="clear" w:color="auto" w:fill="auto"/>
            <w:vAlign w:val="center"/>
          </w:tcPr>
          <w:p w14:paraId="794BB26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2142" w:type="dxa"/>
            <w:gridSpan w:val="2"/>
            <w:shd w:val="clear" w:color="auto" w:fill="auto"/>
            <w:vAlign w:val="center"/>
          </w:tcPr>
          <w:p w14:paraId="3D7EE71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260" w:type="dxa"/>
            <w:gridSpan w:val="2"/>
            <w:shd w:val="clear" w:color="auto" w:fill="auto"/>
            <w:vAlign w:val="center"/>
          </w:tcPr>
          <w:p w14:paraId="1A51B0A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555" w:type="dxa"/>
            <w:shd w:val="clear" w:color="auto" w:fill="auto"/>
            <w:vAlign w:val="center"/>
          </w:tcPr>
          <w:p w14:paraId="3D4863F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106" w:type="dxa"/>
            <w:shd w:val="clear" w:color="auto" w:fill="auto"/>
            <w:vAlign w:val="center"/>
          </w:tcPr>
          <w:p w14:paraId="7290237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783" w:type="dxa"/>
            <w:shd w:val="clear" w:color="auto" w:fill="auto"/>
            <w:vAlign w:val="center"/>
          </w:tcPr>
          <w:p w14:paraId="04F79C3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2580" w:type="dxa"/>
            <w:shd w:val="clear" w:color="auto" w:fill="auto"/>
            <w:vAlign w:val="center"/>
          </w:tcPr>
          <w:p w14:paraId="3AEAEA9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975" w:type="dxa"/>
            <w:shd w:val="clear" w:color="auto" w:fill="auto"/>
            <w:vAlign w:val="center"/>
          </w:tcPr>
          <w:p w14:paraId="40C8509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1500" w:type="dxa"/>
            <w:shd w:val="clear" w:color="auto" w:fill="auto"/>
            <w:vAlign w:val="center"/>
          </w:tcPr>
          <w:p w14:paraId="50E78E1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7ABF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1" w:hRule="atLeast"/>
          <w:jc w:val="center"/>
        </w:trPr>
        <w:tc>
          <w:tcPr>
            <w:tcW w:w="600" w:type="dxa"/>
            <w:vAlign w:val="center"/>
          </w:tcPr>
          <w:p w14:paraId="060EA1B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lang w:val="en-US" w:eastAsia="zh-CN"/>
              </w:rPr>
            </w:pPr>
            <w:r>
              <w:rPr>
                <w:rFonts w:hint="eastAsia" w:ascii="方正仿宋_GBK" w:hAnsi="方正仿宋_GBK" w:eastAsia="方正仿宋_GBK" w:cs="方正仿宋_GBK"/>
                <w:i w:val="0"/>
                <w:iCs w:val="0"/>
                <w:color w:val="000000"/>
                <w:kern w:val="0"/>
                <w:sz w:val="15"/>
                <w:szCs w:val="15"/>
                <w:u w:val="none"/>
                <w:lang w:val="en-US" w:eastAsia="zh-CN" w:bidi="ar"/>
              </w:rPr>
              <w:t>2</w:t>
            </w:r>
          </w:p>
        </w:tc>
        <w:tc>
          <w:tcPr>
            <w:tcW w:w="948" w:type="dxa"/>
            <w:vAlign w:val="center"/>
          </w:tcPr>
          <w:p w14:paraId="5EB6509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地名命名、更名审核</w:t>
            </w:r>
          </w:p>
        </w:tc>
        <w:tc>
          <w:tcPr>
            <w:tcW w:w="435" w:type="dxa"/>
            <w:vAlign w:val="center"/>
          </w:tcPr>
          <w:p w14:paraId="0C7F34EE">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5"/>
                <w:szCs w:val="15"/>
                <w:vertAlign w:val="baseline"/>
              </w:rPr>
            </w:pPr>
          </w:p>
        </w:tc>
        <w:tc>
          <w:tcPr>
            <w:tcW w:w="2051" w:type="dxa"/>
            <w:vAlign w:val="center"/>
          </w:tcPr>
          <w:p w14:paraId="5E4A747D">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其他行政权力</w:t>
            </w:r>
          </w:p>
        </w:tc>
        <w:tc>
          <w:tcPr>
            <w:tcW w:w="2535" w:type="dxa"/>
            <w:vAlign w:val="center"/>
          </w:tcPr>
          <w:p w14:paraId="492DC0C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【规章】《地名管理条例实施细则》（1996年6月18日中华人民共和国民政部民行发〔1996〕17号）</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七条：县级以上民政管理部门(或地名委员会）主管本行政区域的地名工作。其职责是：贯彻执行国家关于地名工作的方针、政策、法律、法规；落实全国地名工作规划；审核、承办本辖区地名的命名、更名；推行地名的标准化、规范化；设置地名标志；管理地名档案；完成国家其它地名工作任务。</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【规章】《新疆维吾尔自治区地名管理办法》（2011年8月10日新疆维吾尔自治区人民政府令第171号公布，自2011年10月1日起施行）</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第六条：地名命名、更名的审批权限和程序，应当遵守下列规定:</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(一)行政区划名称，按照国务院《关于行政区划管理的规定》的规定审批，乡(镇)名称，由州、市人民政府、地区行政公署提出意见，报自治区人民政府审批;</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二)国内外著名的或者涉及国界走向、省级界线的自然地理实体名称，由自治区人民政府提出意见，报国务院审批;自治区内著名的自然地理实体名称，由所在地州、市人民政府、地区行政公署提出意见，报自治区人民政府审批;其他自然地理实体名称，由所在地县(市)民政部门提出意见，报本级人民政府审批;跨州、市(地)、县(市、区)的自然地理实体名称，由有关人民政府或者地区行政公署提出意见，报共同上一级人民政府审批;</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(三)居民地名称、门楼牌号名称，由县(市)民政部门提出意见，报本级人民政府审批;</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(四)具有地名意义的专业设施、市政设施、基础设施、公共场所、文化设施名称，由有关行政主管部门审批，向同级民政部门备案。</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第七条：新建居民区以及具有地名意义的建筑物名称，建设单位在办理项目规划审批前，应当向所在地县(市)民政部门办理地名登记审核手续。</w:t>
            </w:r>
          </w:p>
        </w:tc>
        <w:tc>
          <w:tcPr>
            <w:tcW w:w="504" w:type="dxa"/>
            <w:vAlign w:val="center"/>
          </w:tcPr>
          <w:p w14:paraId="4684AA3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区民政局</w:t>
            </w:r>
          </w:p>
        </w:tc>
        <w:tc>
          <w:tcPr>
            <w:tcW w:w="2142" w:type="dxa"/>
            <w:gridSpan w:val="2"/>
            <w:vAlign w:val="center"/>
          </w:tcPr>
          <w:p w14:paraId="1C78ED9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区划地名办公室</w:t>
            </w:r>
          </w:p>
        </w:tc>
        <w:tc>
          <w:tcPr>
            <w:tcW w:w="705" w:type="dxa"/>
            <w:vAlign w:val="center"/>
          </w:tcPr>
          <w:p w14:paraId="2AD252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区级</w:t>
            </w:r>
          </w:p>
        </w:tc>
        <w:tc>
          <w:tcPr>
            <w:tcW w:w="555" w:type="dxa"/>
            <w:shd w:val="clear" w:color="auto" w:fill="auto"/>
            <w:vAlign w:val="center"/>
          </w:tcPr>
          <w:p w14:paraId="2EA1395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负责权限内地名的审核</w:t>
            </w:r>
          </w:p>
        </w:tc>
        <w:tc>
          <w:tcPr>
            <w:tcW w:w="555" w:type="dxa"/>
            <w:shd w:val="clear" w:color="auto" w:fill="auto"/>
            <w:vAlign w:val="center"/>
          </w:tcPr>
          <w:p w14:paraId="2F9C866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开展地名管理审核工作</w:t>
            </w:r>
          </w:p>
        </w:tc>
        <w:tc>
          <w:tcPr>
            <w:tcW w:w="1106" w:type="dxa"/>
            <w:shd w:val="clear" w:color="auto" w:fill="auto"/>
            <w:vAlign w:val="center"/>
          </w:tcPr>
          <w:p w14:paraId="4D0197C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直接实施责任：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1.完善本行政区域内备案工作标准，并进一步规范。</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2.监督责任。建立健全监督制度，对本行政区域内的备案活动进行监督检查。</w:t>
            </w:r>
          </w:p>
        </w:tc>
        <w:tc>
          <w:tcPr>
            <w:tcW w:w="1783" w:type="dxa"/>
            <w:shd w:val="clear" w:color="auto" w:fill="auto"/>
            <w:vAlign w:val="center"/>
          </w:tcPr>
          <w:p w14:paraId="4B8AD0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【规章】《地名管理条例实施细则》（1996年6月18日中华人民共和国民政部民行发〔1996〕17号）</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第十条：地名命名、更名的审批权限按照《地名管理条例》第六条（一）至（七）项规定办理。</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第十一条：申报地名的命名、更名时，应将命名、更名的理由及拟采用的新名的含义、来源等一并加以说明。</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十二条：地名的命名、更名由地名管理部门负责承办。行政区域名称的命名、更名，由行政区和地名管理部门共同协商承办。专业部门使用的具有地名意义的名称，其命名、更名由该专业部门负责承办，但应事先征得当地地名管理部门的同意。</w:t>
            </w:r>
          </w:p>
        </w:tc>
        <w:tc>
          <w:tcPr>
            <w:tcW w:w="2580" w:type="dxa"/>
            <w:shd w:val="clear" w:color="auto" w:fill="auto"/>
            <w:vAlign w:val="center"/>
          </w:tcPr>
          <w:p w14:paraId="446480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1.具体承办人；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2.内设机构负责人；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3.单位法定代表人或分管领导。</w:t>
            </w:r>
          </w:p>
        </w:tc>
        <w:tc>
          <w:tcPr>
            <w:tcW w:w="975" w:type="dxa"/>
            <w:shd w:val="clear" w:color="auto" w:fill="auto"/>
            <w:vAlign w:val="center"/>
          </w:tcPr>
          <w:p w14:paraId="7341204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1.违反法定程序，擅自批准的；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2.未认真审查申报材料，造成不良影响的；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3.审批后未建立完整的行政区划档案的； </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4.工作人员滥用职权、徇私舞弊、玩忽职守的；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5.在区划地名工作中发生腐败行为的；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6.其他违反法律法规规章文件规定的行为。</w:t>
            </w:r>
          </w:p>
        </w:tc>
        <w:tc>
          <w:tcPr>
            <w:tcW w:w="1500" w:type="dxa"/>
            <w:vAlign w:val="center"/>
          </w:tcPr>
          <w:p w14:paraId="50175FF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lang w:val="en-US" w:eastAsia="zh-CN"/>
              </w:rPr>
            </w:pPr>
          </w:p>
        </w:tc>
      </w:tr>
      <w:tr w14:paraId="51FB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600" w:type="dxa"/>
            <w:shd w:val="clear" w:color="auto" w:fill="auto"/>
            <w:vAlign w:val="center"/>
          </w:tcPr>
          <w:p w14:paraId="09CF8DEF">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序号</w:t>
            </w:r>
          </w:p>
        </w:tc>
        <w:tc>
          <w:tcPr>
            <w:tcW w:w="948" w:type="dxa"/>
            <w:shd w:val="clear" w:color="auto" w:fill="auto"/>
            <w:vAlign w:val="center"/>
          </w:tcPr>
          <w:p w14:paraId="38BFEFC0">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事项名称</w:t>
            </w:r>
          </w:p>
        </w:tc>
        <w:tc>
          <w:tcPr>
            <w:tcW w:w="435" w:type="dxa"/>
            <w:shd w:val="clear" w:color="auto" w:fill="auto"/>
            <w:vAlign w:val="center"/>
          </w:tcPr>
          <w:p w14:paraId="003F401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2051" w:type="dxa"/>
            <w:shd w:val="clear" w:color="auto" w:fill="auto"/>
            <w:vAlign w:val="center"/>
          </w:tcPr>
          <w:p w14:paraId="5B2D166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2535" w:type="dxa"/>
            <w:shd w:val="clear" w:color="auto" w:fill="auto"/>
            <w:vAlign w:val="center"/>
          </w:tcPr>
          <w:p w14:paraId="4759D9F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504" w:type="dxa"/>
            <w:shd w:val="clear" w:color="auto" w:fill="auto"/>
            <w:vAlign w:val="center"/>
          </w:tcPr>
          <w:p w14:paraId="62D14F9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2142" w:type="dxa"/>
            <w:gridSpan w:val="2"/>
            <w:shd w:val="clear" w:color="auto" w:fill="auto"/>
            <w:vAlign w:val="center"/>
          </w:tcPr>
          <w:p w14:paraId="718BB39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260" w:type="dxa"/>
            <w:gridSpan w:val="2"/>
            <w:shd w:val="clear" w:color="auto" w:fill="auto"/>
            <w:vAlign w:val="center"/>
          </w:tcPr>
          <w:p w14:paraId="70B1D80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555" w:type="dxa"/>
            <w:shd w:val="clear" w:color="auto" w:fill="auto"/>
            <w:vAlign w:val="center"/>
          </w:tcPr>
          <w:p w14:paraId="66D213F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106" w:type="dxa"/>
            <w:shd w:val="clear" w:color="auto" w:fill="auto"/>
            <w:vAlign w:val="center"/>
          </w:tcPr>
          <w:p w14:paraId="1A417C2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783" w:type="dxa"/>
            <w:shd w:val="clear" w:color="auto" w:fill="auto"/>
            <w:vAlign w:val="center"/>
          </w:tcPr>
          <w:p w14:paraId="25D4EC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2580" w:type="dxa"/>
            <w:shd w:val="clear" w:color="auto" w:fill="auto"/>
            <w:vAlign w:val="center"/>
          </w:tcPr>
          <w:p w14:paraId="1611428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975" w:type="dxa"/>
            <w:shd w:val="clear" w:color="auto" w:fill="auto"/>
            <w:vAlign w:val="center"/>
          </w:tcPr>
          <w:p w14:paraId="7B3FF35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1500" w:type="dxa"/>
            <w:shd w:val="clear" w:color="auto" w:fill="auto"/>
            <w:vAlign w:val="center"/>
          </w:tcPr>
          <w:p w14:paraId="401FB9F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0DC9E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0" w:hRule="atLeast"/>
          <w:jc w:val="center"/>
        </w:trPr>
        <w:tc>
          <w:tcPr>
            <w:tcW w:w="600" w:type="dxa"/>
            <w:vAlign w:val="center"/>
          </w:tcPr>
          <w:p w14:paraId="65177C4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lang w:val="en-US" w:eastAsia="zh-CN"/>
              </w:rPr>
            </w:pPr>
            <w:r>
              <w:rPr>
                <w:rFonts w:hint="eastAsia" w:ascii="方正仿宋_GBK" w:hAnsi="方正仿宋_GBK" w:eastAsia="方正仿宋_GBK" w:cs="方正仿宋_GBK"/>
                <w:i w:val="0"/>
                <w:iCs w:val="0"/>
                <w:color w:val="000000"/>
                <w:kern w:val="0"/>
                <w:sz w:val="15"/>
                <w:szCs w:val="15"/>
                <w:u w:val="none"/>
                <w:lang w:val="en-US" w:eastAsia="zh-CN" w:bidi="ar"/>
              </w:rPr>
              <w:t>3</w:t>
            </w:r>
          </w:p>
        </w:tc>
        <w:tc>
          <w:tcPr>
            <w:tcW w:w="948" w:type="dxa"/>
            <w:vAlign w:val="center"/>
          </w:tcPr>
          <w:p w14:paraId="0764C3C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行政区划变更的审核</w:t>
            </w:r>
          </w:p>
        </w:tc>
        <w:tc>
          <w:tcPr>
            <w:tcW w:w="435" w:type="dxa"/>
            <w:vAlign w:val="center"/>
          </w:tcPr>
          <w:p w14:paraId="5196D03E">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5"/>
                <w:szCs w:val="15"/>
                <w:vertAlign w:val="baseline"/>
              </w:rPr>
            </w:pPr>
          </w:p>
        </w:tc>
        <w:tc>
          <w:tcPr>
            <w:tcW w:w="2051" w:type="dxa"/>
            <w:vAlign w:val="center"/>
          </w:tcPr>
          <w:p w14:paraId="41F60EA4">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其他行政权力</w:t>
            </w:r>
          </w:p>
        </w:tc>
        <w:tc>
          <w:tcPr>
            <w:tcW w:w="2535" w:type="dxa"/>
            <w:vAlign w:val="center"/>
          </w:tcPr>
          <w:p w14:paraId="7588E09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 xml:space="preserve">【法规】《行政区划管理条例》（2018年10月10日中华人民共和国国务院令第704号，2019年1月1日起施行）     </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第四条第二款：县级以上地方人民政府民政部门负责本行政区域行政区划的具体管理工作。县级以上地方人民政府其他有关部门按照各自职责做好本行政区域行政区划相关的管理工作。</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第十一条第二款：镇、街道的设立标准，由省、自治区、直辖市人民政府民政部门会同本级人民政府其他有关部门拟订，报省、自治区、直辖市人民政府批准；批准设立标准时，同时报送国务院备案。</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第十四条：县级以上人民政府民政部门在承办行政区划变更的工作时，应当根据情况分别征求有关机构编制部门和本级人民政府的外事、发展改革、民族、财政、自然资源、住房城乡建设、      </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城乡规划等有关部门的意见；在承办民族自治地方的行政区划变更的工作时，应当同民族自治地方的自治机关和有关民族的代表充分协商。</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第十六条：行政区划变更后，应当依照法律、行政法规和国家有关规定勘定行政区域界线，并更新行政区划图。</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第十七条：行政区划变更后，需要变更行政区划代码的，由民政部门于1个月内确定、公布其行政区划代码。</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第二十条：县级以上人民政府民政部门，应当加强对行政区划档案的管理。</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行政区划管理中形成的请示、报告、图表、批准文件以及与行政区划管理工作有关的材料，应当依法整理归档，妥善保管。具体办法由国务院民政部门会同国家档案行政管理部门制定。</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第二十一条：上级人民政府应当加强对下级人民政府行政区划管理工作的监督、指导。</w:t>
            </w:r>
          </w:p>
        </w:tc>
        <w:tc>
          <w:tcPr>
            <w:tcW w:w="504" w:type="dxa"/>
            <w:vAlign w:val="center"/>
          </w:tcPr>
          <w:p w14:paraId="52D049B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区民政局</w:t>
            </w:r>
          </w:p>
        </w:tc>
        <w:tc>
          <w:tcPr>
            <w:tcW w:w="2142" w:type="dxa"/>
            <w:gridSpan w:val="2"/>
            <w:vAlign w:val="center"/>
          </w:tcPr>
          <w:p w14:paraId="10BB3BA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区划地名办公室</w:t>
            </w:r>
          </w:p>
        </w:tc>
        <w:tc>
          <w:tcPr>
            <w:tcW w:w="705" w:type="dxa"/>
            <w:vAlign w:val="center"/>
          </w:tcPr>
          <w:p w14:paraId="4DA41F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区级</w:t>
            </w:r>
          </w:p>
        </w:tc>
        <w:tc>
          <w:tcPr>
            <w:tcW w:w="555" w:type="dxa"/>
            <w:shd w:val="clear" w:color="auto" w:fill="auto"/>
            <w:vAlign w:val="center"/>
          </w:tcPr>
          <w:p w14:paraId="4E8431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负责权限内行政区划变更的审核</w:t>
            </w:r>
          </w:p>
        </w:tc>
        <w:tc>
          <w:tcPr>
            <w:tcW w:w="555" w:type="dxa"/>
            <w:shd w:val="clear" w:color="auto" w:fill="auto"/>
            <w:vAlign w:val="center"/>
          </w:tcPr>
          <w:p w14:paraId="6B66930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开展行政区划管理审核工作</w:t>
            </w:r>
          </w:p>
        </w:tc>
        <w:tc>
          <w:tcPr>
            <w:tcW w:w="1106" w:type="dxa"/>
            <w:shd w:val="clear" w:color="auto" w:fill="auto"/>
            <w:vAlign w:val="center"/>
          </w:tcPr>
          <w:p w14:paraId="35DCA0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直接实施责任：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1.完善本行政区域内备案工作标准，并进一步规范。</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2.监督责任。建立健全监督制度，对本行政区域内的备案活动进行监督检查。</w:t>
            </w:r>
          </w:p>
        </w:tc>
        <w:tc>
          <w:tcPr>
            <w:tcW w:w="1783" w:type="dxa"/>
            <w:shd w:val="clear" w:color="auto" w:fill="auto"/>
            <w:vAlign w:val="center"/>
          </w:tcPr>
          <w:p w14:paraId="0C946BC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 xml:space="preserve">【法规】《行政区划管理条例》（2018年10月10日中华人民共和国国务院令第704号，2019年1月1日起施行）     </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第二十一条：上级人民政府应当加强对下级人民政府行政区划管理工作的监督、指导。</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第二十三条：违反本条例规定，擅自变更行政区划的，由上一级政府责令改正；对直接负责的主管人员和其他直接责任人员，依法给予处分。</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第二十四条：违反本条例规定，在行政区划变更过程中弄虚作假的，对直接负责的主管人员和其他直接责任人员，依法给予处分；构成犯罪的，依法追究刑事责任。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第二十五条：国家工作人员在行政区划的管理工作中，滥用职权、玩忽职守、徇私舞弊的，依法给予处分；构成犯罪的，依法追究刑事责任。</w:t>
            </w:r>
          </w:p>
        </w:tc>
        <w:tc>
          <w:tcPr>
            <w:tcW w:w="2580" w:type="dxa"/>
            <w:shd w:val="clear" w:color="auto" w:fill="auto"/>
            <w:vAlign w:val="center"/>
          </w:tcPr>
          <w:p w14:paraId="260462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1.具体承办人；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2.内设机构负责人；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3.单位法定代表人或分管领导。</w:t>
            </w:r>
          </w:p>
        </w:tc>
        <w:tc>
          <w:tcPr>
            <w:tcW w:w="975" w:type="dxa"/>
            <w:shd w:val="clear" w:color="auto" w:fill="auto"/>
            <w:vAlign w:val="center"/>
          </w:tcPr>
          <w:p w14:paraId="354829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因不履行或不正确履行行政职责，出现以下情形的，行政机关及相关工作人员应承担相应责任：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1.违反法定程序，擅自批准的；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2.未认真审查申报材料，造成不良影响的；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3.审批后未建立完整的行政区划档案的； </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4.工作人员滥用职权、徇私舞弊、玩忽职守的；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5.在区划地名工作中发生腐败行为的；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6.其他违反法律法规规章文件规定的行为。</w:t>
            </w:r>
          </w:p>
        </w:tc>
        <w:tc>
          <w:tcPr>
            <w:tcW w:w="1500" w:type="dxa"/>
            <w:vAlign w:val="center"/>
          </w:tcPr>
          <w:p w14:paraId="6A40790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lang w:val="en-US" w:eastAsia="zh-CN"/>
              </w:rPr>
            </w:pPr>
          </w:p>
        </w:tc>
      </w:tr>
      <w:tr w14:paraId="7BE2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6" w:hRule="atLeast"/>
          <w:jc w:val="center"/>
        </w:trPr>
        <w:tc>
          <w:tcPr>
            <w:tcW w:w="600" w:type="dxa"/>
            <w:shd w:val="clear" w:color="auto" w:fill="auto"/>
            <w:vAlign w:val="center"/>
          </w:tcPr>
          <w:p w14:paraId="217515B4">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序号</w:t>
            </w:r>
          </w:p>
        </w:tc>
        <w:tc>
          <w:tcPr>
            <w:tcW w:w="948" w:type="dxa"/>
            <w:shd w:val="clear" w:color="auto" w:fill="auto"/>
            <w:vAlign w:val="center"/>
          </w:tcPr>
          <w:p w14:paraId="077DA44D">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sz w:val="18"/>
                <w:szCs w:val="18"/>
                <w:vertAlign w:val="baseline"/>
              </w:rPr>
              <w:t>事项名称</w:t>
            </w:r>
          </w:p>
        </w:tc>
        <w:tc>
          <w:tcPr>
            <w:tcW w:w="435" w:type="dxa"/>
            <w:shd w:val="clear" w:color="auto" w:fill="auto"/>
            <w:vAlign w:val="center"/>
          </w:tcPr>
          <w:p w14:paraId="5E2E8B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2051" w:type="dxa"/>
            <w:shd w:val="clear" w:color="auto" w:fill="auto"/>
            <w:vAlign w:val="center"/>
          </w:tcPr>
          <w:p w14:paraId="19BDC17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2535" w:type="dxa"/>
            <w:shd w:val="clear" w:color="auto" w:fill="auto"/>
            <w:vAlign w:val="center"/>
          </w:tcPr>
          <w:p w14:paraId="6832E43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504" w:type="dxa"/>
            <w:shd w:val="clear" w:color="auto" w:fill="auto"/>
            <w:vAlign w:val="center"/>
          </w:tcPr>
          <w:p w14:paraId="0D655AF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2142" w:type="dxa"/>
            <w:gridSpan w:val="2"/>
            <w:shd w:val="clear" w:color="auto" w:fill="auto"/>
            <w:vAlign w:val="center"/>
          </w:tcPr>
          <w:p w14:paraId="52238B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260" w:type="dxa"/>
            <w:gridSpan w:val="2"/>
            <w:shd w:val="clear" w:color="auto" w:fill="auto"/>
            <w:vAlign w:val="center"/>
          </w:tcPr>
          <w:p w14:paraId="748C549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555" w:type="dxa"/>
            <w:shd w:val="clear" w:color="auto" w:fill="auto"/>
            <w:vAlign w:val="center"/>
          </w:tcPr>
          <w:p w14:paraId="2F6B9D8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106" w:type="dxa"/>
            <w:shd w:val="clear" w:color="auto" w:fill="auto"/>
            <w:vAlign w:val="center"/>
          </w:tcPr>
          <w:p w14:paraId="012BEC7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783" w:type="dxa"/>
            <w:shd w:val="clear" w:color="auto" w:fill="auto"/>
            <w:vAlign w:val="center"/>
          </w:tcPr>
          <w:p w14:paraId="636514F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2580" w:type="dxa"/>
            <w:shd w:val="clear" w:color="auto" w:fill="auto"/>
            <w:vAlign w:val="center"/>
          </w:tcPr>
          <w:p w14:paraId="05BAFEC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975" w:type="dxa"/>
            <w:shd w:val="clear" w:color="auto" w:fill="auto"/>
            <w:vAlign w:val="center"/>
          </w:tcPr>
          <w:p w14:paraId="2D2E430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1500" w:type="dxa"/>
            <w:shd w:val="clear" w:color="auto" w:fill="auto"/>
            <w:vAlign w:val="center"/>
          </w:tcPr>
          <w:p w14:paraId="5C86670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kern w:val="2"/>
                <w:sz w:val="18"/>
                <w:szCs w:val="18"/>
                <w:vertAlign w:val="baseli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6FED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0" w:hRule="atLeast"/>
          <w:jc w:val="center"/>
        </w:trPr>
        <w:tc>
          <w:tcPr>
            <w:tcW w:w="600" w:type="dxa"/>
            <w:vAlign w:val="center"/>
          </w:tcPr>
          <w:p w14:paraId="2AEDDAC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lang w:val="en-US" w:eastAsia="zh-CN"/>
              </w:rPr>
            </w:pPr>
            <w:r>
              <w:rPr>
                <w:rFonts w:hint="eastAsia" w:ascii="方正仿宋_GBK" w:hAnsi="方正仿宋_GBK" w:eastAsia="方正仿宋_GBK" w:cs="方正仿宋_GBK"/>
                <w:i w:val="0"/>
                <w:iCs w:val="0"/>
                <w:color w:val="000000"/>
                <w:kern w:val="0"/>
                <w:sz w:val="15"/>
                <w:szCs w:val="15"/>
                <w:u w:val="none"/>
                <w:lang w:val="en-US" w:eastAsia="zh-CN" w:bidi="ar"/>
              </w:rPr>
              <w:t>4</w:t>
            </w:r>
          </w:p>
        </w:tc>
        <w:tc>
          <w:tcPr>
            <w:tcW w:w="948" w:type="dxa"/>
            <w:vAlign w:val="center"/>
          </w:tcPr>
          <w:p w14:paraId="7AF847E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慈善信托备案</w:t>
            </w:r>
          </w:p>
        </w:tc>
        <w:tc>
          <w:tcPr>
            <w:tcW w:w="435" w:type="dxa"/>
            <w:vAlign w:val="center"/>
          </w:tcPr>
          <w:p w14:paraId="78714FCC">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5"/>
                <w:szCs w:val="15"/>
                <w:vertAlign w:val="baseline"/>
              </w:rPr>
            </w:pPr>
          </w:p>
        </w:tc>
        <w:tc>
          <w:tcPr>
            <w:tcW w:w="2051" w:type="dxa"/>
            <w:vAlign w:val="center"/>
          </w:tcPr>
          <w:p w14:paraId="707C4C75">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其他行政权力</w:t>
            </w:r>
          </w:p>
        </w:tc>
        <w:tc>
          <w:tcPr>
            <w:tcW w:w="2535" w:type="dxa"/>
            <w:vAlign w:val="center"/>
          </w:tcPr>
          <w:p w14:paraId="5763874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【法律】《中华人民共和国慈善法》（ 2016年3月16日 中华人民共和国第十二届全国人民代表大会第四次会议通过，自2016年9月1日起施行）</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第四十五条：设立慈善信托、确定受托人和监察人，应当采取书面形式。受托人应当在慈善信托文件签订之日起七日内，将相关文件向受托人所在地县级以上人民政府民政部门备案。</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未按照前款规定将相关文件报民政部门备案的，不享受税收优惠。</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【规章】《慈善信托管理办法》（中国银行业监督管理委员会 银监发〔2017〕37号)</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第十五条：受托人应当在慈善信托文件签订之日起7日内，将相关文件向受托人所在地县级以上人民政府民政部门备案。</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未按照前款规定将相关文件报民政部门备案的，不享受税收优惠。</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第十六条：信托公司担任受托人的，由其登记注册地设区市的民政部门履行备案职责；慈善组织担任受托人的，由准予其登记或予以认定的民政部门履行备案职责。</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十七条：同一慈善信托有两个或两个以上的受托人时，委托人应当确定其中一个承担主要受托管理责任的受托人按照本章规定进行备案。备案的民政部门应当将备案信息与其他受托人所在地的县级以上人民政府民政部门共享。</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二十一条：慈善信托备案申请符合《慈善法》、《信托法》和本办法规定的，民政部门应当在收到备案申请材料之日起7日内出具备案回执；不符合规定的，应当在收到备案申请材料之日起7日内一次性书面告知理由和需要补正的相关材料。</w:t>
            </w:r>
          </w:p>
        </w:tc>
        <w:tc>
          <w:tcPr>
            <w:tcW w:w="504" w:type="dxa"/>
            <w:vAlign w:val="center"/>
          </w:tcPr>
          <w:p w14:paraId="7233E08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区民政局</w:t>
            </w:r>
          </w:p>
        </w:tc>
        <w:tc>
          <w:tcPr>
            <w:tcW w:w="2142" w:type="dxa"/>
            <w:gridSpan w:val="2"/>
            <w:vAlign w:val="center"/>
          </w:tcPr>
          <w:p w14:paraId="43A3D1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社会组织办公室</w:t>
            </w:r>
          </w:p>
        </w:tc>
        <w:tc>
          <w:tcPr>
            <w:tcW w:w="705" w:type="dxa"/>
            <w:vAlign w:val="center"/>
          </w:tcPr>
          <w:p w14:paraId="576FBC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区级</w:t>
            </w:r>
          </w:p>
        </w:tc>
        <w:tc>
          <w:tcPr>
            <w:tcW w:w="555" w:type="dxa"/>
            <w:shd w:val="clear" w:color="auto" w:fill="auto"/>
            <w:vAlign w:val="center"/>
          </w:tcPr>
          <w:p w14:paraId="1F29CD2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负责行政区域内慈善信托备案</w:t>
            </w:r>
          </w:p>
        </w:tc>
        <w:tc>
          <w:tcPr>
            <w:tcW w:w="555" w:type="dxa"/>
            <w:shd w:val="clear" w:color="auto" w:fill="auto"/>
            <w:vAlign w:val="center"/>
          </w:tcPr>
          <w:p w14:paraId="17401E9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组织拟定全县促进慈善事业发展政策和慈善信托、慈善组织及其活动管理办法并组织实施</w:t>
            </w:r>
          </w:p>
        </w:tc>
        <w:tc>
          <w:tcPr>
            <w:tcW w:w="1106" w:type="dxa"/>
            <w:shd w:val="clear" w:color="auto" w:fill="auto"/>
            <w:vAlign w:val="center"/>
          </w:tcPr>
          <w:p w14:paraId="14D652E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直接实施责任：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1.主动公示慈善信托的设立条件、程序以及需要备案的材料目录等，便于受托人办理备案，并及时向社会公开慈善信托信息；</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2.根据法定管理职责，对慈善信托的受托人应当履行的受托职责、管理慈善信托财产及其收益的情况、履行信息公开和告知义务以及其他与慈善信托相关的活动进行监督检查；</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3.根据法定管理职责，联合或委托第三方机构对慈善信托的规范管理、慈善目的的实现和慈善信托财产的运用效益等进行评估；</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4.监督责任。对受托人违法违规行为进行监督检查，依据职能依法采取措施予以纠正。</w:t>
            </w:r>
          </w:p>
        </w:tc>
        <w:tc>
          <w:tcPr>
            <w:tcW w:w="1783" w:type="dxa"/>
            <w:shd w:val="clear" w:color="auto" w:fill="auto"/>
            <w:vAlign w:val="center"/>
          </w:tcPr>
          <w:p w14:paraId="432CEE6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【法律】《中华人民共和国慈善法》（2016年3月16日第十二届全国人民代表大会第四次会议通过，自2016年9月1日起施行）</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一百零八条：县级以上人民政府民政部门和其他有关部门及其工作人员有下列情形之一的，由上级机关或者监察机关责令改正；依法应当给予处分的，由任免机关或者监察机关对直接负责的主管人员和其他直接责任人员给予处分：</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（一）未依法履行信息公开义务的；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（二）摊派或者变相摊派捐赠任务，强行指定志愿者、慈善组织提供服务的；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（三）未依法履行监督管理职责的；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（四）违法实施行政强制措施和行政处罚的；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（五）私分、挪用、截留或者侵占慈善财产的；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（六）其他滥用职权、玩忽职守、徇私舞弊的行为。</w:t>
            </w:r>
          </w:p>
        </w:tc>
        <w:tc>
          <w:tcPr>
            <w:tcW w:w="2580" w:type="dxa"/>
            <w:shd w:val="clear" w:color="auto" w:fill="auto"/>
            <w:vAlign w:val="center"/>
          </w:tcPr>
          <w:p w14:paraId="1E4C8A2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1.具体承办人；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2.内设机构负责人；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3.单位法定代表人或分管领导。</w:t>
            </w:r>
          </w:p>
        </w:tc>
        <w:tc>
          <w:tcPr>
            <w:tcW w:w="975" w:type="dxa"/>
            <w:shd w:val="clear" w:color="auto" w:fill="auto"/>
            <w:vAlign w:val="center"/>
          </w:tcPr>
          <w:p w14:paraId="2005E3D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1.对符合条件的申请不予受理、不予备案或不在法定时限内备案的；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2.对不符合条件的申请给予备案的；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3.擅自增设、变更备案程序或条件的；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4.在备案和事后监管中徇私舞弊、滥用职权、玩忽职守，造成严重后果的；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5.在备案和事后监管中收受贿赂或谋取不正当利益等腐败行为的；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6.其他违反法律法规规章文件的行为。</w:t>
            </w:r>
          </w:p>
        </w:tc>
        <w:tc>
          <w:tcPr>
            <w:tcW w:w="1500" w:type="dxa"/>
            <w:vAlign w:val="center"/>
          </w:tcPr>
          <w:p w14:paraId="2A181A6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lang w:val="en-US" w:eastAsia="zh-CN"/>
              </w:rPr>
            </w:pPr>
          </w:p>
        </w:tc>
      </w:tr>
      <w:tr w14:paraId="1531C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0" w:type="dxa"/>
            <w:vAlign w:val="center"/>
          </w:tcPr>
          <w:p w14:paraId="715CF781">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sz w:val="18"/>
                <w:szCs w:val="18"/>
                <w:vertAlign w:val="baseline"/>
              </w:rPr>
              <w:t>序号</w:t>
            </w:r>
          </w:p>
        </w:tc>
        <w:tc>
          <w:tcPr>
            <w:tcW w:w="948" w:type="dxa"/>
            <w:vAlign w:val="center"/>
          </w:tcPr>
          <w:p w14:paraId="1A9372DE">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sz w:val="18"/>
                <w:szCs w:val="18"/>
                <w:vertAlign w:val="baseline"/>
              </w:rPr>
              <w:t>事项名称</w:t>
            </w:r>
          </w:p>
        </w:tc>
        <w:tc>
          <w:tcPr>
            <w:tcW w:w="435" w:type="dxa"/>
            <w:vAlign w:val="center"/>
          </w:tcPr>
          <w:p w14:paraId="1D9105A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子项名称</w:t>
            </w:r>
          </w:p>
        </w:tc>
        <w:tc>
          <w:tcPr>
            <w:tcW w:w="2051" w:type="dxa"/>
            <w:vAlign w:val="center"/>
          </w:tcPr>
          <w:p w14:paraId="32CD867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权力类型</w:t>
            </w:r>
          </w:p>
        </w:tc>
        <w:tc>
          <w:tcPr>
            <w:tcW w:w="2535" w:type="dxa"/>
            <w:vAlign w:val="center"/>
          </w:tcPr>
          <w:p w14:paraId="4B13651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实施依据</w:t>
            </w:r>
          </w:p>
        </w:tc>
        <w:tc>
          <w:tcPr>
            <w:tcW w:w="504" w:type="dxa"/>
            <w:vAlign w:val="center"/>
          </w:tcPr>
          <w:p w14:paraId="302DE6D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行使主体</w:t>
            </w:r>
          </w:p>
        </w:tc>
        <w:tc>
          <w:tcPr>
            <w:tcW w:w="2142" w:type="dxa"/>
            <w:gridSpan w:val="2"/>
            <w:vAlign w:val="center"/>
          </w:tcPr>
          <w:p w14:paraId="22100A2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承办机构</w:t>
            </w:r>
          </w:p>
        </w:tc>
        <w:tc>
          <w:tcPr>
            <w:tcW w:w="1260" w:type="dxa"/>
            <w:gridSpan w:val="2"/>
            <w:vAlign w:val="center"/>
          </w:tcPr>
          <w:p w14:paraId="5083557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实施层级及权限</w:t>
            </w:r>
          </w:p>
        </w:tc>
        <w:tc>
          <w:tcPr>
            <w:tcW w:w="555" w:type="dxa"/>
            <w:vAlign w:val="center"/>
          </w:tcPr>
          <w:p w14:paraId="4E9062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部门职责</w:t>
            </w:r>
          </w:p>
        </w:tc>
        <w:tc>
          <w:tcPr>
            <w:tcW w:w="1106" w:type="dxa"/>
            <w:vAlign w:val="center"/>
          </w:tcPr>
          <w:p w14:paraId="3579DCF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责任事项内容</w:t>
            </w:r>
          </w:p>
        </w:tc>
        <w:tc>
          <w:tcPr>
            <w:tcW w:w="1783" w:type="dxa"/>
            <w:vAlign w:val="center"/>
          </w:tcPr>
          <w:p w14:paraId="329AAC5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责任事项依据</w:t>
            </w:r>
          </w:p>
        </w:tc>
        <w:tc>
          <w:tcPr>
            <w:tcW w:w="2580" w:type="dxa"/>
            <w:vAlign w:val="center"/>
          </w:tcPr>
          <w:p w14:paraId="4BFFF6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追责对象范围</w:t>
            </w:r>
          </w:p>
        </w:tc>
        <w:tc>
          <w:tcPr>
            <w:tcW w:w="975" w:type="dxa"/>
            <w:vAlign w:val="center"/>
          </w:tcPr>
          <w:p w14:paraId="418EDA3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追责情形</w:t>
            </w:r>
          </w:p>
        </w:tc>
        <w:tc>
          <w:tcPr>
            <w:tcW w:w="1500" w:type="dxa"/>
            <w:vAlign w:val="center"/>
          </w:tcPr>
          <w:p w14:paraId="00F20E9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方正仿宋_GBK" w:hAnsi="方正仿宋_GBK" w:eastAsia="方正仿宋_GBK" w:cs="方正仿宋_GBK"/>
                <w:i w:val="0"/>
                <w:iCs w:val="0"/>
                <w:color w:val="000000"/>
                <w:kern w:val="0"/>
                <w:sz w:val="15"/>
                <w:szCs w:val="15"/>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备注</w:t>
            </w:r>
          </w:p>
        </w:tc>
      </w:tr>
      <w:tr w14:paraId="0B8E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1" w:hRule="atLeast"/>
          <w:jc w:val="center"/>
        </w:trPr>
        <w:tc>
          <w:tcPr>
            <w:tcW w:w="600" w:type="dxa"/>
            <w:vAlign w:val="center"/>
          </w:tcPr>
          <w:p w14:paraId="3B379D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lang w:val="en-US" w:eastAsia="zh-CN"/>
              </w:rPr>
            </w:pPr>
            <w:r>
              <w:rPr>
                <w:rFonts w:hint="eastAsia" w:ascii="方正仿宋_GBK" w:hAnsi="方正仿宋_GBK" w:eastAsia="方正仿宋_GBK" w:cs="方正仿宋_GBK"/>
                <w:i w:val="0"/>
                <w:iCs w:val="0"/>
                <w:color w:val="000000"/>
                <w:kern w:val="0"/>
                <w:sz w:val="15"/>
                <w:szCs w:val="15"/>
                <w:u w:val="none"/>
                <w:lang w:val="en-US" w:eastAsia="zh-CN" w:bidi="ar"/>
              </w:rPr>
              <w:t>5</w:t>
            </w:r>
          </w:p>
        </w:tc>
        <w:tc>
          <w:tcPr>
            <w:tcW w:w="948" w:type="dxa"/>
            <w:vAlign w:val="center"/>
          </w:tcPr>
          <w:p w14:paraId="292A14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对养老机构备案</w:t>
            </w:r>
          </w:p>
        </w:tc>
        <w:tc>
          <w:tcPr>
            <w:tcW w:w="435" w:type="dxa"/>
            <w:vAlign w:val="center"/>
          </w:tcPr>
          <w:p w14:paraId="42766A08">
            <w:pPr>
              <w:keepNext w:val="0"/>
              <w:keepLines w:val="0"/>
              <w:pageBreakBefore w:val="0"/>
              <w:kinsoku/>
              <w:wordWrap/>
              <w:overflowPunct/>
              <w:topLinePunct w:val="0"/>
              <w:autoSpaceDE/>
              <w:autoSpaceDN/>
              <w:bidi w:val="0"/>
              <w:adjustRightInd/>
              <w:snapToGrid/>
              <w:spacing w:line="200" w:lineRule="exact"/>
              <w:jc w:val="left"/>
              <w:rPr>
                <w:rFonts w:hint="eastAsia" w:ascii="方正仿宋_GBK" w:hAnsi="方正仿宋_GBK" w:eastAsia="方正仿宋_GBK" w:cs="方正仿宋_GBK"/>
                <w:sz w:val="15"/>
                <w:szCs w:val="15"/>
                <w:vertAlign w:val="baseline"/>
              </w:rPr>
            </w:pPr>
          </w:p>
        </w:tc>
        <w:tc>
          <w:tcPr>
            <w:tcW w:w="2051" w:type="dxa"/>
            <w:vAlign w:val="center"/>
          </w:tcPr>
          <w:p w14:paraId="6BFD5ADA">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8"/>
                <w:szCs w:val="18"/>
                <w:u w:val="none"/>
                <w:lang w:val="en-US" w:eastAsia="zh-CN" w:bidi="ar"/>
              </w:rPr>
              <w:t>其他行政权力</w:t>
            </w:r>
          </w:p>
        </w:tc>
        <w:tc>
          <w:tcPr>
            <w:tcW w:w="2535" w:type="dxa"/>
            <w:vAlign w:val="center"/>
          </w:tcPr>
          <w:p w14:paraId="471C355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【规范性文件】《民政部印发《关于贯彻落实新修改的&lt;中华人民共和国老年人权益保障法&gt;的通知》》（2019年1月2日民函〔2019〕1号）</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一条第二款：依法做好登记和备案管理。养老机构登记后即可开展服务活动，并应当向民政部门备案，真实、准确、完整地提供备案信息，填写备案书和承诺书，民政部门应当提供备案回执，书面告知养老机构运营基本条件，以及本区域现行养老服务扶持政策措施清单。对于由民政部门承担业务主管单位职责的养老机构，可以相应简化备案手续。养老机构登记事项变更的，应当及时办理备案变更手续。</w:t>
            </w:r>
          </w:p>
        </w:tc>
        <w:tc>
          <w:tcPr>
            <w:tcW w:w="504" w:type="dxa"/>
            <w:vAlign w:val="center"/>
          </w:tcPr>
          <w:p w14:paraId="7B6161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区民政局</w:t>
            </w:r>
          </w:p>
        </w:tc>
        <w:tc>
          <w:tcPr>
            <w:tcW w:w="2142" w:type="dxa"/>
            <w:gridSpan w:val="2"/>
            <w:vAlign w:val="center"/>
          </w:tcPr>
          <w:p w14:paraId="387461E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社会事务与社会福利办公室</w:t>
            </w:r>
          </w:p>
        </w:tc>
        <w:tc>
          <w:tcPr>
            <w:tcW w:w="705" w:type="dxa"/>
            <w:vAlign w:val="center"/>
          </w:tcPr>
          <w:p w14:paraId="1B481A5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vertAlign w:val="baseline"/>
              </w:rPr>
            </w:pPr>
            <w:r>
              <w:rPr>
                <w:rFonts w:hint="eastAsia" w:ascii="方正仿宋_GBK" w:hAnsi="方正仿宋_GBK" w:eastAsia="方正仿宋_GBK" w:cs="方正仿宋_GBK"/>
                <w:i w:val="0"/>
                <w:iCs w:val="0"/>
                <w:color w:val="000000"/>
                <w:kern w:val="0"/>
                <w:sz w:val="15"/>
                <w:szCs w:val="15"/>
                <w:u w:val="none"/>
                <w:lang w:val="en-US" w:eastAsia="zh-CN" w:bidi="ar"/>
              </w:rPr>
              <w:t>区级</w:t>
            </w:r>
          </w:p>
        </w:tc>
        <w:tc>
          <w:tcPr>
            <w:tcW w:w="555" w:type="dxa"/>
            <w:shd w:val="clear" w:color="auto" w:fill="auto"/>
            <w:vAlign w:val="center"/>
          </w:tcPr>
          <w:p w14:paraId="30257A0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负责对行政区域内养老机构备案</w:t>
            </w:r>
          </w:p>
        </w:tc>
        <w:tc>
          <w:tcPr>
            <w:tcW w:w="555" w:type="dxa"/>
            <w:shd w:val="clear" w:color="auto" w:fill="auto"/>
            <w:vAlign w:val="center"/>
          </w:tcPr>
          <w:p w14:paraId="369383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拟定行政区域内养老服务体系建设规划、政策、标准并组织实施</w:t>
            </w:r>
          </w:p>
        </w:tc>
        <w:tc>
          <w:tcPr>
            <w:tcW w:w="1106" w:type="dxa"/>
            <w:shd w:val="clear" w:color="auto" w:fill="auto"/>
            <w:vAlign w:val="center"/>
          </w:tcPr>
          <w:p w14:paraId="2853FC0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直接实施责任：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本行政区域内养老机构备案。</w:t>
            </w:r>
          </w:p>
        </w:tc>
        <w:tc>
          <w:tcPr>
            <w:tcW w:w="1783" w:type="dxa"/>
            <w:shd w:val="clear" w:color="auto" w:fill="auto"/>
            <w:vAlign w:val="center"/>
          </w:tcPr>
          <w:p w14:paraId="01DA6E6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【规范性文件】《民政部印发《关于贯彻落实新修改的&lt;中华人民共和国老年人权益保障法&gt;的通知》》（2019年1月2日民函〔2019〕1号）</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一条第二款：依法做好登记和备案管理。养老机构登记后即可开展服务活动，并应当向民政部门备案，真实、准确、完整地提供备案信息，填写备案书和承诺书，民政部门应当提供备案回执，书面告知养老机构运营基本条件，以及本区域现行养老服务扶持政策措施清单。对于由民政部门承担业务主管单位职责的养老机构，可以相应简化备案手续。养老机构登记事项变更的，应当及时办理备案变更手续。</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第三条：民政部门还应当依据《民办非企业单位登记管理暂行条例》等法规政策规定，认真履行管理职责，防止变更性质。各地要积极探索建立健全养老服务信用评价、守信激励、失信惩戒等信用管理制度。</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 xml:space="preserve">    第四条：各地民政部门要按照“谁执法、谁普法”的要求，及时将法律修改的主要内容、改革措施等，通过政府网站、新闻媒体公布或者在公共场所陈列，方便社会公众特别是养老服务从业人员和广大老年人理解掌握。</w:t>
            </w:r>
          </w:p>
        </w:tc>
        <w:tc>
          <w:tcPr>
            <w:tcW w:w="2580" w:type="dxa"/>
            <w:shd w:val="clear" w:color="auto" w:fill="auto"/>
            <w:vAlign w:val="center"/>
          </w:tcPr>
          <w:p w14:paraId="2068F82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vertAlign w:val="baseline"/>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1.具体承办人；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2.内设机构负责人；</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3.单位法定代表人或分管领导。</w:t>
            </w:r>
          </w:p>
        </w:tc>
        <w:tc>
          <w:tcPr>
            <w:tcW w:w="975" w:type="dxa"/>
            <w:shd w:val="clear" w:color="auto" w:fill="auto"/>
            <w:vAlign w:val="center"/>
          </w:tcPr>
          <w:p w14:paraId="0EEEDD1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kern w:val="2"/>
                <w:sz w:val="15"/>
                <w:szCs w:val="15"/>
                <w:lang w:val="en-US" w:eastAsia="zh-CN" w:bidi="ar-SA"/>
              </w:rPr>
            </w:pPr>
            <w:r>
              <w:rPr>
                <w:rFonts w:hint="eastAsia" w:ascii="方正仿宋_GBK" w:hAnsi="方正仿宋_GBK" w:eastAsia="方正仿宋_GBK" w:cs="方正仿宋_GBK"/>
                <w:i w:val="0"/>
                <w:iCs w:val="0"/>
                <w:color w:val="000000"/>
                <w:kern w:val="0"/>
                <w:sz w:val="15"/>
                <w:szCs w:val="15"/>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1.对符合条件的申请不予受理、不予备案或不在法定时限内备案的；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2.对不符合条件的申请给予备案的；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3.擅自增设、变更备案程序或条件的；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4.在备案和事后监管中徇私舞弊、滥用职权、玩忽职守，造成严重后果的；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5.在备案和事后监管中收受贿赂或谋取不正当利益等腐败行为的；</w:t>
            </w:r>
            <w:r>
              <w:rPr>
                <w:rFonts w:hint="eastAsia" w:ascii="方正仿宋_GBK" w:hAnsi="方正仿宋_GBK" w:eastAsia="方正仿宋_GBK" w:cs="方正仿宋_GBK"/>
                <w:i w:val="0"/>
                <w:iCs w:val="0"/>
                <w:color w:val="000000"/>
                <w:kern w:val="0"/>
                <w:sz w:val="15"/>
                <w:szCs w:val="15"/>
                <w:u w:val="none"/>
                <w:lang w:val="en-US" w:eastAsia="zh-CN" w:bidi="ar"/>
              </w:rPr>
              <w:br w:type="textWrapping"/>
            </w:r>
            <w:r>
              <w:rPr>
                <w:rFonts w:hint="eastAsia" w:ascii="方正仿宋_GBK" w:hAnsi="方正仿宋_GBK" w:eastAsia="方正仿宋_GBK" w:cs="方正仿宋_GBK"/>
                <w:i w:val="0"/>
                <w:iCs w:val="0"/>
                <w:color w:val="000000"/>
                <w:kern w:val="0"/>
                <w:sz w:val="15"/>
                <w:szCs w:val="15"/>
                <w:u w:val="none"/>
                <w:lang w:val="en-US" w:eastAsia="zh-CN" w:bidi="ar"/>
              </w:rPr>
              <w:t>6.其他违反法律法规规章文件的行为。</w:t>
            </w:r>
          </w:p>
        </w:tc>
        <w:tc>
          <w:tcPr>
            <w:tcW w:w="1500" w:type="dxa"/>
            <w:vAlign w:val="center"/>
          </w:tcPr>
          <w:p w14:paraId="4582FC8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方正仿宋_GBK" w:hAnsi="方正仿宋_GBK" w:eastAsia="方正仿宋_GBK" w:cs="方正仿宋_GBK"/>
                <w:sz w:val="15"/>
                <w:szCs w:val="15"/>
                <w:lang w:val="en-US" w:eastAsia="zh-CN"/>
              </w:rPr>
            </w:pPr>
            <w:bookmarkStart w:id="0" w:name="_GoBack"/>
            <w:bookmarkEnd w:id="0"/>
          </w:p>
        </w:tc>
      </w:tr>
    </w:tbl>
    <w:p w14:paraId="350FA279">
      <w:pPr>
        <w:keepNext w:val="0"/>
        <w:keepLines w:val="0"/>
        <w:pageBreakBefore w:val="0"/>
        <w:kinsoku/>
        <w:wordWrap/>
        <w:overflowPunct/>
        <w:topLinePunct w:val="0"/>
        <w:autoSpaceDE/>
        <w:autoSpaceDN/>
        <w:bidi w:val="0"/>
        <w:adjustRightInd/>
        <w:snapToGrid/>
        <w:spacing w:line="200" w:lineRule="exact"/>
        <w:jc w:val="center"/>
        <w:rPr>
          <w:rFonts w:hint="eastAsia" w:ascii="方正仿宋_GBK" w:hAnsi="方正仿宋_GBK" w:eastAsia="方正仿宋_GBK" w:cs="方正仿宋_GBK"/>
          <w:sz w:val="15"/>
          <w:szCs w:val="15"/>
        </w:rPr>
      </w:pPr>
    </w:p>
    <w:sectPr>
      <w:pgSz w:w="23811" w:h="16838" w:orient="landscape"/>
      <w:pgMar w:top="1417"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A592D"/>
    <w:rsid w:val="016C7665"/>
    <w:rsid w:val="03441469"/>
    <w:rsid w:val="09D82586"/>
    <w:rsid w:val="0C494A19"/>
    <w:rsid w:val="0C842EC3"/>
    <w:rsid w:val="0D0144D4"/>
    <w:rsid w:val="0D183DE9"/>
    <w:rsid w:val="0E6070F2"/>
    <w:rsid w:val="12AC2C55"/>
    <w:rsid w:val="15127621"/>
    <w:rsid w:val="16682151"/>
    <w:rsid w:val="17507ED0"/>
    <w:rsid w:val="18820242"/>
    <w:rsid w:val="193652B6"/>
    <w:rsid w:val="1AF6106A"/>
    <w:rsid w:val="1CF55E79"/>
    <w:rsid w:val="1D4C6F21"/>
    <w:rsid w:val="1F967D60"/>
    <w:rsid w:val="200D6461"/>
    <w:rsid w:val="223C1ECC"/>
    <w:rsid w:val="229009C2"/>
    <w:rsid w:val="22F8166B"/>
    <w:rsid w:val="254E3203"/>
    <w:rsid w:val="265F2C81"/>
    <w:rsid w:val="272C6B52"/>
    <w:rsid w:val="273242DE"/>
    <w:rsid w:val="27424579"/>
    <w:rsid w:val="27431FFA"/>
    <w:rsid w:val="2A110E94"/>
    <w:rsid w:val="2CC04EFA"/>
    <w:rsid w:val="2CC1297B"/>
    <w:rsid w:val="2CD72920"/>
    <w:rsid w:val="2D60377E"/>
    <w:rsid w:val="2EEF0EE8"/>
    <w:rsid w:val="2F3F4014"/>
    <w:rsid w:val="2F575E37"/>
    <w:rsid w:val="32455753"/>
    <w:rsid w:val="32EA3B58"/>
    <w:rsid w:val="3345096B"/>
    <w:rsid w:val="335069BC"/>
    <w:rsid w:val="34F315EC"/>
    <w:rsid w:val="36AD22F2"/>
    <w:rsid w:val="39E5018A"/>
    <w:rsid w:val="3A012039"/>
    <w:rsid w:val="3AF22C65"/>
    <w:rsid w:val="3B612397"/>
    <w:rsid w:val="3BE940D8"/>
    <w:rsid w:val="3C623DA1"/>
    <w:rsid w:val="3EE96C43"/>
    <w:rsid w:val="47DC3773"/>
    <w:rsid w:val="4AC97EE9"/>
    <w:rsid w:val="4B9719AA"/>
    <w:rsid w:val="4C5835CD"/>
    <w:rsid w:val="4C804791"/>
    <w:rsid w:val="4CC20A7E"/>
    <w:rsid w:val="4D3010B2"/>
    <w:rsid w:val="4E3E59EC"/>
    <w:rsid w:val="50760B0E"/>
    <w:rsid w:val="536C30EB"/>
    <w:rsid w:val="53D03E65"/>
    <w:rsid w:val="544F2145"/>
    <w:rsid w:val="54FB4F10"/>
    <w:rsid w:val="55214D3B"/>
    <w:rsid w:val="5732471A"/>
    <w:rsid w:val="579953C3"/>
    <w:rsid w:val="5AB55661"/>
    <w:rsid w:val="5B1C630A"/>
    <w:rsid w:val="5C55083D"/>
    <w:rsid w:val="5C61531C"/>
    <w:rsid w:val="5EF23378"/>
    <w:rsid w:val="5FE1785D"/>
    <w:rsid w:val="67E85DA3"/>
    <w:rsid w:val="692E211D"/>
    <w:rsid w:val="6C404029"/>
    <w:rsid w:val="6CEF50C6"/>
    <w:rsid w:val="71061C2F"/>
    <w:rsid w:val="71B82AA1"/>
    <w:rsid w:val="726254B8"/>
    <w:rsid w:val="781F6AA5"/>
    <w:rsid w:val="783720CB"/>
    <w:rsid w:val="784C6735"/>
    <w:rsid w:val="78AF0770"/>
    <w:rsid w:val="7A54333F"/>
    <w:rsid w:val="7AE52C2E"/>
    <w:rsid w:val="7C305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25915</Words>
  <Characters>26836</Characters>
  <Lines>0</Lines>
  <Paragraphs>0</Paragraphs>
  <TotalTime>21</TotalTime>
  <ScaleCrop>false</ScaleCrop>
  <LinksUpToDate>false</LinksUpToDate>
  <CharactersWithSpaces>27721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2025-09-16T02:53:00Z</dcterms:created>
  <dc:creator>Administrator</dc:creator>
  <cp:lastModifiedBy>此去经年丶1405612783</cp:lastModifiedBy>
  <cp:lastPrinted>2025-09-18T08:41:00Z</cp:lastPrinted>
  <dcterms:modified xsi:type="dcterms:W3CDTF">2025-10-29T08:38:34Z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5F068D699D47492D99FA16E7AEC8EC15_13</vt:lpwstr>
  </property>
  <property fmtid="{D5CDD505-2E9C-101B-9397-08002B2CF9AE}" pid="4" name="KSOTemplateDocerSaveRecord">
    <vt:lpwstr>eyJoZGlkIjoiNzAzMTZiOTBhOTBkMDc3MWNhMWMyZjVmMDg2YmMwOTgiLCJ1c2VySWQiOiIxODc2NTQwNiJ9</vt:lpwstr>
  </property>
</Properties>
</file>