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24EC2">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bookmarkStart w:id="0" w:name="_GoBack"/>
      <w:bookmarkEnd w:id="0"/>
    </w:p>
    <w:p w14:paraId="6D3C88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米东区工业和信息化局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517CAD2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269"/>
        <w:gridCol w:w="938"/>
        <w:gridCol w:w="1031"/>
        <w:gridCol w:w="844"/>
        <w:gridCol w:w="1425"/>
        <w:gridCol w:w="1031"/>
        <w:gridCol w:w="1069"/>
        <w:gridCol w:w="2794"/>
        <w:gridCol w:w="1087"/>
        <w:gridCol w:w="2006"/>
        <w:gridCol w:w="780"/>
      </w:tblGrid>
      <w:tr w14:paraId="2373C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1BFAC9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2BC1DC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3712D1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276D0E2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269" w:type="dxa"/>
            <w:vAlign w:val="center"/>
          </w:tcPr>
          <w:p w14:paraId="6E9C83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38" w:type="dxa"/>
            <w:vAlign w:val="center"/>
          </w:tcPr>
          <w:p w14:paraId="272ECF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1031" w:type="dxa"/>
            <w:vAlign w:val="center"/>
          </w:tcPr>
          <w:p w14:paraId="70E3A2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69" w:type="dxa"/>
            <w:gridSpan w:val="2"/>
            <w:vAlign w:val="center"/>
          </w:tcPr>
          <w:p w14:paraId="7008983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031" w:type="dxa"/>
            <w:vAlign w:val="center"/>
          </w:tcPr>
          <w:p w14:paraId="1E4218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069" w:type="dxa"/>
            <w:vAlign w:val="center"/>
          </w:tcPr>
          <w:p w14:paraId="57EDF0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2794" w:type="dxa"/>
            <w:vAlign w:val="center"/>
          </w:tcPr>
          <w:p w14:paraId="77C786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87" w:type="dxa"/>
            <w:vAlign w:val="center"/>
          </w:tcPr>
          <w:p w14:paraId="5E8BFA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191EA13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006" w:type="dxa"/>
            <w:vAlign w:val="center"/>
          </w:tcPr>
          <w:p w14:paraId="5AF7ED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79FD74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3C0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BE899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0B8735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r>
              <w:rPr>
                <w:rFonts w:hint="eastAsia" w:ascii="方正小标宋_GBK" w:hAnsi="方正小标宋_GBK" w:eastAsia="方正小标宋_GBK" w:cs="方正小标宋_GBK"/>
                <w:sz w:val="28"/>
                <w:szCs w:val="28"/>
                <w:vertAlign w:val="baseline"/>
              </w:rPr>
              <w:t>对民用爆炸物品生产、销售企业的安全生产监督检查</w:t>
            </w:r>
          </w:p>
        </w:tc>
        <w:tc>
          <w:tcPr>
            <w:tcW w:w="891" w:type="dxa"/>
          </w:tcPr>
          <w:p w14:paraId="0303810B">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c>
          <w:tcPr>
            <w:tcW w:w="855" w:type="dxa"/>
            <w:vAlign w:val="center"/>
          </w:tcPr>
          <w:p w14:paraId="518A18A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r>
              <w:rPr>
                <w:rFonts w:hint="eastAsia" w:ascii="方正小标宋_GBK" w:hAnsi="方正小标宋_GBK" w:eastAsia="方正小标宋_GBK" w:cs="方正小标宋_GBK"/>
                <w:sz w:val="28"/>
                <w:szCs w:val="28"/>
                <w:vertAlign w:val="baseline"/>
              </w:rPr>
              <w:t>行政检查</w:t>
            </w:r>
          </w:p>
        </w:tc>
        <w:tc>
          <w:tcPr>
            <w:tcW w:w="3269" w:type="dxa"/>
          </w:tcPr>
          <w:p w14:paraId="64DF10F0">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【法律】《中华人民共和国安全生产法》（中华人民共和国主席令 第十三号《全国人民代表大会常务委员会关于修改〈中华人民共和国安全生产法〉的决定》已由中华人民共和国第十二届全国人民代表大会常务委员会第十次会议于2014年8月31日通过，现予公布，自2014年12月1日起施行）</w:t>
            </w:r>
          </w:p>
          <w:p w14:paraId="7294FD85">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六十二条：安全生产监督管理部门和其他负有安全生产监督管理职责的部门依法开展安全生产行政执法工作，对生产经营单位执行有关安全生产的法律、法规和国家标准或者行业标准的情况进行监督检查，行使以下职权： （一）进入生产经营单位进行检查，调阅有关资料，向有关单位和人员了解情况； （二）对检查中发现的安全生产违法行为，当场予以纠正或者要求限期改正；对依法应当给予行政处罚的行为，依照本法和其他有关法律、行政法规的规定作出行政处罚决定； （三）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 （四）对有根据认为不符合保障安全生产的国家标准或者行业标准的设施、设备、器材以及违法生产、储存、使用、经营、运输的危险物品予以查封或者扣押，对违法生产、储存、使用、经营危险物品的作业场所予以查封，并依法作出处理决定。 监督检查不得影响被检查单位的正常生产经营活动。</w:t>
            </w:r>
          </w:p>
          <w:p w14:paraId="5D61144D">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【法规】《民用爆炸物品安全管理条例》（2006年5月国务院令第466号，2014年7月修正）</w:t>
            </w:r>
          </w:p>
          <w:p w14:paraId="3D0FD097">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eastAsia" w:ascii="方正小标宋_GBK" w:hAnsi="方正小标宋_GBK" w:eastAsia="方正小标宋_GBK" w:cs="方正小标宋_GBK"/>
                <w:sz w:val="44"/>
                <w:szCs w:val="44"/>
                <w:vertAlign w:val="baseline"/>
              </w:rPr>
            </w:pPr>
            <w:r>
              <w:rPr>
                <w:rFonts w:hint="default" w:ascii="Times New Roman" w:hAnsi="Times New Roman" w:eastAsia="方正仿宋_GBK" w:cs="Times New Roman"/>
                <w:sz w:val="21"/>
                <w:szCs w:val="21"/>
                <w:vertAlign w:val="baseline"/>
              </w:rPr>
              <w:t xml:space="preserve">    第四条：民用爆炸物品行业主管部门负责民用爆炸物品生产、销售的安全监督管理。民用爆炸物品行业主管部门、公安机关、工商行政管理部门按照职责分工，负责组织查处非法生产、销售、购买、储存、运输、邮寄、使用民用爆炸物品的行为。</w:t>
            </w:r>
          </w:p>
        </w:tc>
        <w:tc>
          <w:tcPr>
            <w:tcW w:w="938" w:type="dxa"/>
            <w:vAlign w:val="center"/>
          </w:tcPr>
          <w:p w14:paraId="210C6E5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小标宋_GBK" w:hAnsi="方正小标宋_GBK" w:eastAsia="方正小标宋_GBK" w:cs="方正小标宋_GBK"/>
                <w:sz w:val="44"/>
                <w:szCs w:val="44"/>
                <w:vertAlign w:val="baseline"/>
              </w:rPr>
            </w:pPr>
            <w:r>
              <w:rPr>
                <w:rFonts w:hint="default" w:ascii="Times New Roman" w:hAnsi="Times New Roman" w:eastAsia="方正仿宋_GBK" w:cs="Times New Roman"/>
                <w:sz w:val="28"/>
                <w:szCs w:val="28"/>
                <w:vertAlign w:val="baseline"/>
              </w:rPr>
              <w:t>区工业和信息化局</w:t>
            </w:r>
          </w:p>
        </w:tc>
        <w:tc>
          <w:tcPr>
            <w:tcW w:w="1031" w:type="dxa"/>
            <w:vAlign w:val="center"/>
          </w:tcPr>
          <w:p w14:paraId="5D3E441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小标宋_GBK" w:hAnsi="方正小标宋_GBK" w:eastAsia="方正小标宋_GBK" w:cs="方正小标宋_GBK"/>
                <w:sz w:val="44"/>
                <w:szCs w:val="44"/>
                <w:vertAlign w:val="baseline"/>
              </w:rPr>
            </w:pPr>
            <w:r>
              <w:rPr>
                <w:rFonts w:hint="default" w:ascii="Times New Roman" w:hAnsi="Times New Roman" w:eastAsia="方正仿宋_GBK" w:cs="Times New Roman"/>
                <w:sz w:val="28"/>
                <w:szCs w:val="28"/>
                <w:vertAlign w:val="baseline"/>
              </w:rPr>
              <w:t>区工业和信息化局</w:t>
            </w:r>
          </w:p>
        </w:tc>
        <w:tc>
          <w:tcPr>
            <w:tcW w:w="844" w:type="dxa"/>
            <w:vAlign w:val="center"/>
          </w:tcPr>
          <w:p w14:paraId="166F137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lang w:eastAsia="zh-CN"/>
              </w:rPr>
            </w:pPr>
            <w:r>
              <w:rPr>
                <w:rFonts w:hint="default" w:ascii="Times New Roman" w:hAnsi="Times New Roman" w:eastAsia="方正仿宋_GBK" w:cs="Times New Roman"/>
                <w:sz w:val="28"/>
                <w:szCs w:val="28"/>
                <w:vertAlign w:val="baseline"/>
                <w:lang w:eastAsia="zh-CN"/>
              </w:rPr>
              <w:t>区级</w:t>
            </w:r>
          </w:p>
        </w:tc>
        <w:tc>
          <w:tcPr>
            <w:tcW w:w="1425" w:type="dxa"/>
            <w:vAlign w:val="center"/>
          </w:tcPr>
          <w:p w14:paraId="205D593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负责本</w:t>
            </w:r>
            <w:r>
              <w:rPr>
                <w:rFonts w:hint="eastAsia" w:ascii="Times New Roman" w:hAnsi="Times New Roman" w:eastAsia="方正仿宋_GBK" w:cs="Times New Roman"/>
                <w:sz w:val="24"/>
                <w:szCs w:val="24"/>
                <w:vertAlign w:val="baseline"/>
                <w:lang w:eastAsia="zh-CN"/>
              </w:rPr>
              <w:t>级</w:t>
            </w:r>
            <w:r>
              <w:rPr>
                <w:rFonts w:hint="default" w:ascii="Times New Roman" w:hAnsi="Times New Roman" w:eastAsia="方正仿宋_GBK" w:cs="Times New Roman"/>
                <w:sz w:val="24"/>
                <w:szCs w:val="24"/>
                <w:vertAlign w:val="baseline"/>
              </w:rPr>
              <w:t>行政区域内民用爆炸物品生产、销售企业的现场安全检查</w:t>
            </w:r>
          </w:p>
        </w:tc>
        <w:tc>
          <w:tcPr>
            <w:tcW w:w="1031" w:type="dxa"/>
            <w:vAlign w:val="center"/>
          </w:tcPr>
          <w:p w14:paraId="3449A34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负责民用爆炸</w:t>
            </w:r>
          </w:p>
          <w:p w14:paraId="1C99F4A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物品生产、销</w:t>
            </w:r>
          </w:p>
          <w:p w14:paraId="0E89E0D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售的安全生产</w:t>
            </w:r>
          </w:p>
          <w:p w14:paraId="7E96186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小标宋_GBK" w:hAnsi="方正小标宋_GBK" w:eastAsia="方正小标宋_GBK" w:cs="方正小标宋_GBK"/>
                <w:sz w:val="24"/>
                <w:szCs w:val="24"/>
                <w:vertAlign w:val="baseline"/>
              </w:rPr>
            </w:pPr>
            <w:r>
              <w:rPr>
                <w:rFonts w:hint="default" w:ascii="Times New Roman" w:hAnsi="Times New Roman" w:eastAsia="方正仿宋_GBK" w:cs="Times New Roman"/>
                <w:sz w:val="24"/>
                <w:szCs w:val="24"/>
                <w:vertAlign w:val="baseline"/>
              </w:rPr>
              <w:t>监督管理</w:t>
            </w:r>
          </w:p>
        </w:tc>
        <w:tc>
          <w:tcPr>
            <w:tcW w:w="1069" w:type="dxa"/>
            <w:vAlign w:val="center"/>
          </w:tcPr>
          <w:p w14:paraId="5DACB08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直接实施责任：</w:t>
            </w:r>
          </w:p>
          <w:p w14:paraId="30554A3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1.制定年度监督检查计划，开展例行安全检查，通过日常检查、专项检查等多种方式进行监督检查。</w:t>
            </w:r>
          </w:p>
          <w:p w14:paraId="1D5A2BD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方正小标宋_GBK" w:hAnsi="方正小标宋_GBK" w:eastAsia="方正小标宋_GBK" w:cs="方正小标宋_GBK"/>
                <w:sz w:val="24"/>
                <w:szCs w:val="24"/>
                <w:vertAlign w:val="baseline"/>
              </w:rPr>
            </w:pPr>
            <w:r>
              <w:rPr>
                <w:rFonts w:hint="default" w:ascii="Times New Roman" w:hAnsi="Times New Roman" w:eastAsia="方正仿宋_GBK" w:cs="Times New Roman"/>
                <w:sz w:val="24"/>
                <w:szCs w:val="24"/>
                <w:vertAlign w:val="baseline"/>
              </w:rPr>
              <w:t>2.加强与相关主管部门的沟通协调，开展联合检查，避免多头执法、执法扰民等现象</w:t>
            </w:r>
            <w:r>
              <w:rPr>
                <w:rFonts w:hint="eastAsia" w:ascii="方正小标宋_GBK" w:hAnsi="方正小标宋_GBK" w:eastAsia="方正小标宋_GBK" w:cs="方正小标宋_GBK"/>
                <w:sz w:val="24"/>
                <w:szCs w:val="24"/>
                <w:vertAlign w:val="baseline"/>
              </w:rPr>
              <w:t>。</w:t>
            </w:r>
          </w:p>
        </w:tc>
        <w:tc>
          <w:tcPr>
            <w:tcW w:w="2794" w:type="dxa"/>
            <w:vAlign w:val="center"/>
          </w:tcPr>
          <w:p w14:paraId="14E3E1D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【法规】《民用爆炸物品安全管理条例》（2006年5月国务院令第466号，2014年7月修正)</w:t>
            </w:r>
          </w:p>
          <w:p w14:paraId="6E2B244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第五十三条：民用爆炸物品行业主管部门、公安机关、工商行政管理部门的工作人</w:t>
            </w:r>
          </w:p>
          <w:p w14:paraId="5159F00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员，在民用爆炸物品安全监督管理工作中滥用职权、玩忽职守或者徇私舞弊，构成犯罪的，依法追究刑事责任;尚不构成犯罪的，依法给予行政处分。</w:t>
            </w:r>
          </w:p>
          <w:p w14:paraId="7EC46D8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【规章】《民用爆炸物品销售许可实施办法》（国防科工委令第18号，2006年8月发布，2015年4工业和信息化部令第29号修订）</w:t>
            </w:r>
          </w:p>
          <w:p w14:paraId="4AC4B42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第三十五条：省级国防科技工业部门工作人员在销售许可的受理、审查、颁证和监</w:t>
            </w:r>
          </w:p>
          <w:p w14:paraId="562175B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督管理工作中，有弄虚作假、徇私舞弊以及受贿、渎职等行为的，依法给予行政处分;构成犯罪的，依法追究刑事责任。</w:t>
            </w:r>
          </w:p>
          <w:p w14:paraId="4CB0F59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【规章】《民用爆炸物品安全生产许可实施办法》（2015年5月工业和信息化部令第</w:t>
            </w:r>
          </w:p>
          <w:p w14:paraId="02AE754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30号）</w:t>
            </w:r>
          </w:p>
          <w:p w14:paraId="5ECCDF7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第二十四条：负责民用爆炸物品安全生产许可的工作人员，在安全生产许可的受理</w:t>
            </w:r>
          </w:p>
          <w:p w14:paraId="4F00B1D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、审查、审批和监督管理工作中，索取或者接受企业财物，或者谋取其他利益的，给予降级或者撤职处分;有其他滥用职权、玩忽职</w:t>
            </w:r>
          </w:p>
          <w:p w14:paraId="2012215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守、徇私舞弊行为的，依法给予处分</w:t>
            </w:r>
            <w:r>
              <w:rPr>
                <w:rFonts w:hint="eastAsia" w:ascii="Times New Roman" w:hAnsi="Times New Roman" w:eastAsia="方正仿宋_GBK" w:cs="Times New Roman"/>
                <w:sz w:val="21"/>
                <w:szCs w:val="21"/>
                <w:vertAlign w:val="baseline"/>
                <w:lang w:eastAsia="zh-CN"/>
              </w:rPr>
              <w:t>；</w:t>
            </w:r>
            <w:r>
              <w:rPr>
                <w:rFonts w:hint="default" w:ascii="Times New Roman" w:hAnsi="Times New Roman" w:eastAsia="方正仿宋_GBK" w:cs="Times New Roman"/>
                <w:sz w:val="21"/>
                <w:szCs w:val="21"/>
                <w:vertAlign w:val="baseline"/>
              </w:rPr>
              <w:t>构成犯罪的，依法追究刑事责任。</w:t>
            </w:r>
          </w:p>
          <w:p w14:paraId="069E6A2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【规章】《民用爆炸物品生产许可实施办法》（2018年11月工业和信息化部令第49号）</w:t>
            </w:r>
          </w:p>
          <w:p w14:paraId="53F0F24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第二十九条：负责民用爆炸物品生产许可的工作人员，在民用爆炸物品生产许可受</w:t>
            </w:r>
          </w:p>
          <w:p w14:paraId="1B956FE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1"/>
                <w:szCs w:val="21"/>
                <w:vertAlign w:val="baseline"/>
              </w:rPr>
              <w:t>理、审查、审批和监督管理工作中，有弄虚作假、徇私舞弊以及受贿、渎职等行为的，给予处分；构成犯罪的，依法追究刑事责任。</w:t>
            </w:r>
          </w:p>
        </w:tc>
        <w:tc>
          <w:tcPr>
            <w:tcW w:w="1087" w:type="dxa"/>
            <w:vAlign w:val="center"/>
          </w:tcPr>
          <w:p w14:paraId="6517EF1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1.具体承办人；</w:t>
            </w:r>
          </w:p>
          <w:p w14:paraId="3AD14AA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2.内设机构负责人；</w:t>
            </w:r>
          </w:p>
          <w:p w14:paraId="5C7D573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3.单位法定代表人或分管领导。</w:t>
            </w:r>
          </w:p>
        </w:tc>
        <w:tc>
          <w:tcPr>
            <w:tcW w:w="2006" w:type="dxa"/>
            <w:vAlign w:val="center"/>
          </w:tcPr>
          <w:p w14:paraId="1851A68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因不履行或不正确履行行政职责，有下列情形的，行政机关及相关工作人员应承担相应的责任：</w:t>
            </w:r>
          </w:p>
          <w:p w14:paraId="1B3BA8B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1.行政机关违法实行检查措施或者执行措施，给公民人身或者财产造成损害、给法人或者其他组织造成损失的；</w:t>
            </w:r>
          </w:p>
          <w:p w14:paraId="636BC1B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2.行政机关为牟取本单位私利，对应当依法移交司法机关追究刑事责任的不移交，以行政处罚代替刑罚的；</w:t>
            </w:r>
          </w:p>
          <w:p w14:paraId="24D5080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3.执法人员玩忽职守，对应当予以制止和处罚的违法行为不予制止、处罚，致使公民、法人或者其他组织的合法权益、公共利益和社会秩序遭受损害的；</w:t>
            </w:r>
          </w:p>
          <w:p w14:paraId="7DAA797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4.不依照规定履行职责的；</w:t>
            </w:r>
          </w:p>
          <w:p w14:paraId="206C1E10">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5.其他法律、法规、规章、文件规定的行为。</w:t>
            </w:r>
          </w:p>
        </w:tc>
        <w:tc>
          <w:tcPr>
            <w:tcW w:w="780" w:type="dxa"/>
            <w:vAlign w:val="center"/>
          </w:tcPr>
          <w:p w14:paraId="4936384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《自治区各部门系统区地县三级权责清单指导目录》第87项</w:t>
            </w:r>
          </w:p>
        </w:tc>
      </w:tr>
      <w:tr w14:paraId="3CC5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31E220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eastAsia" w:ascii="Times New Roman" w:hAnsi="Times New Roman" w:eastAsia="方正小标宋_GBK" w:cs="Times New Roman"/>
                <w:sz w:val="28"/>
                <w:szCs w:val="28"/>
                <w:vertAlign w:val="baseline"/>
                <w:lang w:val="en-US" w:eastAsia="zh-CN"/>
              </w:rPr>
              <w:t>2</w:t>
            </w:r>
          </w:p>
        </w:tc>
        <w:tc>
          <w:tcPr>
            <w:tcW w:w="1361" w:type="dxa"/>
            <w:vAlign w:val="center"/>
          </w:tcPr>
          <w:p w14:paraId="74F2FC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8"/>
                <w:szCs w:val="28"/>
                <w:vertAlign w:val="baseline"/>
              </w:rPr>
              <w:t>对关键信息基础设施运营者职责进行检查</w:t>
            </w:r>
          </w:p>
        </w:tc>
        <w:tc>
          <w:tcPr>
            <w:tcW w:w="891" w:type="dxa"/>
          </w:tcPr>
          <w:p w14:paraId="7DC9A9D6">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vertAlign w:val="baseline"/>
              </w:rPr>
            </w:pPr>
          </w:p>
        </w:tc>
        <w:tc>
          <w:tcPr>
            <w:tcW w:w="855" w:type="dxa"/>
            <w:vAlign w:val="center"/>
          </w:tcPr>
          <w:p w14:paraId="019CFE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8"/>
                <w:szCs w:val="28"/>
                <w:vertAlign w:val="baseline"/>
              </w:rPr>
              <w:t>行政检查</w:t>
            </w:r>
          </w:p>
        </w:tc>
        <w:tc>
          <w:tcPr>
            <w:tcW w:w="3269" w:type="dxa"/>
            <w:vAlign w:val="center"/>
          </w:tcPr>
          <w:p w14:paraId="30D6C4F7">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【法律】《中华人民共和国网络安全法》（2016年11月7日</w:t>
            </w:r>
            <w:r>
              <w:rPr>
                <w:rFonts w:hint="eastAsia" w:ascii="Times New Roman" w:hAnsi="Times New Roman" w:eastAsia="方正仿宋_GBK" w:cs="Times New Roman"/>
                <w:sz w:val="21"/>
                <w:szCs w:val="21"/>
                <w:vertAlign w:val="baseline"/>
                <w:lang w:eastAsia="zh-CN"/>
              </w:rPr>
              <w:t>国务院令第</w:t>
            </w:r>
            <w:r>
              <w:rPr>
                <w:rFonts w:hint="default" w:ascii="Times New Roman" w:hAnsi="Times New Roman" w:eastAsia="方正仿宋_GBK" w:cs="Times New Roman"/>
                <w:sz w:val="21"/>
                <w:szCs w:val="21"/>
                <w:vertAlign w:val="baseline"/>
              </w:rPr>
              <w:t>53号令通过，2017年6月1日实施）</w:t>
            </w:r>
          </w:p>
          <w:p w14:paraId="637B9E53">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三十九条：国家网信部门应当统筹协调有关部门对关键信息基础设施的安全采取下列保护措施（一）对关键信息基础设施的安全风险进行抽查检测，提出改进措施，必要时可以委托网络安全服务机构对网络存在的安全风险进行检测评估。</w:t>
            </w:r>
          </w:p>
          <w:p w14:paraId="265E83FB">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【法规】《新疆维吾尔自治区网络安全管理条例》（2017年9月27日通过）</w:t>
            </w:r>
          </w:p>
          <w:p w14:paraId="54C16329">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第二十二条：自治区网信部门应当统筹协调通信、公安、经信、保密等有关部门组织开展电子政务、大型互联网服务平台、工业控制系统等重点部门和行业的网络安全检查，建立网络安全风险动态排查机制。</w:t>
            </w:r>
          </w:p>
        </w:tc>
        <w:tc>
          <w:tcPr>
            <w:tcW w:w="938" w:type="dxa"/>
            <w:vAlign w:val="center"/>
          </w:tcPr>
          <w:p w14:paraId="2A666E13">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区工业和信息化局</w:t>
            </w:r>
          </w:p>
        </w:tc>
        <w:tc>
          <w:tcPr>
            <w:tcW w:w="1031" w:type="dxa"/>
            <w:vAlign w:val="center"/>
          </w:tcPr>
          <w:p w14:paraId="2CAAC10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区工业和信息化局</w:t>
            </w:r>
          </w:p>
        </w:tc>
        <w:tc>
          <w:tcPr>
            <w:tcW w:w="844" w:type="dxa"/>
            <w:vAlign w:val="center"/>
          </w:tcPr>
          <w:p w14:paraId="44823D0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lang w:eastAsia="zh-CN"/>
              </w:rPr>
            </w:pPr>
            <w:r>
              <w:rPr>
                <w:rFonts w:hint="default" w:ascii="Times New Roman" w:hAnsi="Times New Roman" w:eastAsia="方正仿宋_GBK" w:cs="Times New Roman"/>
                <w:sz w:val="28"/>
                <w:szCs w:val="28"/>
                <w:vertAlign w:val="baseline"/>
                <w:lang w:eastAsia="zh-CN"/>
              </w:rPr>
              <w:t>区级</w:t>
            </w:r>
          </w:p>
        </w:tc>
        <w:tc>
          <w:tcPr>
            <w:tcW w:w="1425" w:type="dxa"/>
            <w:vAlign w:val="center"/>
          </w:tcPr>
          <w:p w14:paraId="2F8BCF0C">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负责对本</w:t>
            </w:r>
            <w:r>
              <w:rPr>
                <w:rFonts w:hint="eastAsia" w:ascii="Times New Roman" w:hAnsi="Times New Roman" w:eastAsia="方正仿宋_GBK" w:cs="Times New Roman"/>
                <w:sz w:val="24"/>
                <w:szCs w:val="24"/>
                <w:vertAlign w:val="baseline"/>
                <w:lang w:eastAsia="zh-CN"/>
              </w:rPr>
              <w:t>级</w:t>
            </w:r>
            <w:r>
              <w:rPr>
                <w:rFonts w:hint="default" w:ascii="Times New Roman" w:hAnsi="Times New Roman" w:eastAsia="方正仿宋_GBK" w:cs="Times New Roman"/>
                <w:sz w:val="24"/>
                <w:szCs w:val="24"/>
                <w:vertAlign w:val="baseline"/>
              </w:rPr>
              <w:t>行政区域</w:t>
            </w:r>
            <w:r>
              <w:rPr>
                <w:rFonts w:hint="eastAsia" w:ascii="Times New Roman" w:hAnsi="Times New Roman" w:eastAsia="方正仿宋_GBK" w:cs="Times New Roman"/>
                <w:sz w:val="24"/>
                <w:szCs w:val="24"/>
                <w:vertAlign w:val="baseline"/>
                <w:lang w:eastAsia="zh-CN"/>
              </w:rPr>
              <w:t>内</w:t>
            </w:r>
            <w:r>
              <w:rPr>
                <w:rFonts w:hint="default" w:ascii="Times New Roman" w:hAnsi="Times New Roman" w:eastAsia="方正仿宋_GBK" w:cs="Times New Roman"/>
                <w:sz w:val="24"/>
                <w:szCs w:val="24"/>
                <w:vertAlign w:val="baseline"/>
              </w:rPr>
              <w:t>关键信息基础设施运营者的网络安全状况进行检查</w:t>
            </w:r>
          </w:p>
        </w:tc>
        <w:tc>
          <w:tcPr>
            <w:tcW w:w="1031" w:type="dxa"/>
            <w:vAlign w:val="center"/>
          </w:tcPr>
          <w:p w14:paraId="151AFFB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w:t>
            </w:r>
            <w:r>
              <w:rPr>
                <w:rFonts w:hint="eastAsia" w:ascii="Times New Roman" w:hAnsi="Times New Roman" w:eastAsia="方正仿宋_GBK" w:cs="Times New Roman"/>
                <w:sz w:val="24"/>
                <w:szCs w:val="24"/>
                <w:vertAlign w:val="baseline"/>
                <w:lang w:eastAsia="zh-CN"/>
              </w:rPr>
              <w:t>本级</w:t>
            </w:r>
            <w:r>
              <w:rPr>
                <w:rFonts w:hint="default" w:ascii="Times New Roman" w:hAnsi="Times New Roman" w:eastAsia="方正仿宋_GBK" w:cs="Times New Roman"/>
                <w:sz w:val="24"/>
                <w:szCs w:val="24"/>
                <w:vertAlign w:val="baseline"/>
              </w:rPr>
              <w:t>行政区域</w:t>
            </w:r>
            <w:r>
              <w:rPr>
                <w:rFonts w:hint="eastAsia" w:ascii="Times New Roman" w:hAnsi="Times New Roman" w:eastAsia="方正仿宋_GBK" w:cs="Times New Roman"/>
                <w:sz w:val="24"/>
                <w:szCs w:val="24"/>
                <w:vertAlign w:val="baseline"/>
                <w:lang w:eastAsia="zh-CN"/>
              </w:rPr>
              <w:t>内</w:t>
            </w:r>
            <w:r>
              <w:rPr>
                <w:rFonts w:hint="default" w:ascii="Times New Roman" w:hAnsi="Times New Roman" w:eastAsia="方正仿宋_GBK" w:cs="Times New Roman"/>
                <w:sz w:val="24"/>
                <w:szCs w:val="24"/>
                <w:vertAlign w:val="baseline"/>
              </w:rPr>
              <w:t>工业领域信息安全管理工作。</w:t>
            </w:r>
          </w:p>
        </w:tc>
        <w:tc>
          <w:tcPr>
            <w:tcW w:w="1069" w:type="dxa"/>
            <w:vAlign w:val="center"/>
          </w:tcPr>
          <w:p w14:paraId="6F7E993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直接实施责任：</w:t>
            </w:r>
          </w:p>
          <w:p w14:paraId="68BCF07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1.执行监督检查计划，通过多种方式进行检查。</w:t>
            </w:r>
          </w:p>
          <w:p w14:paraId="0529ECC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2.加强与相关主管部门的沟通协调，开展联合检查，避免多头执法，执法扰民的现象。</w:t>
            </w:r>
          </w:p>
        </w:tc>
        <w:tc>
          <w:tcPr>
            <w:tcW w:w="2794" w:type="dxa"/>
            <w:vAlign w:val="center"/>
          </w:tcPr>
          <w:p w14:paraId="5910349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【法律】《中华人民共和国网络安全法》（2016年11月7日</w:t>
            </w:r>
            <w:r>
              <w:rPr>
                <w:rFonts w:hint="eastAsia" w:ascii="Times New Roman" w:hAnsi="Times New Roman" w:eastAsia="方正仿宋_GBK" w:cs="Times New Roman"/>
                <w:sz w:val="21"/>
                <w:szCs w:val="21"/>
                <w:vertAlign w:val="baseline"/>
                <w:lang w:eastAsia="zh-CN"/>
              </w:rPr>
              <w:t>国务院令第</w:t>
            </w:r>
            <w:r>
              <w:rPr>
                <w:rFonts w:hint="default" w:ascii="Times New Roman" w:hAnsi="Times New Roman" w:eastAsia="方正仿宋_GBK" w:cs="Times New Roman"/>
                <w:sz w:val="21"/>
                <w:szCs w:val="21"/>
                <w:vertAlign w:val="baseline"/>
              </w:rPr>
              <w:t>53号令通过，2017年6月1日实施）</w:t>
            </w:r>
          </w:p>
          <w:p w14:paraId="13C0556D">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第八条：国家网信部门负责统筹协调网络安全工作和相关监督管理工作。国务院电</w:t>
            </w:r>
          </w:p>
          <w:p w14:paraId="60BD8267">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信主管部门、公安部门和其他有关机关依照本法和有关法律、行政法规的规定，在各自职责范围内负责网络安全保护和监督管理工作。县级以上地方人民政府有关部门的网络安全保护和监督管理职责，按照国家有关规</w:t>
            </w:r>
          </w:p>
          <w:p w14:paraId="74CCA49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定确定。</w:t>
            </w:r>
          </w:p>
          <w:p w14:paraId="6276623F">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【法规】《新疆维吾尔自治区网络安全管理条例》（2017年9月27日通过）</w:t>
            </w:r>
          </w:p>
          <w:p w14:paraId="1D57A98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第四条、第五条。</w:t>
            </w:r>
          </w:p>
        </w:tc>
        <w:tc>
          <w:tcPr>
            <w:tcW w:w="1087" w:type="dxa"/>
            <w:vAlign w:val="center"/>
          </w:tcPr>
          <w:p w14:paraId="661AF87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1.具体承办人；</w:t>
            </w:r>
          </w:p>
          <w:p w14:paraId="6D08BB7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2.内设机构负责人；</w:t>
            </w:r>
          </w:p>
          <w:p w14:paraId="6BFC4A6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3.单位法定代表人或分管领导。</w:t>
            </w:r>
          </w:p>
        </w:tc>
        <w:tc>
          <w:tcPr>
            <w:tcW w:w="2006" w:type="dxa"/>
            <w:vAlign w:val="center"/>
          </w:tcPr>
          <w:p w14:paraId="4E80577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因不履行或不正确履行行政职责，有下列情形的，行政机关及相关工作人员应承担相应的责任：</w:t>
            </w:r>
          </w:p>
          <w:p w14:paraId="37558021">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1.行政机关违法实行检查措施或者执行措施，给公民人身或者财产造成损害、给法人或者其他组织造成损失的；</w:t>
            </w:r>
          </w:p>
          <w:p w14:paraId="1DCC31D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2.行政机关为牟取本单位私利，对应当依法移交司法机关追究刑事责任的不移交，以行政处罚代替刑罚的；</w:t>
            </w:r>
          </w:p>
          <w:p w14:paraId="67242895">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3.执法人员玩忽职守，对应当予以制止和处罚的违法行为不予制止、处罚，致使公民、法人或者其他组织的合法权益、公共利益和社会秩序遭受损害的；</w:t>
            </w:r>
          </w:p>
          <w:p w14:paraId="0393654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4.不依照规定履行职责的；</w:t>
            </w:r>
          </w:p>
          <w:p w14:paraId="4F35DA9B">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1"/>
                <w:szCs w:val="21"/>
                <w:vertAlign w:val="baseline"/>
              </w:rPr>
              <w:t>5.其他法律、法规、规章、文件规定的行为。</w:t>
            </w:r>
          </w:p>
        </w:tc>
        <w:tc>
          <w:tcPr>
            <w:tcW w:w="780" w:type="dxa"/>
            <w:vAlign w:val="center"/>
          </w:tcPr>
          <w:p w14:paraId="55F30EF8">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《自治区各部门系统区地县三级权责清单指导目录》第89项</w:t>
            </w:r>
          </w:p>
        </w:tc>
      </w:tr>
    </w:tbl>
    <w:p w14:paraId="6C02D07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米东区工业和信息化局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4871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269"/>
        <w:gridCol w:w="938"/>
        <w:gridCol w:w="1031"/>
        <w:gridCol w:w="1021"/>
        <w:gridCol w:w="1248"/>
        <w:gridCol w:w="1031"/>
        <w:gridCol w:w="1088"/>
        <w:gridCol w:w="2775"/>
        <w:gridCol w:w="1106"/>
        <w:gridCol w:w="1987"/>
        <w:gridCol w:w="780"/>
      </w:tblGrid>
      <w:tr w14:paraId="5BE60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43B46C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3D8CAF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487C8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65F2D49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269" w:type="dxa"/>
            <w:vAlign w:val="center"/>
          </w:tcPr>
          <w:p w14:paraId="2B4251F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38" w:type="dxa"/>
            <w:vAlign w:val="center"/>
          </w:tcPr>
          <w:p w14:paraId="3E7955A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1031" w:type="dxa"/>
            <w:vAlign w:val="center"/>
          </w:tcPr>
          <w:p w14:paraId="07D20D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69" w:type="dxa"/>
            <w:gridSpan w:val="2"/>
            <w:vAlign w:val="center"/>
          </w:tcPr>
          <w:p w14:paraId="35D373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031" w:type="dxa"/>
            <w:vAlign w:val="center"/>
          </w:tcPr>
          <w:p w14:paraId="1446691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088" w:type="dxa"/>
            <w:vAlign w:val="center"/>
          </w:tcPr>
          <w:p w14:paraId="60956B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2775" w:type="dxa"/>
            <w:vAlign w:val="center"/>
          </w:tcPr>
          <w:p w14:paraId="523DCE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106" w:type="dxa"/>
            <w:vAlign w:val="center"/>
          </w:tcPr>
          <w:p w14:paraId="3928EB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4D4D53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1987" w:type="dxa"/>
            <w:vAlign w:val="center"/>
          </w:tcPr>
          <w:p w14:paraId="72DE9E2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34F64FB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70341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47DBC8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1361" w:type="dxa"/>
            <w:vAlign w:val="center"/>
          </w:tcPr>
          <w:p w14:paraId="0FF398C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r>
              <w:rPr>
                <w:rFonts w:hint="eastAsia" w:ascii="方正小标宋_GBK" w:hAnsi="方正小标宋_GBK" w:eastAsia="方正小标宋_GBK" w:cs="方正小标宋_GBK"/>
                <w:sz w:val="28"/>
                <w:szCs w:val="28"/>
                <w:vertAlign w:val="baseline"/>
              </w:rPr>
              <w:t>权限内企业技术改造投资项目备案</w:t>
            </w:r>
          </w:p>
        </w:tc>
        <w:tc>
          <w:tcPr>
            <w:tcW w:w="891" w:type="dxa"/>
            <w:vAlign w:val="center"/>
          </w:tcPr>
          <w:p w14:paraId="348FCF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p>
        </w:tc>
        <w:tc>
          <w:tcPr>
            <w:tcW w:w="855" w:type="dxa"/>
            <w:vAlign w:val="center"/>
          </w:tcPr>
          <w:p w14:paraId="532B61F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r>
              <w:rPr>
                <w:rFonts w:hint="eastAsia" w:ascii="方正小标宋_GBK" w:hAnsi="方正小标宋_GBK" w:eastAsia="方正小标宋_GBK" w:cs="方正小标宋_GBK"/>
                <w:sz w:val="28"/>
                <w:szCs w:val="28"/>
                <w:vertAlign w:val="baseline"/>
              </w:rPr>
              <w:t>其他行政权力</w:t>
            </w:r>
          </w:p>
        </w:tc>
        <w:tc>
          <w:tcPr>
            <w:tcW w:w="3269" w:type="dxa"/>
            <w:vAlign w:val="center"/>
          </w:tcPr>
          <w:p w14:paraId="2FF7BC5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【法规】《企业投资项目核准和备案管理条例》（2016年10月8日</w:t>
            </w:r>
            <w:r>
              <w:rPr>
                <w:rFonts w:hint="eastAsia" w:ascii="Times New Roman" w:hAnsi="Times New Roman" w:eastAsia="方正仿宋_GBK" w:cs="Times New Roman"/>
                <w:sz w:val="21"/>
                <w:szCs w:val="21"/>
                <w:vertAlign w:val="baseline"/>
                <w:lang w:eastAsia="zh-CN"/>
              </w:rPr>
              <w:t>国务院令第</w:t>
            </w:r>
            <w:r>
              <w:rPr>
                <w:rFonts w:hint="default" w:ascii="Times New Roman" w:hAnsi="Times New Roman" w:eastAsia="方正仿宋_GBK" w:cs="Times New Roman"/>
                <w:sz w:val="21"/>
                <w:szCs w:val="21"/>
                <w:vertAlign w:val="baseline"/>
              </w:rPr>
              <w:t>149次常务会议通过 2016年11月30日中华人民共和国国务院令第673号公布 自2017年2月1日起施行）</w:t>
            </w:r>
          </w:p>
          <w:p w14:paraId="5BEDD36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第三条 对关系国家安全、涉及全国重大生产力布局、战略性资源开发和重大公共利益等项目，实行核准管理。具体项目范围以及核准机关、核准权限依照政府核准的投资项目目录执行。政府核准的投资项目目录由国务院投资主管部门会同国务院有关部门提出，报国务院批准后实施，并适时调整。国务院另有规定的，依照其规定。</w:t>
            </w:r>
          </w:p>
          <w:p w14:paraId="58B13AE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对前款规定以外的项目，实行备案管理。除国务院另有规定的，实行备案管理的项目按照属地原则备案，备案机关及其权限由省、自治区、直辖市和计划单列市人民政府规定。</w:t>
            </w:r>
          </w:p>
          <w:p w14:paraId="5419140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【规范性文件】《新疆维吾尔自治区企业技术改造投资项目核准和备案实施细则》（新工信规〔2025〕3号）</w:t>
            </w:r>
          </w:p>
          <w:p w14:paraId="35BECFD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第五条根据项目不同情况，分别实行核准管理或备案管理。</w:t>
            </w:r>
          </w:p>
          <w:p w14:paraId="0F80FB5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实行核准管理的具体项目范围以及核准机关、核准权限，由自治区人民政府发布的《新疆维吾尔自治区人民政府核准的投资项目目录》确定，技术改造投资项目由自治区工信厅核准。国家或自治区另有规定的，依照其规定</w:t>
            </w:r>
          </w:p>
          <w:p w14:paraId="359799A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1"/>
                <w:szCs w:val="21"/>
                <w:vertAlign w:val="baseline"/>
              </w:rPr>
              <w:t xml:space="preserve">  对实行核准管理以外的项目，实行备案管理，除国家或自治区另有规定外，项目备案按照属地原则由县（市、区）工业和信息化主管部门办理，跨县（市、区）行政区域项目</w:t>
            </w:r>
            <w:r>
              <w:rPr>
                <w:rFonts w:hint="eastAsia" w:ascii="Times New Roman" w:hAnsi="Times New Roman" w:eastAsia="方正仿宋_GBK" w:cs="Times New Roman"/>
                <w:sz w:val="21"/>
                <w:szCs w:val="21"/>
                <w:vertAlign w:val="baseline"/>
                <w:lang w:eastAsia="zh-CN"/>
              </w:rPr>
              <w:t>由</w:t>
            </w:r>
            <w:r>
              <w:rPr>
                <w:rFonts w:hint="default" w:ascii="Times New Roman" w:hAnsi="Times New Roman" w:eastAsia="方正仿宋_GBK" w:cs="Times New Roman"/>
                <w:sz w:val="21"/>
                <w:szCs w:val="21"/>
                <w:vertAlign w:val="baseline"/>
              </w:rPr>
              <w:t>项目实施地（州、市）工业和信息化主管部门办理，跨（州、市）行政区域的项目由自治区工业和信息化厅办理。</w:t>
            </w:r>
          </w:p>
        </w:tc>
        <w:tc>
          <w:tcPr>
            <w:tcW w:w="938" w:type="dxa"/>
            <w:vAlign w:val="center"/>
          </w:tcPr>
          <w:p w14:paraId="3D7CDE5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8"/>
                <w:szCs w:val="28"/>
                <w:vertAlign w:val="baseline"/>
              </w:rPr>
              <w:t>区工业和信息化局</w:t>
            </w:r>
          </w:p>
        </w:tc>
        <w:tc>
          <w:tcPr>
            <w:tcW w:w="1031" w:type="dxa"/>
            <w:vAlign w:val="center"/>
          </w:tcPr>
          <w:p w14:paraId="0D633C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8"/>
                <w:szCs w:val="28"/>
                <w:vertAlign w:val="baseline"/>
              </w:rPr>
              <w:t>区工业和信息化局</w:t>
            </w:r>
          </w:p>
        </w:tc>
        <w:tc>
          <w:tcPr>
            <w:tcW w:w="1021" w:type="dxa"/>
            <w:vAlign w:val="center"/>
          </w:tcPr>
          <w:p w14:paraId="265F26B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8"/>
                <w:szCs w:val="28"/>
                <w:vertAlign w:val="baseline"/>
                <w:lang w:eastAsia="zh-CN"/>
              </w:rPr>
              <w:t>区级</w:t>
            </w:r>
          </w:p>
        </w:tc>
        <w:tc>
          <w:tcPr>
            <w:tcW w:w="1248" w:type="dxa"/>
            <w:vAlign w:val="center"/>
          </w:tcPr>
          <w:p w14:paraId="17CA1E3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负责辖区内权限内</w:t>
            </w:r>
          </w:p>
          <w:p w14:paraId="6D5D947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eastAsia" w:ascii="Times New Roman" w:hAnsi="Times New Roman" w:eastAsia="方正仿宋_GBK" w:cs="Times New Roman"/>
                <w:sz w:val="24"/>
                <w:szCs w:val="24"/>
                <w:vertAlign w:val="baseline"/>
                <w:lang w:eastAsia="zh-CN"/>
              </w:rPr>
              <w:t>企业技术改造</w:t>
            </w:r>
            <w:r>
              <w:rPr>
                <w:rFonts w:hint="default" w:ascii="Times New Roman" w:hAnsi="Times New Roman" w:eastAsia="方正仿宋_GBK" w:cs="Times New Roman"/>
                <w:sz w:val="24"/>
                <w:szCs w:val="24"/>
                <w:vertAlign w:val="baseline"/>
              </w:rPr>
              <w:t>投资项目备案</w:t>
            </w:r>
          </w:p>
        </w:tc>
        <w:tc>
          <w:tcPr>
            <w:tcW w:w="1031" w:type="dxa"/>
            <w:vAlign w:val="center"/>
          </w:tcPr>
          <w:p w14:paraId="48628166">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负责本</w:t>
            </w:r>
            <w:r>
              <w:rPr>
                <w:rFonts w:hint="eastAsia" w:ascii="Times New Roman" w:hAnsi="Times New Roman" w:eastAsia="方正仿宋_GBK" w:cs="Times New Roman"/>
                <w:sz w:val="24"/>
                <w:szCs w:val="24"/>
                <w:vertAlign w:val="baseline"/>
                <w:lang w:eastAsia="zh-CN"/>
              </w:rPr>
              <w:t>级</w:t>
            </w:r>
            <w:r>
              <w:rPr>
                <w:rFonts w:hint="default" w:ascii="Times New Roman" w:hAnsi="Times New Roman" w:eastAsia="方正仿宋_GBK" w:cs="Times New Roman"/>
                <w:sz w:val="24"/>
                <w:szCs w:val="24"/>
                <w:vertAlign w:val="baseline"/>
              </w:rPr>
              <w:t>行政区域</w:t>
            </w:r>
            <w:r>
              <w:rPr>
                <w:rFonts w:hint="eastAsia" w:ascii="Times New Roman" w:hAnsi="Times New Roman" w:eastAsia="方正仿宋_GBK" w:cs="Times New Roman"/>
                <w:sz w:val="24"/>
                <w:szCs w:val="24"/>
                <w:vertAlign w:val="baseline"/>
                <w:lang w:eastAsia="zh-CN"/>
              </w:rPr>
              <w:t>内</w:t>
            </w:r>
            <w:r>
              <w:rPr>
                <w:rFonts w:hint="default" w:ascii="Times New Roman" w:hAnsi="Times New Roman" w:eastAsia="方正仿宋_GBK" w:cs="Times New Roman"/>
                <w:sz w:val="24"/>
                <w:szCs w:val="24"/>
                <w:vertAlign w:val="baseline"/>
              </w:rPr>
              <w:t>权限内企业投资项目备案</w:t>
            </w:r>
          </w:p>
          <w:p w14:paraId="43EAF039">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方正仿宋_GBK" w:cs="Times New Roman"/>
                <w:sz w:val="24"/>
                <w:szCs w:val="24"/>
                <w:vertAlign w:val="baseline"/>
                <w:lang w:eastAsia="zh-CN"/>
              </w:rPr>
            </w:pPr>
            <w:r>
              <w:rPr>
                <w:rFonts w:hint="eastAsia" w:ascii="Times New Roman" w:hAnsi="Times New Roman" w:eastAsia="方正仿宋_GBK" w:cs="Times New Roman"/>
                <w:sz w:val="24"/>
                <w:szCs w:val="24"/>
                <w:vertAlign w:val="baseline"/>
                <w:lang w:eastAsia="zh-CN"/>
              </w:rPr>
              <w:t>协助指导辖区工业企业编写技术改造项目备案材料，指导企业完成线上申报并及时出具备案证明</w:t>
            </w:r>
          </w:p>
        </w:tc>
        <w:tc>
          <w:tcPr>
            <w:tcW w:w="1088" w:type="dxa"/>
            <w:vAlign w:val="center"/>
          </w:tcPr>
          <w:p w14:paraId="56C5317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直接实施责任：</w:t>
            </w:r>
          </w:p>
          <w:p w14:paraId="05A2662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1.完善备案标准和程序等具体规定，并进一步规范；主动公示依据、条件、数量、程序、期限以及需要提交的全部材料目录和示范文本等。</w:t>
            </w:r>
          </w:p>
          <w:p w14:paraId="2FACFD1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2.依法依规实施备案程序。</w:t>
            </w:r>
          </w:p>
          <w:p w14:paraId="2CE00E2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3.监督责任。建立健全监督制度，对已备案申请人从事备案活动进行监督检查。</w:t>
            </w:r>
          </w:p>
        </w:tc>
        <w:tc>
          <w:tcPr>
            <w:tcW w:w="2775" w:type="dxa"/>
            <w:vAlign w:val="center"/>
          </w:tcPr>
          <w:p w14:paraId="61593ED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仿宋_GBK" w:cs="Times New Roman"/>
                <w:sz w:val="21"/>
                <w:szCs w:val="21"/>
                <w:vertAlign w:val="baseline"/>
                <w:lang w:eastAsia="zh-CN"/>
              </w:rPr>
            </w:pPr>
            <w:r>
              <w:rPr>
                <w:rFonts w:hint="default" w:ascii="Times New Roman" w:hAnsi="Times New Roman" w:eastAsia="方正仿宋_GBK" w:cs="Times New Roman"/>
                <w:sz w:val="21"/>
                <w:szCs w:val="21"/>
                <w:vertAlign w:val="baseline"/>
              </w:rPr>
              <w:t>【法规】</w:t>
            </w:r>
            <w:r>
              <w:rPr>
                <w:rFonts w:hint="eastAsia" w:ascii="Times New Roman" w:hAnsi="Times New Roman" w:eastAsia="方正仿宋_GBK" w:cs="Times New Roman"/>
                <w:sz w:val="21"/>
                <w:szCs w:val="21"/>
                <w:vertAlign w:val="baseline"/>
                <w:lang w:eastAsia="zh-CN"/>
              </w:rPr>
              <w:t>《企业投资项目核准和备案管理条例》（</w:t>
            </w:r>
            <w:r>
              <w:rPr>
                <w:rFonts w:hint="eastAsia" w:ascii="Times New Roman" w:hAnsi="Times New Roman" w:eastAsia="方正仿宋_GBK" w:cs="Times New Roman"/>
                <w:sz w:val="21"/>
                <w:szCs w:val="21"/>
                <w:vertAlign w:val="baseline"/>
                <w:lang w:val="en-US" w:eastAsia="zh-CN"/>
              </w:rPr>
              <w:t>2016年10月8日国务院令第149次常务会议通过 2016年11月30日中华人民共和国国务院令第673号公布 自2017年2月1日起施行</w:t>
            </w:r>
            <w:r>
              <w:rPr>
                <w:rFonts w:hint="eastAsia" w:ascii="Times New Roman" w:hAnsi="Times New Roman" w:eastAsia="方正仿宋_GBK" w:cs="Times New Roman"/>
                <w:sz w:val="21"/>
                <w:szCs w:val="21"/>
                <w:vertAlign w:val="baseline"/>
                <w:lang w:eastAsia="zh-CN"/>
              </w:rPr>
              <w:t>）</w:t>
            </w:r>
          </w:p>
          <w:p w14:paraId="05427AE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第二十一条。</w:t>
            </w:r>
          </w:p>
          <w:p w14:paraId="695C0EE8">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仿宋_GBK" w:cs="Times New Roman"/>
                <w:sz w:val="21"/>
                <w:szCs w:val="21"/>
                <w:vertAlign w:val="baseline"/>
                <w:lang w:eastAsia="zh-CN"/>
              </w:rPr>
            </w:pPr>
            <w:r>
              <w:rPr>
                <w:rFonts w:hint="default" w:ascii="Times New Roman" w:hAnsi="Times New Roman" w:eastAsia="方正仿宋_GBK" w:cs="Times New Roman"/>
                <w:sz w:val="21"/>
                <w:szCs w:val="21"/>
                <w:vertAlign w:val="baseline"/>
              </w:rPr>
              <w:t>【</w:t>
            </w:r>
            <w:r>
              <w:rPr>
                <w:rFonts w:hint="eastAsia" w:ascii="Times New Roman" w:hAnsi="Times New Roman" w:eastAsia="方正仿宋_GBK" w:cs="Times New Roman"/>
                <w:sz w:val="21"/>
                <w:szCs w:val="21"/>
                <w:vertAlign w:val="baseline"/>
                <w:lang w:eastAsia="zh-CN"/>
              </w:rPr>
              <w:t>规范性文件</w:t>
            </w:r>
            <w:r>
              <w:rPr>
                <w:rFonts w:hint="default" w:ascii="Times New Roman" w:hAnsi="Times New Roman" w:eastAsia="方正仿宋_GBK" w:cs="Times New Roman"/>
                <w:sz w:val="21"/>
                <w:szCs w:val="21"/>
                <w:vertAlign w:val="baseline"/>
              </w:rPr>
              <w:t>】</w:t>
            </w:r>
            <w:r>
              <w:rPr>
                <w:rFonts w:hint="eastAsia" w:ascii="Times New Roman" w:hAnsi="Times New Roman" w:eastAsia="方正仿宋_GBK" w:cs="Times New Roman"/>
                <w:sz w:val="21"/>
                <w:szCs w:val="21"/>
                <w:vertAlign w:val="baseline"/>
                <w:lang w:eastAsia="zh-CN"/>
              </w:rPr>
              <w:t>自治区人民政府《新疆维吾尔自治区企业投资项目备案暂行办法》（新政发</w:t>
            </w:r>
            <w:r>
              <w:rPr>
                <w:rFonts w:hint="default" w:ascii="Times New Roman" w:hAnsi="Times New Roman" w:eastAsia="方正仿宋_GBK" w:cs="Times New Roman"/>
                <w:sz w:val="21"/>
                <w:szCs w:val="21"/>
                <w:vertAlign w:val="baseline"/>
              </w:rPr>
              <w:t>〔</w:t>
            </w:r>
            <w:r>
              <w:rPr>
                <w:rFonts w:hint="eastAsia" w:ascii="Times New Roman" w:hAnsi="Times New Roman" w:eastAsia="方正仿宋_GBK" w:cs="Times New Roman"/>
                <w:sz w:val="21"/>
                <w:szCs w:val="21"/>
                <w:vertAlign w:val="baseline"/>
                <w:lang w:val="en-US" w:eastAsia="zh-CN"/>
              </w:rPr>
              <w:t>2005</w:t>
            </w:r>
            <w:r>
              <w:rPr>
                <w:rFonts w:hint="default" w:ascii="Times New Roman" w:hAnsi="Times New Roman" w:eastAsia="方正仿宋_GBK" w:cs="Times New Roman"/>
                <w:sz w:val="21"/>
                <w:szCs w:val="21"/>
                <w:vertAlign w:val="baseline"/>
              </w:rPr>
              <w:t>〕</w:t>
            </w:r>
            <w:r>
              <w:rPr>
                <w:rFonts w:hint="eastAsia" w:ascii="Times New Roman" w:hAnsi="Times New Roman" w:eastAsia="方正仿宋_GBK" w:cs="Times New Roman"/>
                <w:sz w:val="21"/>
                <w:szCs w:val="21"/>
                <w:vertAlign w:val="baseline"/>
                <w:lang w:val="en-US" w:eastAsia="zh-CN"/>
              </w:rPr>
              <w:t>57号</w:t>
            </w:r>
            <w:r>
              <w:rPr>
                <w:rFonts w:hint="eastAsia" w:ascii="Times New Roman" w:hAnsi="Times New Roman" w:eastAsia="方正仿宋_GBK" w:cs="Times New Roman"/>
                <w:sz w:val="21"/>
                <w:szCs w:val="21"/>
                <w:vertAlign w:val="baseline"/>
                <w:lang w:eastAsia="zh-CN"/>
              </w:rPr>
              <w:t>）</w:t>
            </w:r>
          </w:p>
          <w:p w14:paraId="13AB8DD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第十五条、第十六条。</w:t>
            </w:r>
          </w:p>
        </w:tc>
        <w:tc>
          <w:tcPr>
            <w:tcW w:w="1106" w:type="dxa"/>
            <w:vAlign w:val="center"/>
          </w:tcPr>
          <w:p w14:paraId="32B5F4C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1.具体承办人；</w:t>
            </w:r>
          </w:p>
          <w:p w14:paraId="7A37178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2.内设机构负责人；</w:t>
            </w:r>
          </w:p>
          <w:p w14:paraId="627CE6B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3.单位法定代表人或分管领导。</w:t>
            </w:r>
          </w:p>
        </w:tc>
        <w:tc>
          <w:tcPr>
            <w:tcW w:w="1987" w:type="dxa"/>
            <w:vAlign w:val="center"/>
          </w:tcPr>
          <w:p w14:paraId="735A801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因不履行或不正确履行行政职责，有下列情形的，行政机关及相关工作人员应承担相应的责任：</w:t>
            </w:r>
          </w:p>
          <w:p w14:paraId="0D2C29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1．玩忽职守，贻误工作的；</w:t>
            </w:r>
          </w:p>
          <w:p w14:paraId="2D4A949D">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2．拒绝执行上级依法作出的决定和命令的；</w:t>
            </w:r>
          </w:p>
          <w:p w14:paraId="3D33C4F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3．弄虚作假，误导、欺骗领导和公众的；</w:t>
            </w:r>
          </w:p>
          <w:p w14:paraId="245CF17F">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4．滥用职权，侵害公民、法人或者其他组织的合法权益的；</w:t>
            </w:r>
          </w:p>
          <w:p w14:paraId="2AAD829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5．行政权力行使过程中失职、渎职的；</w:t>
            </w:r>
          </w:p>
          <w:p w14:paraId="741BA6F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6．</w:t>
            </w:r>
            <w:r>
              <w:rPr>
                <w:rFonts w:hint="eastAsia" w:ascii="Times New Roman" w:hAnsi="Times New Roman" w:eastAsia="方正仿宋_GBK" w:cs="Times New Roman"/>
                <w:sz w:val="24"/>
                <w:szCs w:val="24"/>
                <w:vertAlign w:val="baseline"/>
                <w:lang w:eastAsia="zh-CN"/>
              </w:rPr>
              <w:t>行使职权</w:t>
            </w:r>
            <w:r>
              <w:rPr>
                <w:rFonts w:hint="default" w:ascii="Times New Roman" w:hAnsi="Times New Roman" w:eastAsia="方正仿宋_GBK" w:cs="Times New Roman"/>
                <w:sz w:val="24"/>
                <w:szCs w:val="24"/>
                <w:vertAlign w:val="baseline"/>
              </w:rPr>
              <w:t>过程中出现腐败行为的；</w:t>
            </w:r>
          </w:p>
          <w:p w14:paraId="72FAE03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7．其他违反法律法规规章文件规定的行为。</w:t>
            </w:r>
          </w:p>
        </w:tc>
        <w:tc>
          <w:tcPr>
            <w:tcW w:w="780" w:type="dxa"/>
            <w:vAlign w:val="center"/>
          </w:tcPr>
          <w:p w14:paraId="7760BF7B">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《自治区各部门系统区地县三级权责清单指导目录》第102项</w:t>
            </w:r>
          </w:p>
        </w:tc>
      </w:tr>
      <w:tr w14:paraId="42513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2227C1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eastAsia" w:ascii="Times New Roman" w:hAnsi="Times New Roman" w:eastAsia="方正小标宋_GBK" w:cs="Times New Roman"/>
                <w:sz w:val="28"/>
                <w:szCs w:val="28"/>
                <w:vertAlign w:val="baseline"/>
                <w:lang w:val="en-US" w:eastAsia="zh-CN"/>
              </w:rPr>
              <w:t>2</w:t>
            </w:r>
          </w:p>
        </w:tc>
        <w:tc>
          <w:tcPr>
            <w:tcW w:w="1361" w:type="dxa"/>
            <w:vAlign w:val="center"/>
          </w:tcPr>
          <w:p w14:paraId="4CFB42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8"/>
                <w:szCs w:val="28"/>
                <w:vertAlign w:val="baseline"/>
              </w:rPr>
              <w:t>对网络存在较大安全风险或发生安全事件的网络运营者法人或主要负责人进行约谈</w:t>
            </w:r>
          </w:p>
        </w:tc>
        <w:tc>
          <w:tcPr>
            <w:tcW w:w="891" w:type="dxa"/>
            <w:vAlign w:val="center"/>
          </w:tcPr>
          <w:p w14:paraId="1CF7E9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vertAlign w:val="baseline"/>
              </w:rPr>
            </w:pPr>
          </w:p>
        </w:tc>
        <w:tc>
          <w:tcPr>
            <w:tcW w:w="855" w:type="dxa"/>
            <w:vAlign w:val="center"/>
          </w:tcPr>
          <w:p w14:paraId="2B137A7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28"/>
                <w:szCs w:val="28"/>
                <w:vertAlign w:val="baseline"/>
              </w:rPr>
            </w:pPr>
            <w:r>
              <w:rPr>
                <w:rFonts w:hint="eastAsia" w:ascii="方正小标宋_GBK" w:hAnsi="方正小标宋_GBK" w:eastAsia="方正小标宋_GBK" w:cs="方正小标宋_GBK"/>
                <w:sz w:val="28"/>
                <w:szCs w:val="28"/>
                <w:vertAlign w:val="baseline"/>
              </w:rPr>
              <w:t>其他行政权力</w:t>
            </w:r>
          </w:p>
        </w:tc>
        <w:tc>
          <w:tcPr>
            <w:tcW w:w="3269" w:type="dxa"/>
            <w:vAlign w:val="center"/>
          </w:tcPr>
          <w:p w14:paraId="67440C1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【法规】《新疆维吾尔自治区网络安全管理条例》（2017年9月27日通过）</w:t>
            </w:r>
          </w:p>
          <w:p w14:paraId="1135C96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1"/>
                <w:szCs w:val="21"/>
                <w:vertAlign w:val="baseline"/>
              </w:rPr>
            </w:pPr>
            <w:r>
              <w:rPr>
                <w:rFonts w:hint="default" w:ascii="Times New Roman" w:hAnsi="Times New Roman" w:eastAsia="方正仿宋_GBK" w:cs="Times New Roman"/>
                <w:sz w:val="21"/>
                <w:szCs w:val="21"/>
                <w:vertAlign w:val="baseline"/>
              </w:rPr>
              <w:t xml:space="preserve">    第四十六条：自治区网信、通信、公安、经信等部门在履行网络安全监督管理职责中，发现网络存在较大安全风险或者发生安全事件的，可以对该网络运营者的法定代表人或者主要负责人进行约谈。</w:t>
            </w:r>
          </w:p>
        </w:tc>
        <w:tc>
          <w:tcPr>
            <w:tcW w:w="938" w:type="dxa"/>
            <w:vAlign w:val="center"/>
          </w:tcPr>
          <w:p w14:paraId="2E27D2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区工业和信息化局</w:t>
            </w:r>
          </w:p>
        </w:tc>
        <w:tc>
          <w:tcPr>
            <w:tcW w:w="1031" w:type="dxa"/>
            <w:vAlign w:val="center"/>
          </w:tcPr>
          <w:p w14:paraId="54630D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8"/>
                <w:szCs w:val="28"/>
                <w:vertAlign w:val="baseline"/>
              </w:rPr>
            </w:pPr>
            <w:r>
              <w:rPr>
                <w:rFonts w:hint="default" w:ascii="Times New Roman" w:hAnsi="Times New Roman" w:eastAsia="方正仿宋_GBK" w:cs="Times New Roman"/>
                <w:sz w:val="28"/>
                <w:szCs w:val="28"/>
                <w:vertAlign w:val="baseline"/>
              </w:rPr>
              <w:t>区工业和信息化局</w:t>
            </w:r>
          </w:p>
        </w:tc>
        <w:tc>
          <w:tcPr>
            <w:tcW w:w="1021" w:type="dxa"/>
            <w:vAlign w:val="center"/>
          </w:tcPr>
          <w:p w14:paraId="7ECC198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仿宋_GBK" w:cs="Times New Roman"/>
                <w:sz w:val="28"/>
                <w:szCs w:val="28"/>
                <w:vertAlign w:val="baseline"/>
                <w:lang w:eastAsia="zh-CN"/>
              </w:rPr>
            </w:pPr>
            <w:r>
              <w:rPr>
                <w:rFonts w:hint="default" w:ascii="Times New Roman" w:hAnsi="Times New Roman" w:eastAsia="方正仿宋_GBK" w:cs="Times New Roman"/>
                <w:sz w:val="28"/>
                <w:szCs w:val="28"/>
                <w:vertAlign w:val="baseline"/>
                <w:lang w:eastAsia="zh-CN"/>
              </w:rPr>
              <w:t>区级</w:t>
            </w:r>
          </w:p>
        </w:tc>
        <w:tc>
          <w:tcPr>
            <w:tcW w:w="1248" w:type="dxa"/>
            <w:vAlign w:val="center"/>
          </w:tcPr>
          <w:p w14:paraId="6AB28DDA">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对网络存在较大安</w:t>
            </w:r>
          </w:p>
          <w:p w14:paraId="39563436">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全风险或发安全事</w:t>
            </w:r>
          </w:p>
          <w:p w14:paraId="0A6AC9E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件的网络运营者法</w:t>
            </w:r>
          </w:p>
          <w:p w14:paraId="06E3862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人或主要负责人进</w:t>
            </w:r>
          </w:p>
          <w:p w14:paraId="7557A63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行约谈</w:t>
            </w:r>
          </w:p>
        </w:tc>
        <w:tc>
          <w:tcPr>
            <w:tcW w:w="1031" w:type="dxa"/>
            <w:vAlign w:val="center"/>
          </w:tcPr>
          <w:p w14:paraId="4D14037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负责本</w:t>
            </w:r>
            <w:r>
              <w:rPr>
                <w:rFonts w:hint="eastAsia" w:ascii="Times New Roman" w:hAnsi="Times New Roman" w:eastAsia="方正仿宋_GBK" w:cs="Times New Roman"/>
                <w:sz w:val="24"/>
                <w:szCs w:val="24"/>
                <w:vertAlign w:val="baseline"/>
                <w:lang w:eastAsia="zh-CN"/>
              </w:rPr>
              <w:t>级</w:t>
            </w:r>
            <w:r>
              <w:rPr>
                <w:rFonts w:hint="default" w:ascii="Times New Roman" w:hAnsi="Times New Roman" w:eastAsia="方正仿宋_GBK" w:cs="Times New Roman"/>
                <w:sz w:val="24"/>
                <w:szCs w:val="24"/>
                <w:vertAlign w:val="baseline"/>
              </w:rPr>
              <w:t>行政区域</w:t>
            </w:r>
            <w:r>
              <w:rPr>
                <w:rFonts w:hint="eastAsia" w:ascii="Times New Roman" w:hAnsi="Times New Roman" w:eastAsia="方正仿宋_GBK" w:cs="Times New Roman"/>
                <w:sz w:val="24"/>
                <w:szCs w:val="24"/>
                <w:vertAlign w:val="baseline"/>
                <w:lang w:eastAsia="zh-CN"/>
              </w:rPr>
              <w:t>内</w:t>
            </w:r>
            <w:r>
              <w:rPr>
                <w:rFonts w:hint="default" w:ascii="Times New Roman" w:hAnsi="Times New Roman" w:eastAsia="方正仿宋_GBK" w:cs="Times New Roman"/>
                <w:sz w:val="24"/>
                <w:szCs w:val="24"/>
                <w:vertAlign w:val="baseline"/>
              </w:rPr>
              <w:t>工业领域信息安全管理工</w:t>
            </w:r>
          </w:p>
          <w:p w14:paraId="630476F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作。</w:t>
            </w:r>
          </w:p>
        </w:tc>
        <w:tc>
          <w:tcPr>
            <w:tcW w:w="1088" w:type="dxa"/>
            <w:vAlign w:val="center"/>
          </w:tcPr>
          <w:p w14:paraId="5483E9F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直接实施责任：</w:t>
            </w:r>
          </w:p>
          <w:p w14:paraId="31F33D6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对存在较大安全风险或安全事件的移动、联通、电信等通讯运营单位法人或主要负责人进行约谈。</w:t>
            </w:r>
          </w:p>
        </w:tc>
        <w:tc>
          <w:tcPr>
            <w:tcW w:w="2775" w:type="dxa"/>
            <w:vAlign w:val="center"/>
          </w:tcPr>
          <w:p w14:paraId="338CF512">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【法规】《新疆维吾尔自治区网络安全管理条例》（2017年9月27日通过）</w:t>
            </w:r>
          </w:p>
          <w:p w14:paraId="66BE018E">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第六十条： 网信、通信、公安、经信、保密等行业主管或者监管部门的工作人员，在网络安全保护监督管理工作中，有下列行为之一的，对直接负责的主管人员和其他直接责任人员依法给予</w:t>
            </w:r>
          </w:p>
          <w:p w14:paraId="676F6066">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处分；构成犯罪的，依法追究刑事责任：（一）接到对危害网络运行安全、信息安全行为的举报，未依法处理或者未及时移送有关部门的；（二）对信息化项目的安全性和可能存在的风险未进行论证评审、评估的；（三）对含有本条例第三十条第一款所列禁止利用网络从事活动的信息，未责令有关单位停止传输、删除相关信息或者关闭相关网站、关停相关服务的；（四）发现网络存</w:t>
            </w:r>
          </w:p>
          <w:p w14:paraId="5764502A">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在较大安全风险或者发生安全事件，未对该网络运营者的法定代表人或者主要</w:t>
            </w:r>
          </w:p>
          <w:p w14:paraId="6D4E9389">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负责人进行约谈的；（五）其他玩忽职守、滥用职权、徇私舞弊的。</w:t>
            </w:r>
          </w:p>
          <w:p w14:paraId="70DCB404">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hint="eastAsia" w:ascii="Times New Roman" w:hAnsi="Times New Roman" w:eastAsia="方正仿宋_GBK" w:cs="Times New Roman"/>
                <w:sz w:val="21"/>
                <w:szCs w:val="21"/>
                <w:vertAlign w:val="baseline"/>
                <w:lang w:eastAsia="zh-CN"/>
              </w:rPr>
            </w:pPr>
            <w:r>
              <w:rPr>
                <w:rFonts w:hint="eastAsia" w:ascii="Times New Roman" w:hAnsi="Times New Roman" w:eastAsia="方正仿宋_GBK" w:cs="Times New Roman"/>
                <w:sz w:val="21"/>
                <w:szCs w:val="21"/>
                <w:vertAlign w:val="baseline"/>
                <w:lang w:eastAsia="zh-CN"/>
              </w:rPr>
              <w:t>第六十一条：违反本条例规定，应当给予处罚的其他行为，依照有关法律法规的规定给予处罚。</w:t>
            </w:r>
          </w:p>
        </w:tc>
        <w:tc>
          <w:tcPr>
            <w:tcW w:w="1106" w:type="dxa"/>
            <w:vAlign w:val="center"/>
          </w:tcPr>
          <w:p w14:paraId="7786D0F5">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1.具体承办人；</w:t>
            </w:r>
          </w:p>
          <w:p w14:paraId="38405EA0">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2.内设机构负责人；</w:t>
            </w:r>
          </w:p>
          <w:p w14:paraId="412F2A3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3.单位法定代表人或分管领导。</w:t>
            </w:r>
          </w:p>
        </w:tc>
        <w:tc>
          <w:tcPr>
            <w:tcW w:w="1987" w:type="dxa"/>
            <w:vAlign w:val="center"/>
          </w:tcPr>
          <w:p w14:paraId="2ACF8783">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因不履行或不正确履行行政职责，有下列情形的，行政机关及相关工作人员应承担相应的责任：</w:t>
            </w:r>
          </w:p>
          <w:p w14:paraId="74FD3307">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1．玩忽职守，贻误工作的；</w:t>
            </w:r>
          </w:p>
          <w:p w14:paraId="7DEFD0B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2．拒绝执行上级依法作出的决定和命令的；</w:t>
            </w:r>
          </w:p>
          <w:p w14:paraId="1637A8AC">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3．弄虚作假，误导、欺骗领导和公众的；</w:t>
            </w:r>
          </w:p>
          <w:p w14:paraId="3A7B3102">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4．滥用职权，侵害公民、法人或者其他组织的合法权益的；</w:t>
            </w:r>
          </w:p>
          <w:p w14:paraId="6C9D0889">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5．行政权力行使过程中失职、渎职的；</w:t>
            </w:r>
          </w:p>
          <w:p w14:paraId="7B5CE7C1">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6．</w:t>
            </w:r>
            <w:r>
              <w:rPr>
                <w:rFonts w:hint="eastAsia" w:ascii="Times New Roman" w:hAnsi="Times New Roman" w:eastAsia="方正仿宋_GBK" w:cs="Times New Roman"/>
                <w:sz w:val="24"/>
                <w:szCs w:val="24"/>
                <w:vertAlign w:val="baseline"/>
                <w:lang w:eastAsia="zh-CN"/>
              </w:rPr>
              <w:t>行使职权</w:t>
            </w:r>
            <w:r>
              <w:rPr>
                <w:rFonts w:hint="default" w:ascii="Times New Roman" w:hAnsi="Times New Roman" w:eastAsia="方正仿宋_GBK" w:cs="Times New Roman"/>
                <w:sz w:val="24"/>
                <w:szCs w:val="24"/>
                <w:vertAlign w:val="baseline"/>
              </w:rPr>
              <w:t>过程中出现腐败行为的；</w:t>
            </w:r>
          </w:p>
          <w:p w14:paraId="6B2E1A1E">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7．其他违反法律法规规章文件规定的行为。</w:t>
            </w:r>
          </w:p>
        </w:tc>
        <w:tc>
          <w:tcPr>
            <w:tcW w:w="780" w:type="dxa"/>
            <w:vAlign w:val="center"/>
          </w:tcPr>
          <w:p w14:paraId="0B2BF824">
            <w:pPr>
              <w:keepNext w:val="0"/>
              <w:keepLines w:val="0"/>
              <w:pageBreakBefore w:val="0"/>
              <w:widowControl w:val="0"/>
              <w:kinsoku/>
              <w:wordWrap/>
              <w:overflowPunct/>
              <w:topLinePunct w:val="0"/>
              <w:autoSpaceDE/>
              <w:autoSpaceDN/>
              <w:bidi w:val="0"/>
              <w:adjustRightInd/>
              <w:snapToGrid/>
              <w:spacing w:line="320" w:lineRule="exact"/>
              <w:jc w:val="center"/>
              <w:textAlignment w:val="auto"/>
              <w:rPr>
                <w:rFonts w:hint="default" w:ascii="Times New Roman" w:hAnsi="Times New Roman" w:eastAsia="方正仿宋_GBK" w:cs="Times New Roman"/>
                <w:sz w:val="24"/>
                <w:szCs w:val="24"/>
                <w:vertAlign w:val="baseline"/>
              </w:rPr>
            </w:pPr>
            <w:r>
              <w:rPr>
                <w:rFonts w:hint="default" w:ascii="Times New Roman" w:hAnsi="Times New Roman" w:eastAsia="方正仿宋_GBK" w:cs="Times New Roman"/>
                <w:sz w:val="24"/>
                <w:szCs w:val="24"/>
                <w:vertAlign w:val="baseline"/>
              </w:rPr>
              <w:t>《自治区各部门系统区地县三级权责清单指导目录》第101项</w:t>
            </w:r>
          </w:p>
        </w:tc>
      </w:tr>
    </w:tbl>
    <w:p w14:paraId="7D18BB7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3123006">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A00002BF" w:usb1="38CF7CFA" w:usb2="00082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7145C15"/>
    <w:rsid w:val="075153A9"/>
    <w:rsid w:val="1EF413AD"/>
    <w:rsid w:val="20052EF5"/>
    <w:rsid w:val="204958FC"/>
    <w:rsid w:val="26186658"/>
    <w:rsid w:val="31416C5C"/>
    <w:rsid w:val="325255F8"/>
    <w:rsid w:val="33A928CE"/>
    <w:rsid w:val="37B4116F"/>
    <w:rsid w:val="39965008"/>
    <w:rsid w:val="44CC2B6C"/>
    <w:rsid w:val="4AED334A"/>
    <w:rsid w:val="4BF506BE"/>
    <w:rsid w:val="5DEE5DA8"/>
    <w:rsid w:val="63954645"/>
    <w:rsid w:val="63CC36EB"/>
    <w:rsid w:val="668F2A3A"/>
    <w:rsid w:val="74B64688"/>
    <w:rsid w:val="7B712812"/>
    <w:rsid w:val="7C7608F9"/>
    <w:rsid w:val="7EFF69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5006</Words>
  <Characters>5153</Characters>
  <Lines>0</Lines>
  <Paragraphs>0</Paragraphs>
  <TotalTime>5</TotalTime>
  <ScaleCrop>false</ScaleCrop>
  <LinksUpToDate>false</LinksUpToDate>
  <CharactersWithSpaces>5209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Administrator</cp:lastModifiedBy>
  <cp:lastPrinted>2025-09-18T10:01:00Z</cp:lastPrinted>
  <dcterms:modified xsi:type="dcterms:W3CDTF">2026-07-10T09:27:17Z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